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E6FB" w14:textId="193C4D45" w:rsidR="00A32CDC" w:rsidRPr="00DD53AE" w:rsidRDefault="00A32CDC" w:rsidP="00DD53AE">
      <w:pPr>
        <w:pStyle w:val="Heading1"/>
      </w:pPr>
      <w:r w:rsidRPr="00DD53AE">
        <w:t xml:space="preserve">Critical Care Triage during Major Surge in the COVID-19 Pandemic: </w:t>
      </w:r>
    </w:p>
    <w:p w14:paraId="79DDE074" w14:textId="7AE205B4" w:rsidR="00A32CDC" w:rsidRPr="00DD53AE" w:rsidRDefault="00280CA6" w:rsidP="00DD53AE">
      <w:pPr>
        <w:pStyle w:val="Heading1"/>
      </w:pPr>
      <w:r w:rsidRPr="00DD53AE">
        <w:t>Summary of Overall Recommendations</w:t>
      </w:r>
    </w:p>
    <w:p w14:paraId="781B2568" w14:textId="77777777" w:rsidR="00A7794A" w:rsidRDefault="00A7794A" w:rsidP="500AFCFA">
      <w:pPr>
        <w:rPr>
          <w:rFonts w:eastAsiaTheme="minorEastAsia"/>
          <w:sz w:val="22"/>
          <w:szCs w:val="22"/>
        </w:rPr>
      </w:pPr>
    </w:p>
    <w:p w14:paraId="7BC644CC" w14:textId="51FBB32A" w:rsidR="00A32CDC" w:rsidRDefault="00A32CDC" w:rsidP="500AFCFA">
      <w:pPr>
        <w:rPr>
          <w:rFonts w:eastAsiaTheme="minorEastAsia"/>
          <w:sz w:val="22"/>
          <w:szCs w:val="22"/>
        </w:rPr>
      </w:pPr>
      <w:r w:rsidRPr="500AFCFA">
        <w:rPr>
          <w:rFonts w:eastAsiaTheme="minorEastAsia"/>
          <w:sz w:val="22"/>
          <w:szCs w:val="22"/>
        </w:rPr>
        <w:t xml:space="preserve">This document offers </w:t>
      </w:r>
      <w:r w:rsidR="319C03CF" w:rsidRPr="500AFCFA">
        <w:rPr>
          <w:rFonts w:eastAsiaTheme="minorEastAsia"/>
          <w:sz w:val="22"/>
          <w:szCs w:val="22"/>
        </w:rPr>
        <w:t>a</w:t>
      </w:r>
      <w:r w:rsidR="002C1329">
        <w:rPr>
          <w:rFonts w:eastAsiaTheme="minorEastAsia"/>
          <w:sz w:val="22"/>
          <w:szCs w:val="22"/>
        </w:rPr>
        <w:t xml:space="preserve"> proposed</w:t>
      </w:r>
      <w:r w:rsidR="319C03CF" w:rsidRPr="500AFCFA">
        <w:rPr>
          <w:rFonts w:eastAsiaTheme="minorEastAsia"/>
          <w:sz w:val="22"/>
          <w:szCs w:val="22"/>
        </w:rPr>
        <w:t xml:space="preserve"> framework </w:t>
      </w:r>
      <w:r w:rsidR="002C1329">
        <w:rPr>
          <w:rFonts w:eastAsiaTheme="minorEastAsia"/>
          <w:sz w:val="22"/>
          <w:szCs w:val="22"/>
        </w:rPr>
        <w:t xml:space="preserve">and recommendations for immediate next steps </w:t>
      </w:r>
      <w:r w:rsidRPr="500AFCFA">
        <w:rPr>
          <w:rFonts w:eastAsiaTheme="minorEastAsia"/>
          <w:sz w:val="22"/>
          <w:szCs w:val="22"/>
        </w:rPr>
        <w:t>to inform</w:t>
      </w:r>
      <w:r w:rsidR="2A87E9DC" w:rsidRPr="500AFCFA">
        <w:rPr>
          <w:rFonts w:eastAsiaTheme="minorEastAsia"/>
          <w:sz w:val="22"/>
          <w:szCs w:val="22"/>
        </w:rPr>
        <w:t xml:space="preserve"> </w:t>
      </w:r>
      <w:r w:rsidR="0121B0A7" w:rsidRPr="500AFCFA">
        <w:rPr>
          <w:rFonts w:eastAsiaTheme="minorEastAsia"/>
          <w:sz w:val="22"/>
          <w:szCs w:val="22"/>
        </w:rPr>
        <w:t xml:space="preserve">an approach </w:t>
      </w:r>
      <w:r w:rsidR="29083A88" w:rsidRPr="500AFCFA">
        <w:rPr>
          <w:rFonts w:eastAsiaTheme="minorEastAsia"/>
          <w:sz w:val="22"/>
          <w:szCs w:val="22"/>
        </w:rPr>
        <w:t>to critical</w:t>
      </w:r>
      <w:r w:rsidRPr="500AFCFA">
        <w:rPr>
          <w:rFonts w:eastAsiaTheme="minorEastAsia"/>
          <w:sz w:val="22"/>
          <w:szCs w:val="22"/>
        </w:rPr>
        <w:t xml:space="preserve"> care triage in Ontario in the event </w:t>
      </w:r>
      <w:r w:rsidR="4C195E5B" w:rsidRPr="500AFCFA">
        <w:rPr>
          <w:rFonts w:eastAsiaTheme="minorEastAsia"/>
          <w:sz w:val="22"/>
          <w:szCs w:val="22"/>
        </w:rPr>
        <w:t xml:space="preserve">that </w:t>
      </w:r>
      <w:r w:rsidR="3B85705A" w:rsidRPr="500AFCFA">
        <w:rPr>
          <w:rFonts w:eastAsiaTheme="minorEastAsia"/>
          <w:sz w:val="22"/>
          <w:szCs w:val="22"/>
        </w:rPr>
        <w:t xml:space="preserve">there is </w:t>
      </w:r>
      <w:r w:rsidRPr="500AFCFA">
        <w:rPr>
          <w:rFonts w:eastAsiaTheme="minorEastAsia"/>
          <w:sz w:val="22"/>
          <w:szCs w:val="22"/>
        </w:rPr>
        <w:t xml:space="preserve">a major surge in demand for critical care </w:t>
      </w:r>
      <w:r w:rsidR="06ABE511" w:rsidRPr="500AFCFA">
        <w:rPr>
          <w:rFonts w:eastAsiaTheme="minorEastAsia"/>
          <w:sz w:val="22"/>
          <w:szCs w:val="22"/>
        </w:rPr>
        <w:t>during</w:t>
      </w:r>
      <w:r w:rsidRPr="500AFCFA">
        <w:rPr>
          <w:rFonts w:eastAsiaTheme="minorEastAsia"/>
          <w:sz w:val="22"/>
          <w:szCs w:val="22"/>
        </w:rPr>
        <w:t xml:space="preserve"> the COVID-19 pandemic.</w:t>
      </w:r>
    </w:p>
    <w:p w14:paraId="2639B8F3" w14:textId="0F790BDC" w:rsidR="00A7794A" w:rsidRDefault="00A7794A" w:rsidP="500AFCFA">
      <w:pPr>
        <w:rPr>
          <w:rFonts w:eastAsiaTheme="minorEastAsia"/>
          <w:sz w:val="22"/>
          <w:szCs w:val="22"/>
        </w:rPr>
      </w:pPr>
    </w:p>
    <w:p w14:paraId="004A4950" w14:textId="0CF0CEFD" w:rsidR="00A32CDC" w:rsidRPr="00A7794A" w:rsidRDefault="00A7794A" w:rsidP="00DD53AE">
      <w:pPr>
        <w:pStyle w:val="Heading2"/>
      </w:pPr>
      <w:r w:rsidRPr="500AFCFA">
        <w:t>Recommendations</w:t>
      </w:r>
      <w:r w:rsidR="63986A01" w:rsidRPr="500AFCFA">
        <w:t xml:space="preserve"> for </w:t>
      </w:r>
      <w:r w:rsidR="00247F32">
        <w:t xml:space="preserve">Immediate </w:t>
      </w:r>
      <w:r w:rsidR="63986A01" w:rsidRPr="500AFCFA">
        <w:t>Next Steps</w:t>
      </w:r>
      <w:r w:rsidRPr="500AFCFA">
        <w:t>:</w:t>
      </w:r>
    </w:p>
    <w:p w14:paraId="1816D0CB" w14:textId="1955D126" w:rsidR="003C1D38" w:rsidRDefault="3AC362BD" w:rsidP="00CD465C">
      <w:pPr>
        <w:pStyle w:val="ListParagraph"/>
        <w:numPr>
          <w:ilvl w:val="0"/>
          <w:numId w:val="28"/>
        </w:numPr>
        <w:rPr>
          <w:rFonts w:eastAsiaTheme="minorEastAsia"/>
          <w:sz w:val="22"/>
          <w:szCs w:val="22"/>
        </w:rPr>
      </w:pPr>
      <w:r w:rsidRPr="500AFCFA">
        <w:rPr>
          <w:rFonts w:eastAsiaTheme="minorEastAsia"/>
          <w:sz w:val="22"/>
          <w:szCs w:val="22"/>
        </w:rPr>
        <w:t xml:space="preserve">Issue clear communication that </w:t>
      </w:r>
      <w:r w:rsidR="4B28FF80" w:rsidRPr="500AFCFA">
        <w:rPr>
          <w:rFonts w:eastAsiaTheme="minorEastAsia"/>
          <w:sz w:val="22"/>
          <w:szCs w:val="22"/>
        </w:rPr>
        <w:t>the</w:t>
      </w:r>
      <w:r w:rsidR="003C1D38" w:rsidRPr="500AFCFA">
        <w:rPr>
          <w:rFonts w:eastAsiaTheme="minorEastAsia"/>
          <w:sz w:val="22"/>
          <w:szCs w:val="22"/>
        </w:rPr>
        <w:t xml:space="preserve"> earlier draft version (“</w:t>
      </w:r>
      <w:r w:rsidR="003C1D38" w:rsidRPr="500AFCFA">
        <w:rPr>
          <w:rFonts w:eastAsiaTheme="minorEastAsia"/>
          <w:i/>
          <w:iCs/>
          <w:sz w:val="22"/>
          <w:szCs w:val="22"/>
        </w:rPr>
        <w:t>Clinical Triage Protocol for Major Surge in COVID Pandemic</w:t>
      </w:r>
      <w:r w:rsidR="003C1D38" w:rsidRPr="500AFCFA">
        <w:rPr>
          <w:rFonts w:eastAsiaTheme="minorEastAsia"/>
          <w:sz w:val="22"/>
          <w:szCs w:val="22"/>
        </w:rPr>
        <w:t xml:space="preserve">”, dated March 28, 2020) </w:t>
      </w:r>
      <w:r w:rsidR="1B1E407F" w:rsidRPr="500AFCFA">
        <w:rPr>
          <w:rFonts w:eastAsiaTheme="minorEastAsia"/>
          <w:sz w:val="22"/>
          <w:szCs w:val="22"/>
        </w:rPr>
        <w:t xml:space="preserve">should </w:t>
      </w:r>
      <w:r w:rsidR="003C1D38" w:rsidRPr="500AFCFA">
        <w:rPr>
          <w:rFonts w:eastAsiaTheme="minorEastAsia"/>
          <w:sz w:val="22"/>
          <w:szCs w:val="22"/>
        </w:rPr>
        <w:t xml:space="preserve">not </w:t>
      </w:r>
      <w:r w:rsidR="0544A5AD" w:rsidRPr="500AFCFA">
        <w:rPr>
          <w:rFonts w:eastAsiaTheme="minorEastAsia"/>
          <w:sz w:val="22"/>
          <w:szCs w:val="22"/>
        </w:rPr>
        <w:t xml:space="preserve">be implemented or </w:t>
      </w:r>
      <w:r w:rsidR="003C1D38" w:rsidRPr="500AFCFA">
        <w:rPr>
          <w:rFonts w:eastAsiaTheme="minorEastAsia"/>
          <w:sz w:val="22"/>
          <w:szCs w:val="22"/>
        </w:rPr>
        <w:t>rel</w:t>
      </w:r>
      <w:r w:rsidR="0FC26FBC" w:rsidRPr="500AFCFA">
        <w:rPr>
          <w:rFonts w:eastAsiaTheme="minorEastAsia"/>
          <w:sz w:val="22"/>
          <w:szCs w:val="22"/>
        </w:rPr>
        <w:t>ied</w:t>
      </w:r>
      <w:r w:rsidR="48BB2A1E" w:rsidRPr="500AFCFA">
        <w:rPr>
          <w:rFonts w:eastAsiaTheme="minorEastAsia"/>
          <w:sz w:val="22"/>
          <w:szCs w:val="22"/>
        </w:rPr>
        <w:t xml:space="preserve"> upon</w:t>
      </w:r>
      <w:r w:rsidR="006367B2">
        <w:rPr>
          <w:rFonts w:eastAsiaTheme="minorEastAsia"/>
          <w:sz w:val="22"/>
          <w:szCs w:val="22"/>
        </w:rPr>
        <w:t xml:space="preserve">, </w:t>
      </w:r>
      <w:r w:rsidR="006367B2" w:rsidRPr="006367B2">
        <w:rPr>
          <w:rFonts w:eastAsiaTheme="minorEastAsia"/>
          <w:sz w:val="22"/>
          <w:szCs w:val="22"/>
        </w:rPr>
        <w:t xml:space="preserve">and that a revised </w:t>
      </w:r>
      <w:r w:rsidR="006C6C4A">
        <w:rPr>
          <w:rFonts w:eastAsiaTheme="minorEastAsia"/>
          <w:sz w:val="22"/>
          <w:szCs w:val="22"/>
        </w:rPr>
        <w:t>protocol</w:t>
      </w:r>
      <w:r w:rsidR="006367B2" w:rsidRPr="006367B2">
        <w:rPr>
          <w:rFonts w:eastAsiaTheme="minorEastAsia"/>
          <w:sz w:val="22"/>
          <w:szCs w:val="22"/>
        </w:rPr>
        <w:t xml:space="preserve"> for critical care triage during major surge is in development </w:t>
      </w:r>
      <w:r w:rsidR="00890DB5">
        <w:rPr>
          <w:rFonts w:eastAsiaTheme="minorEastAsia"/>
          <w:sz w:val="22"/>
          <w:szCs w:val="22"/>
        </w:rPr>
        <w:t xml:space="preserve">and will be issued </w:t>
      </w:r>
      <w:r w:rsidR="006367B2" w:rsidRPr="006367B2">
        <w:rPr>
          <w:rFonts w:eastAsiaTheme="minorEastAsia"/>
          <w:sz w:val="22"/>
          <w:szCs w:val="22"/>
        </w:rPr>
        <w:t>to replace the earlier draft version</w:t>
      </w:r>
      <w:r w:rsidR="48BB2A1E" w:rsidRPr="500AFCFA">
        <w:rPr>
          <w:rFonts w:eastAsiaTheme="minorEastAsia"/>
          <w:sz w:val="22"/>
          <w:szCs w:val="22"/>
        </w:rPr>
        <w:t>.</w:t>
      </w:r>
    </w:p>
    <w:p w14:paraId="4D3E4E86" w14:textId="59FDDDB5" w:rsidR="00A32CDC" w:rsidRDefault="269983B1" w:rsidP="00CD465C">
      <w:pPr>
        <w:pStyle w:val="ListParagraph"/>
        <w:numPr>
          <w:ilvl w:val="0"/>
          <w:numId w:val="28"/>
        </w:numPr>
        <w:rPr>
          <w:rFonts w:eastAsiaTheme="minorEastAsia"/>
          <w:sz w:val="22"/>
          <w:szCs w:val="22"/>
        </w:rPr>
      </w:pPr>
      <w:r w:rsidRPr="500AFCFA">
        <w:rPr>
          <w:rFonts w:eastAsiaTheme="minorEastAsia"/>
          <w:sz w:val="22"/>
          <w:szCs w:val="22"/>
        </w:rPr>
        <w:t>D</w:t>
      </w:r>
      <w:r w:rsidR="570988E1" w:rsidRPr="500AFCFA">
        <w:rPr>
          <w:rFonts w:eastAsiaTheme="minorEastAsia"/>
          <w:sz w:val="22"/>
          <w:szCs w:val="22"/>
        </w:rPr>
        <w:t>isseminate</w:t>
      </w:r>
      <w:r w:rsidR="66A5D2C7" w:rsidRPr="500AFCFA">
        <w:rPr>
          <w:rFonts w:eastAsiaTheme="minorEastAsia"/>
          <w:sz w:val="22"/>
          <w:szCs w:val="22"/>
        </w:rPr>
        <w:t xml:space="preserve"> </w:t>
      </w:r>
      <w:r w:rsidR="00E769D8">
        <w:rPr>
          <w:rFonts w:eastAsiaTheme="minorEastAsia"/>
          <w:sz w:val="22"/>
          <w:szCs w:val="22"/>
        </w:rPr>
        <w:t>to health system stakeholders</w:t>
      </w:r>
      <w:r w:rsidR="46975DE4" w:rsidRPr="500AFCFA">
        <w:rPr>
          <w:rFonts w:eastAsiaTheme="minorEastAsia"/>
          <w:sz w:val="22"/>
          <w:szCs w:val="22"/>
        </w:rPr>
        <w:t xml:space="preserve"> </w:t>
      </w:r>
      <w:r w:rsidR="005333F7" w:rsidRPr="500AFCFA">
        <w:rPr>
          <w:rFonts w:eastAsiaTheme="minorEastAsia"/>
          <w:sz w:val="22"/>
          <w:szCs w:val="22"/>
        </w:rPr>
        <w:t>the</w:t>
      </w:r>
      <w:r w:rsidR="210C2FF4" w:rsidRPr="500AFCFA">
        <w:rPr>
          <w:rFonts w:eastAsiaTheme="minorEastAsia"/>
          <w:sz w:val="22"/>
          <w:szCs w:val="22"/>
        </w:rPr>
        <w:t xml:space="preserve"> document entitled</w:t>
      </w:r>
      <w:r w:rsidR="00A32CDC" w:rsidRPr="500AFCFA">
        <w:rPr>
          <w:rFonts w:eastAsiaTheme="minorEastAsia"/>
          <w:sz w:val="22"/>
          <w:szCs w:val="22"/>
        </w:rPr>
        <w:t xml:space="preserve"> </w:t>
      </w:r>
      <w:r w:rsidR="00A32CDC" w:rsidRPr="500AFCFA">
        <w:rPr>
          <w:rFonts w:eastAsiaTheme="minorEastAsia"/>
          <w:i/>
          <w:iCs/>
          <w:sz w:val="22"/>
          <w:szCs w:val="22"/>
        </w:rPr>
        <w:t>Critical Care Triage during Major Surge in the COVID-19 Pandemic</w:t>
      </w:r>
      <w:r w:rsidR="7749C0B4" w:rsidRPr="500AFCFA">
        <w:rPr>
          <w:rFonts w:eastAsiaTheme="minorEastAsia"/>
          <w:i/>
          <w:iCs/>
          <w:sz w:val="22"/>
          <w:szCs w:val="22"/>
        </w:rPr>
        <w:t>: Proposed Framework for Ontario</w:t>
      </w:r>
      <w:r w:rsidR="00A32CDC" w:rsidRPr="500AFCFA">
        <w:rPr>
          <w:rFonts w:eastAsiaTheme="minorEastAsia"/>
          <w:sz w:val="22"/>
          <w:szCs w:val="22"/>
        </w:rPr>
        <w:t xml:space="preserve"> </w:t>
      </w:r>
      <w:r w:rsidR="009625BD" w:rsidRPr="500AFCFA">
        <w:rPr>
          <w:rFonts w:eastAsiaTheme="minorEastAsia"/>
          <w:sz w:val="22"/>
          <w:szCs w:val="22"/>
        </w:rPr>
        <w:t xml:space="preserve">(hereafter: </w:t>
      </w:r>
      <w:r w:rsidR="009625BD" w:rsidRPr="500AFCFA">
        <w:rPr>
          <w:rFonts w:eastAsiaTheme="minorEastAsia"/>
          <w:i/>
          <w:iCs/>
          <w:sz w:val="22"/>
          <w:szCs w:val="22"/>
        </w:rPr>
        <w:t>‘</w:t>
      </w:r>
      <w:r w:rsidR="4F1F5A35" w:rsidRPr="500AFCFA">
        <w:rPr>
          <w:rFonts w:eastAsiaTheme="minorEastAsia"/>
          <w:i/>
          <w:iCs/>
          <w:sz w:val="22"/>
          <w:szCs w:val="22"/>
        </w:rPr>
        <w:t xml:space="preserve">Proposed </w:t>
      </w:r>
      <w:r w:rsidR="009625BD" w:rsidRPr="500AFCFA">
        <w:rPr>
          <w:rFonts w:eastAsiaTheme="minorEastAsia"/>
          <w:i/>
          <w:iCs/>
          <w:sz w:val="22"/>
          <w:szCs w:val="22"/>
        </w:rPr>
        <w:t>Framework’</w:t>
      </w:r>
      <w:r w:rsidR="009625BD" w:rsidRPr="500AFCFA">
        <w:rPr>
          <w:rFonts w:eastAsiaTheme="minorEastAsia"/>
          <w:sz w:val="22"/>
          <w:szCs w:val="22"/>
        </w:rPr>
        <w:t xml:space="preserve">) </w:t>
      </w:r>
      <w:r w:rsidR="005333F7" w:rsidRPr="500AFCFA">
        <w:rPr>
          <w:rFonts w:eastAsiaTheme="minorEastAsia"/>
          <w:sz w:val="22"/>
          <w:szCs w:val="22"/>
        </w:rPr>
        <w:t>as a proposed g</w:t>
      </w:r>
      <w:r w:rsidR="00A32CDC" w:rsidRPr="500AFCFA">
        <w:rPr>
          <w:rFonts w:eastAsiaTheme="minorEastAsia"/>
          <w:sz w:val="22"/>
          <w:szCs w:val="22"/>
        </w:rPr>
        <w:t xml:space="preserve">eneral approach </w:t>
      </w:r>
      <w:r w:rsidR="005333F7" w:rsidRPr="500AFCFA">
        <w:rPr>
          <w:rFonts w:eastAsiaTheme="minorEastAsia"/>
          <w:sz w:val="22"/>
          <w:szCs w:val="22"/>
        </w:rPr>
        <w:t xml:space="preserve">and structure </w:t>
      </w:r>
      <w:r w:rsidR="00A32CDC" w:rsidRPr="500AFCFA">
        <w:rPr>
          <w:rFonts w:eastAsiaTheme="minorEastAsia"/>
          <w:sz w:val="22"/>
          <w:szCs w:val="22"/>
        </w:rPr>
        <w:t>to critical care triage in the event of a major surge in demand during the COVID-19 pandemic.</w:t>
      </w:r>
      <w:r w:rsidR="4B71BF53" w:rsidRPr="500AFCFA">
        <w:rPr>
          <w:rFonts w:eastAsiaTheme="minorEastAsia"/>
          <w:sz w:val="22"/>
          <w:szCs w:val="22"/>
        </w:rPr>
        <w:t xml:space="preserve"> If possible, recommendations 1 and 2 should occur simultaneously </w:t>
      </w:r>
      <w:r w:rsidR="71228F5C" w:rsidRPr="500AFCFA">
        <w:rPr>
          <w:rFonts w:eastAsiaTheme="minorEastAsia"/>
          <w:sz w:val="22"/>
          <w:szCs w:val="22"/>
        </w:rPr>
        <w:t xml:space="preserve">and as soon as possible </w:t>
      </w:r>
      <w:r w:rsidR="4B71BF53" w:rsidRPr="500AFCFA">
        <w:rPr>
          <w:rFonts w:eastAsiaTheme="minorEastAsia"/>
          <w:sz w:val="22"/>
          <w:szCs w:val="22"/>
        </w:rPr>
        <w:t xml:space="preserve">in order to avoid leaving </w:t>
      </w:r>
      <w:r w:rsidR="348BC04E" w:rsidRPr="500AFCFA">
        <w:rPr>
          <w:rFonts w:eastAsiaTheme="minorEastAsia"/>
          <w:sz w:val="22"/>
          <w:szCs w:val="22"/>
        </w:rPr>
        <w:t>Ontario’s health system without a plan for critical care triage in the event of a major surge in demand.</w:t>
      </w:r>
    </w:p>
    <w:p w14:paraId="32DBE617" w14:textId="4D463DF6" w:rsidR="0DEED95F" w:rsidRDefault="00E769D8" w:rsidP="00CD465C">
      <w:pPr>
        <w:pStyle w:val="ListParagraph"/>
        <w:numPr>
          <w:ilvl w:val="0"/>
          <w:numId w:val="28"/>
        </w:numPr>
        <w:rPr>
          <w:rFonts w:eastAsiaTheme="minorEastAsia"/>
          <w:sz w:val="22"/>
          <w:szCs w:val="22"/>
        </w:rPr>
      </w:pPr>
      <w:r w:rsidRPr="00E769D8">
        <w:rPr>
          <w:rFonts w:eastAsiaTheme="minorEastAsia"/>
          <w:sz w:val="22"/>
          <w:szCs w:val="22"/>
        </w:rPr>
        <w:t xml:space="preserve">Publicize </w:t>
      </w:r>
      <w:r>
        <w:rPr>
          <w:rFonts w:eastAsiaTheme="minorEastAsia"/>
          <w:sz w:val="22"/>
          <w:szCs w:val="22"/>
        </w:rPr>
        <w:t xml:space="preserve">the </w:t>
      </w:r>
      <w:r>
        <w:rPr>
          <w:rFonts w:eastAsiaTheme="minorEastAsia"/>
          <w:i/>
          <w:iCs/>
          <w:sz w:val="22"/>
          <w:szCs w:val="22"/>
        </w:rPr>
        <w:t xml:space="preserve">Proposed Framework </w:t>
      </w:r>
      <w:r w:rsidRPr="00E769D8">
        <w:rPr>
          <w:rFonts w:eastAsiaTheme="minorEastAsia"/>
          <w:sz w:val="22"/>
          <w:szCs w:val="22"/>
        </w:rPr>
        <w:t>widely</w:t>
      </w:r>
      <w:r>
        <w:rPr>
          <w:rFonts w:eastAsiaTheme="minorEastAsia"/>
          <w:sz w:val="22"/>
          <w:szCs w:val="22"/>
        </w:rPr>
        <w:t>, both i</w:t>
      </w:r>
      <w:r w:rsidRPr="00E769D8">
        <w:rPr>
          <w:rFonts w:eastAsiaTheme="minorEastAsia"/>
          <w:sz w:val="22"/>
          <w:szCs w:val="22"/>
        </w:rPr>
        <w:t>n full and as an</w:t>
      </w:r>
      <w:r>
        <w:rPr>
          <w:rFonts w:eastAsiaTheme="minorEastAsia"/>
          <w:sz w:val="22"/>
          <w:szCs w:val="22"/>
        </w:rPr>
        <w:t xml:space="preserve"> accessible and plain language version, and i</w:t>
      </w:r>
      <w:r w:rsidR="1234D344" w:rsidRPr="500AFCFA">
        <w:rPr>
          <w:rFonts w:eastAsiaTheme="minorEastAsia"/>
          <w:sz w:val="22"/>
          <w:szCs w:val="22"/>
        </w:rPr>
        <w:t>nvite</w:t>
      </w:r>
      <w:r w:rsidR="01A378C6" w:rsidRPr="500AFCFA">
        <w:rPr>
          <w:rFonts w:eastAsiaTheme="minorEastAsia"/>
          <w:sz w:val="22"/>
          <w:szCs w:val="22"/>
        </w:rPr>
        <w:t xml:space="preserve"> </w:t>
      </w:r>
      <w:r w:rsidR="184C9EE3" w:rsidRPr="500AFCFA">
        <w:rPr>
          <w:rFonts w:eastAsiaTheme="minorEastAsia"/>
          <w:sz w:val="22"/>
          <w:szCs w:val="22"/>
        </w:rPr>
        <w:t xml:space="preserve">public input </w:t>
      </w:r>
      <w:r w:rsidR="4B8CEFE8" w:rsidRPr="500AFCFA">
        <w:rPr>
          <w:rFonts w:eastAsiaTheme="minorEastAsia"/>
          <w:sz w:val="22"/>
          <w:szCs w:val="22"/>
        </w:rPr>
        <w:t xml:space="preserve">and feedback </w:t>
      </w:r>
      <w:r w:rsidR="18706844" w:rsidRPr="500AFCFA">
        <w:rPr>
          <w:rFonts w:eastAsiaTheme="minorEastAsia"/>
          <w:sz w:val="22"/>
          <w:szCs w:val="22"/>
        </w:rPr>
        <w:t xml:space="preserve">within </w:t>
      </w:r>
      <w:r w:rsidR="56FF20AB" w:rsidRPr="500AFCFA">
        <w:rPr>
          <w:rFonts w:eastAsiaTheme="minorEastAsia"/>
          <w:sz w:val="22"/>
          <w:szCs w:val="22"/>
        </w:rPr>
        <w:t>a defined timeframe (e.g., 3 weeks</w:t>
      </w:r>
      <w:r w:rsidR="39958EC9" w:rsidRPr="500AFCFA">
        <w:rPr>
          <w:rFonts w:eastAsiaTheme="minorEastAsia"/>
          <w:sz w:val="22"/>
          <w:szCs w:val="22"/>
        </w:rPr>
        <w:t xml:space="preserve"> or whatever timeframe is </w:t>
      </w:r>
      <w:r w:rsidR="196BB953" w:rsidRPr="500AFCFA">
        <w:rPr>
          <w:rFonts w:eastAsiaTheme="minorEastAsia"/>
          <w:sz w:val="22"/>
          <w:szCs w:val="22"/>
        </w:rPr>
        <w:t xml:space="preserve">reasonable </w:t>
      </w:r>
      <w:r w:rsidR="7A4BBE25" w:rsidRPr="500AFCFA">
        <w:rPr>
          <w:rFonts w:eastAsiaTheme="minorEastAsia"/>
          <w:sz w:val="22"/>
          <w:szCs w:val="22"/>
        </w:rPr>
        <w:t>within the constraints of the pandemic</w:t>
      </w:r>
      <w:r w:rsidR="39958EC9" w:rsidRPr="500AFCFA">
        <w:rPr>
          <w:rFonts w:eastAsiaTheme="minorEastAsia"/>
          <w:sz w:val="22"/>
          <w:szCs w:val="22"/>
        </w:rPr>
        <w:t>)</w:t>
      </w:r>
      <w:r w:rsidR="74A82ADB" w:rsidRPr="500AFCFA">
        <w:rPr>
          <w:rFonts w:eastAsiaTheme="minorEastAsia"/>
          <w:sz w:val="22"/>
          <w:szCs w:val="22"/>
        </w:rPr>
        <w:t>.</w:t>
      </w:r>
    </w:p>
    <w:p w14:paraId="18FCE7C4" w14:textId="05008298" w:rsidR="00280CA6" w:rsidRPr="006367B2" w:rsidRDefault="00280CA6" w:rsidP="00280CA6">
      <w:pPr>
        <w:pStyle w:val="ListParagraph"/>
        <w:numPr>
          <w:ilvl w:val="0"/>
          <w:numId w:val="28"/>
        </w:numPr>
        <w:rPr>
          <w:rFonts w:eastAsiaTheme="minorEastAsia"/>
          <w:sz w:val="22"/>
          <w:szCs w:val="22"/>
        </w:rPr>
      </w:pPr>
      <w:r w:rsidRPr="006C6C4A">
        <w:rPr>
          <w:rFonts w:eastAsiaTheme="minorEastAsia"/>
          <w:sz w:val="22"/>
          <w:szCs w:val="22"/>
        </w:rPr>
        <w:t xml:space="preserve">Ensure liability protection for all those who would be involved in implementing the </w:t>
      </w:r>
      <w:r w:rsidRPr="006C6C4A">
        <w:rPr>
          <w:rFonts w:eastAsiaTheme="minorEastAsia"/>
          <w:i/>
          <w:iCs/>
          <w:sz w:val="22"/>
          <w:szCs w:val="22"/>
        </w:rPr>
        <w:t>Proposed Framework</w:t>
      </w:r>
      <w:r w:rsidRPr="006C6C4A">
        <w:rPr>
          <w:rFonts w:eastAsiaTheme="minorEastAsia"/>
          <w:sz w:val="22"/>
          <w:szCs w:val="22"/>
        </w:rPr>
        <w:t xml:space="preserve"> (</w:t>
      </w:r>
      <w:r>
        <w:rPr>
          <w:rFonts w:eastAsiaTheme="minorEastAsia"/>
          <w:sz w:val="22"/>
          <w:szCs w:val="22"/>
        </w:rPr>
        <w:t xml:space="preserve">e.g., </w:t>
      </w:r>
      <w:r w:rsidRPr="006C6C4A">
        <w:rPr>
          <w:rFonts w:eastAsiaTheme="minorEastAsia"/>
          <w:sz w:val="22"/>
          <w:szCs w:val="22"/>
        </w:rPr>
        <w:t>physicians, clinical teams, Triage Team members, Appeals Committee members, implementation planners, etc</w:t>
      </w:r>
      <w:r>
        <w:rPr>
          <w:rFonts w:eastAsiaTheme="minorEastAsia"/>
          <w:sz w:val="22"/>
          <w:szCs w:val="22"/>
        </w:rPr>
        <w:t>.</w:t>
      </w:r>
      <w:r w:rsidRPr="006C6C4A">
        <w:rPr>
          <w:rFonts w:eastAsiaTheme="minorEastAsia"/>
          <w:sz w:val="22"/>
          <w:szCs w:val="22"/>
        </w:rPr>
        <w:t xml:space="preserve">), including an Emergency Order related to any aspect requiring a deviation from the Health Care Consent Act. It would also be advisable to seek independent legal review of the Proposed Framework as a solid legal basis for recommendations </w:t>
      </w:r>
      <w:r>
        <w:rPr>
          <w:rFonts w:eastAsiaTheme="minorEastAsia"/>
          <w:sz w:val="22"/>
          <w:szCs w:val="22"/>
        </w:rPr>
        <w:t>5</w:t>
      </w:r>
      <w:r w:rsidRPr="006C6C4A">
        <w:rPr>
          <w:rFonts w:eastAsiaTheme="minorEastAsia"/>
          <w:sz w:val="22"/>
          <w:szCs w:val="22"/>
        </w:rPr>
        <w:t>-</w:t>
      </w:r>
      <w:r>
        <w:rPr>
          <w:rFonts w:eastAsiaTheme="minorEastAsia"/>
          <w:sz w:val="22"/>
          <w:szCs w:val="22"/>
        </w:rPr>
        <w:t>7</w:t>
      </w:r>
      <w:r w:rsidRPr="006367B2">
        <w:rPr>
          <w:rFonts w:eastAsiaTheme="minorEastAsia"/>
          <w:sz w:val="22"/>
          <w:szCs w:val="22"/>
        </w:rPr>
        <w:t>.</w:t>
      </w:r>
    </w:p>
    <w:p w14:paraId="7A91A6DE" w14:textId="16FA4F09" w:rsidR="00A10B44" w:rsidRDefault="18DBDEA7" w:rsidP="00CD465C">
      <w:pPr>
        <w:pStyle w:val="ListParagraph"/>
        <w:numPr>
          <w:ilvl w:val="0"/>
          <w:numId w:val="28"/>
        </w:numPr>
        <w:rPr>
          <w:rFonts w:eastAsiaTheme="minorEastAsia"/>
          <w:sz w:val="22"/>
          <w:szCs w:val="22"/>
        </w:rPr>
      </w:pPr>
      <w:r w:rsidRPr="00A10B44">
        <w:rPr>
          <w:rFonts w:eastAsiaTheme="minorEastAsia"/>
          <w:sz w:val="22"/>
          <w:szCs w:val="22"/>
        </w:rPr>
        <w:t xml:space="preserve">Convene a </w:t>
      </w:r>
      <w:r w:rsidR="00A32CDC" w:rsidRPr="00A10B44">
        <w:rPr>
          <w:rFonts w:eastAsiaTheme="minorEastAsia"/>
          <w:sz w:val="22"/>
          <w:szCs w:val="22"/>
        </w:rPr>
        <w:t xml:space="preserve">multidisciplinary consensus panel </w:t>
      </w:r>
      <w:r w:rsidR="009625BD" w:rsidRPr="00A10B44">
        <w:rPr>
          <w:rFonts w:eastAsiaTheme="minorEastAsia"/>
          <w:sz w:val="22"/>
          <w:szCs w:val="22"/>
        </w:rPr>
        <w:t xml:space="preserve">to </w:t>
      </w:r>
      <w:r w:rsidR="1EB63855" w:rsidRPr="00A10B44">
        <w:rPr>
          <w:rFonts w:eastAsiaTheme="minorEastAsia"/>
          <w:sz w:val="22"/>
          <w:szCs w:val="22"/>
        </w:rPr>
        <w:t xml:space="preserve">further </w:t>
      </w:r>
      <w:r w:rsidR="009625BD" w:rsidRPr="00A10B44">
        <w:rPr>
          <w:rFonts w:eastAsiaTheme="minorEastAsia"/>
          <w:sz w:val="22"/>
          <w:szCs w:val="22"/>
        </w:rPr>
        <w:t xml:space="preserve">develop and refine the clinical factors and tools </w:t>
      </w:r>
      <w:r w:rsidR="2C81BE19" w:rsidRPr="00A10B44">
        <w:rPr>
          <w:rFonts w:eastAsiaTheme="minorEastAsia"/>
          <w:sz w:val="22"/>
          <w:szCs w:val="22"/>
        </w:rPr>
        <w:t xml:space="preserve">(Appendix C of the </w:t>
      </w:r>
      <w:r w:rsidR="55D7FB11" w:rsidRPr="00A10B44">
        <w:rPr>
          <w:rFonts w:eastAsiaTheme="minorEastAsia"/>
          <w:i/>
          <w:iCs/>
          <w:sz w:val="22"/>
          <w:szCs w:val="22"/>
        </w:rPr>
        <w:t xml:space="preserve">Proposed </w:t>
      </w:r>
      <w:r w:rsidR="2C81BE19" w:rsidRPr="00A10B44">
        <w:rPr>
          <w:rFonts w:eastAsiaTheme="minorEastAsia"/>
          <w:i/>
          <w:iCs/>
          <w:sz w:val="22"/>
          <w:szCs w:val="22"/>
        </w:rPr>
        <w:t>Framework</w:t>
      </w:r>
      <w:r w:rsidR="1B6E1B2A" w:rsidRPr="00A10B44">
        <w:rPr>
          <w:rFonts w:eastAsiaTheme="minorEastAsia"/>
          <w:sz w:val="22"/>
          <w:szCs w:val="22"/>
        </w:rPr>
        <w:t>, hereafter understood as</w:t>
      </w:r>
      <w:r w:rsidR="1B6E1B2A" w:rsidRPr="00A10B44">
        <w:rPr>
          <w:rFonts w:eastAsiaTheme="minorEastAsia"/>
          <w:i/>
          <w:iCs/>
          <w:sz w:val="22"/>
          <w:szCs w:val="22"/>
        </w:rPr>
        <w:t xml:space="preserve"> ‘Clinical</w:t>
      </w:r>
      <w:r w:rsidR="00DA0844" w:rsidRPr="00A10B44">
        <w:rPr>
          <w:rFonts w:eastAsiaTheme="minorEastAsia"/>
          <w:i/>
          <w:iCs/>
          <w:sz w:val="22"/>
          <w:szCs w:val="22"/>
        </w:rPr>
        <w:t xml:space="preserve"> Assessment</w:t>
      </w:r>
      <w:r w:rsidR="1B6E1B2A" w:rsidRPr="00A10B44">
        <w:rPr>
          <w:rFonts w:eastAsiaTheme="minorEastAsia"/>
          <w:i/>
          <w:iCs/>
          <w:sz w:val="22"/>
          <w:szCs w:val="22"/>
        </w:rPr>
        <w:t xml:space="preserve"> Guidelines’</w:t>
      </w:r>
      <w:r w:rsidR="2C81BE19" w:rsidRPr="00A10B44">
        <w:rPr>
          <w:rFonts w:eastAsiaTheme="minorEastAsia"/>
          <w:sz w:val="22"/>
          <w:szCs w:val="22"/>
        </w:rPr>
        <w:t xml:space="preserve">) </w:t>
      </w:r>
      <w:r w:rsidR="009625BD" w:rsidRPr="00A10B44">
        <w:rPr>
          <w:rFonts w:eastAsiaTheme="minorEastAsia"/>
          <w:sz w:val="22"/>
          <w:szCs w:val="22"/>
        </w:rPr>
        <w:t xml:space="preserve">that clinicians should be expected to use </w:t>
      </w:r>
      <w:r w:rsidR="63DBD776" w:rsidRPr="00A10B44">
        <w:rPr>
          <w:rFonts w:eastAsiaTheme="minorEastAsia"/>
          <w:sz w:val="22"/>
          <w:szCs w:val="22"/>
        </w:rPr>
        <w:t xml:space="preserve">for critical care triage </w:t>
      </w:r>
      <w:r w:rsidR="45CD9ACB" w:rsidRPr="00A10B44">
        <w:rPr>
          <w:rFonts w:eastAsiaTheme="minorEastAsia"/>
          <w:sz w:val="22"/>
          <w:szCs w:val="22"/>
        </w:rPr>
        <w:t xml:space="preserve">based on best available evidence and within the guiding principles of the </w:t>
      </w:r>
      <w:r w:rsidR="6B85E98F" w:rsidRPr="00A10B44">
        <w:rPr>
          <w:rFonts w:eastAsiaTheme="minorEastAsia"/>
          <w:i/>
          <w:iCs/>
          <w:sz w:val="22"/>
          <w:szCs w:val="22"/>
        </w:rPr>
        <w:t xml:space="preserve">Proposed </w:t>
      </w:r>
      <w:r w:rsidR="45CD9ACB" w:rsidRPr="00A10B44">
        <w:rPr>
          <w:rFonts w:eastAsiaTheme="minorEastAsia"/>
          <w:i/>
          <w:iCs/>
          <w:sz w:val="22"/>
          <w:szCs w:val="22"/>
        </w:rPr>
        <w:t>Framework</w:t>
      </w:r>
      <w:r w:rsidR="00A32CDC" w:rsidRPr="00A10B44">
        <w:rPr>
          <w:rFonts w:eastAsiaTheme="minorEastAsia"/>
          <w:sz w:val="22"/>
          <w:szCs w:val="22"/>
        </w:rPr>
        <w:t>.</w:t>
      </w:r>
      <w:r w:rsidR="003C1D38" w:rsidRPr="00A10B44">
        <w:rPr>
          <w:rFonts w:eastAsiaTheme="minorEastAsia"/>
          <w:sz w:val="22"/>
          <w:szCs w:val="22"/>
        </w:rPr>
        <w:t xml:space="preserve"> </w:t>
      </w:r>
      <w:r w:rsidR="00A10B44" w:rsidRPr="00A10B44">
        <w:rPr>
          <w:rFonts w:eastAsiaTheme="minorEastAsia"/>
          <w:sz w:val="22"/>
          <w:szCs w:val="22"/>
        </w:rPr>
        <w:t xml:space="preserve">Such a panel should </w:t>
      </w:r>
      <w:r w:rsidR="00A10B44">
        <w:rPr>
          <w:rFonts w:eastAsiaTheme="minorEastAsia"/>
          <w:sz w:val="22"/>
          <w:szCs w:val="22"/>
        </w:rPr>
        <w:t>include</w:t>
      </w:r>
      <w:r w:rsidR="00A10B44" w:rsidRPr="00A10B44">
        <w:rPr>
          <w:rFonts w:eastAsiaTheme="minorEastAsia"/>
          <w:sz w:val="22"/>
          <w:szCs w:val="22"/>
        </w:rPr>
        <w:t xml:space="preserve"> and engage the input of experts in critical care, other clinical disciplines, ethics, human rights and law, and the perspectives of those</w:t>
      </w:r>
      <w:r w:rsidR="00A10B44">
        <w:rPr>
          <w:rFonts w:eastAsiaTheme="minorEastAsia"/>
          <w:sz w:val="22"/>
          <w:szCs w:val="22"/>
        </w:rPr>
        <w:t xml:space="preserve"> whose voices are usually not heard but</w:t>
      </w:r>
      <w:r w:rsidR="00A10B44" w:rsidRPr="00A10B44">
        <w:rPr>
          <w:rFonts w:eastAsiaTheme="minorEastAsia"/>
          <w:sz w:val="22"/>
          <w:szCs w:val="22"/>
        </w:rPr>
        <w:t xml:space="preserve"> may be disproportionately affected by critical care triage. </w:t>
      </w:r>
    </w:p>
    <w:p w14:paraId="65EE75FD" w14:textId="02B9479C" w:rsidR="00A7794A" w:rsidRPr="00A10B44" w:rsidRDefault="2DF8609D" w:rsidP="00CD465C">
      <w:pPr>
        <w:pStyle w:val="ListParagraph"/>
        <w:numPr>
          <w:ilvl w:val="0"/>
          <w:numId w:val="28"/>
        </w:numPr>
        <w:rPr>
          <w:rFonts w:eastAsiaTheme="minorEastAsia"/>
          <w:sz w:val="22"/>
          <w:szCs w:val="22"/>
        </w:rPr>
      </w:pPr>
      <w:r w:rsidRPr="00A10B44">
        <w:rPr>
          <w:rFonts w:eastAsiaTheme="minorEastAsia"/>
          <w:sz w:val="22"/>
          <w:szCs w:val="22"/>
        </w:rPr>
        <w:t>‘</w:t>
      </w:r>
      <w:proofErr w:type="spellStart"/>
      <w:r w:rsidR="727A8576" w:rsidRPr="00A10B44">
        <w:rPr>
          <w:rFonts w:eastAsiaTheme="minorEastAsia"/>
          <w:sz w:val="22"/>
          <w:szCs w:val="22"/>
        </w:rPr>
        <w:t>Protocolize</w:t>
      </w:r>
      <w:proofErr w:type="spellEnd"/>
      <w:r w:rsidR="5898F845" w:rsidRPr="00A10B44">
        <w:rPr>
          <w:rFonts w:eastAsiaTheme="minorEastAsia"/>
          <w:sz w:val="22"/>
          <w:szCs w:val="22"/>
        </w:rPr>
        <w:t>’</w:t>
      </w:r>
      <w:r w:rsidR="727A8576" w:rsidRPr="00A10B44">
        <w:rPr>
          <w:rFonts w:eastAsiaTheme="minorEastAsia"/>
          <w:sz w:val="22"/>
          <w:szCs w:val="22"/>
        </w:rPr>
        <w:t xml:space="preserve"> the </w:t>
      </w:r>
      <w:r w:rsidR="494531FB" w:rsidRPr="00A10B44">
        <w:rPr>
          <w:rFonts w:eastAsiaTheme="minorEastAsia"/>
          <w:i/>
          <w:iCs/>
          <w:sz w:val="22"/>
          <w:szCs w:val="22"/>
        </w:rPr>
        <w:t xml:space="preserve">Proposed </w:t>
      </w:r>
      <w:r w:rsidR="2258401B" w:rsidRPr="00A10B44">
        <w:rPr>
          <w:rFonts w:eastAsiaTheme="minorEastAsia"/>
          <w:i/>
          <w:iCs/>
          <w:sz w:val="22"/>
          <w:szCs w:val="22"/>
        </w:rPr>
        <w:t>F</w:t>
      </w:r>
      <w:r w:rsidR="727A8576" w:rsidRPr="00A10B44">
        <w:rPr>
          <w:rFonts w:eastAsiaTheme="minorEastAsia"/>
          <w:i/>
          <w:iCs/>
          <w:sz w:val="22"/>
          <w:szCs w:val="22"/>
        </w:rPr>
        <w:t>ramework</w:t>
      </w:r>
      <w:r w:rsidR="6B0DE71B" w:rsidRPr="00A10B44">
        <w:rPr>
          <w:rFonts w:eastAsiaTheme="minorEastAsia"/>
          <w:i/>
          <w:iCs/>
          <w:sz w:val="22"/>
          <w:szCs w:val="22"/>
        </w:rPr>
        <w:t xml:space="preserve"> </w:t>
      </w:r>
      <w:r w:rsidR="6B0DE71B" w:rsidRPr="00A10B44">
        <w:rPr>
          <w:rFonts w:eastAsiaTheme="minorEastAsia"/>
          <w:sz w:val="22"/>
          <w:szCs w:val="22"/>
        </w:rPr>
        <w:t>followi</w:t>
      </w:r>
      <w:r w:rsidR="2537BE4F" w:rsidRPr="00A10B44">
        <w:rPr>
          <w:rFonts w:eastAsiaTheme="minorEastAsia"/>
          <w:sz w:val="22"/>
          <w:szCs w:val="22"/>
        </w:rPr>
        <w:t xml:space="preserve">ng public input and </w:t>
      </w:r>
      <w:r w:rsidR="3EAC4EB6" w:rsidRPr="00A10B44">
        <w:rPr>
          <w:rFonts w:eastAsiaTheme="minorEastAsia"/>
          <w:sz w:val="22"/>
          <w:szCs w:val="22"/>
        </w:rPr>
        <w:t xml:space="preserve">the </w:t>
      </w:r>
      <w:r w:rsidR="2537BE4F" w:rsidRPr="00A10B44">
        <w:rPr>
          <w:rFonts w:eastAsiaTheme="minorEastAsia"/>
          <w:sz w:val="22"/>
          <w:szCs w:val="22"/>
        </w:rPr>
        <w:t>refinement of</w:t>
      </w:r>
      <w:r w:rsidR="005E20F8" w:rsidRPr="00A10B44">
        <w:rPr>
          <w:rFonts w:eastAsiaTheme="minorEastAsia"/>
          <w:sz w:val="22"/>
          <w:szCs w:val="22"/>
        </w:rPr>
        <w:t xml:space="preserve"> the</w:t>
      </w:r>
      <w:r w:rsidR="2537BE4F" w:rsidRPr="00A10B44">
        <w:rPr>
          <w:rFonts w:eastAsiaTheme="minorEastAsia"/>
          <w:sz w:val="22"/>
          <w:szCs w:val="22"/>
        </w:rPr>
        <w:t xml:space="preserve"> </w:t>
      </w:r>
      <w:r w:rsidR="2537BE4F" w:rsidRPr="00A10B44">
        <w:rPr>
          <w:rFonts w:eastAsiaTheme="minorEastAsia"/>
          <w:i/>
          <w:iCs/>
          <w:sz w:val="22"/>
          <w:szCs w:val="22"/>
        </w:rPr>
        <w:t xml:space="preserve">Clinical </w:t>
      </w:r>
      <w:r w:rsidR="00DA0844" w:rsidRPr="00A10B44">
        <w:rPr>
          <w:rFonts w:eastAsiaTheme="minorEastAsia"/>
          <w:i/>
          <w:iCs/>
          <w:sz w:val="22"/>
          <w:szCs w:val="22"/>
        </w:rPr>
        <w:t xml:space="preserve">Assessment </w:t>
      </w:r>
      <w:r w:rsidR="2537BE4F" w:rsidRPr="00A10B44">
        <w:rPr>
          <w:rFonts w:eastAsiaTheme="minorEastAsia"/>
          <w:i/>
          <w:iCs/>
          <w:sz w:val="22"/>
          <w:szCs w:val="22"/>
        </w:rPr>
        <w:t>Guidelines</w:t>
      </w:r>
      <w:r w:rsidR="2537BE4F" w:rsidRPr="00A10B44">
        <w:rPr>
          <w:rFonts w:eastAsiaTheme="minorEastAsia"/>
          <w:sz w:val="22"/>
          <w:szCs w:val="22"/>
        </w:rPr>
        <w:t xml:space="preserve"> </w:t>
      </w:r>
      <w:r w:rsidR="20F7B636" w:rsidRPr="00A10B44">
        <w:rPr>
          <w:rFonts w:eastAsiaTheme="minorEastAsia"/>
          <w:sz w:val="22"/>
          <w:szCs w:val="22"/>
        </w:rPr>
        <w:t>so that there is a consistent</w:t>
      </w:r>
      <w:r w:rsidR="006367B2" w:rsidRPr="00A10B44">
        <w:rPr>
          <w:rFonts w:eastAsiaTheme="minorEastAsia"/>
          <w:sz w:val="22"/>
          <w:szCs w:val="22"/>
        </w:rPr>
        <w:t>, health system-wide</w:t>
      </w:r>
      <w:r w:rsidR="20F7B636" w:rsidRPr="00A10B44">
        <w:rPr>
          <w:rFonts w:eastAsiaTheme="minorEastAsia"/>
          <w:sz w:val="22"/>
          <w:szCs w:val="22"/>
        </w:rPr>
        <w:t xml:space="preserve"> approach to </w:t>
      </w:r>
      <w:r w:rsidR="006367B2" w:rsidRPr="00A10B44">
        <w:rPr>
          <w:rFonts w:eastAsiaTheme="minorEastAsia"/>
          <w:sz w:val="22"/>
          <w:szCs w:val="22"/>
        </w:rPr>
        <w:t xml:space="preserve">be </w:t>
      </w:r>
      <w:r w:rsidR="20F7B636" w:rsidRPr="00A10B44">
        <w:rPr>
          <w:rFonts w:eastAsiaTheme="minorEastAsia"/>
          <w:sz w:val="22"/>
          <w:szCs w:val="22"/>
        </w:rPr>
        <w:t>follow</w:t>
      </w:r>
      <w:r w:rsidR="006367B2" w:rsidRPr="00A10B44">
        <w:rPr>
          <w:rFonts w:eastAsiaTheme="minorEastAsia"/>
          <w:sz w:val="22"/>
          <w:szCs w:val="22"/>
        </w:rPr>
        <w:t xml:space="preserve">ed in the event that Ontario is faced with </w:t>
      </w:r>
      <w:r w:rsidR="20F7B636" w:rsidRPr="00A10B44">
        <w:rPr>
          <w:rFonts w:eastAsiaTheme="minorEastAsia"/>
          <w:sz w:val="22"/>
          <w:szCs w:val="22"/>
        </w:rPr>
        <w:t xml:space="preserve">a major surge in demand for critical care during the COVID-19 pandemic. </w:t>
      </w:r>
      <w:r w:rsidR="147B9A34" w:rsidRPr="00A10B44">
        <w:rPr>
          <w:rFonts w:eastAsiaTheme="minorEastAsia"/>
          <w:sz w:val="22"/>
          <w:szCs w:val="22"/>
        </w:rPr>
        <w:t xml:space="preserve">This protocol </w:t>
      </w:r>
      <w:r w:rsidR="006367B2" w:rsidRPr="00A10B44">
        <w:rPr>
          <w:rFonts w:eastAsiaTheme="minorEastAsia"/>
          <w:sz w:val="22"/>
          <w:szCs w:val="22"/>
        </w:rPr>
        <w:t xml:space="preserve">(hereafter: </w:t>
      </w:r>
      <w:r w:rsidR="006367B2" w:rsidRPr="00A10B44">
        <w:rPr>
          <w:rFonts w:eastAsiaTheme="minorEastAsia"/>
          <w:i/>
          <w:iCs/>
          <w:sz w:val="22"/>
          <w:szCs w:val="22"/>
        </w:rPr>
        <w:t>‘the Protocol’</w:t>
      </w:r>
      <w:r w:rsidR="006367B2" w:rsidRPr="00A10B44">
        <w:rPr>
          <w:rFonts w:eastAsiaTheme="minorEastAsia"/>
          <w:sz w:val="22"/>
          <w:szCs w:val="22"/>
        </w:rPr>
        <w:t xml:space="preserve">) </w:t>
      </w:r>
      <w:r w:rsidR="147B9A34" w:rsidRPr="00A10B44">
        <w:rPr>
          <w:rFonts w:eastAsiaTheme="minorEastAsia"/>
          <w:sz w:val="22"/>
          <w:szCs w:val="22"/>
        </w:rPr>
        <w:t xml:space="preserve">should </w:t>
      </w:r>
      <w:r w:rsidR="4F501CDB" w:rsidRPr="00A10B44">
        <w:rPr>
          <w:rFonts w:eastAsiaTheme="minorEastAsia"/>
          <w:sz w:val="22"/>
          <w:szCs w:val="22"/>
        </w:rPr>
        <w:t>include</w:t>
      </w:r>
      <w:r w:rsidR="147B9A34" w:rsidRPr="00A10B44">
        <w:rPr>
          <w:rFonts w:eastAsiaTheme="minorEastAsia"/>
          <w:sz w:val="22"/>
          <w:szCs w:val="22"/>
        </w:rPr>
        <w:t xml:space="preserve"> </w:t>
      </w:r>
      <w:r w:rsidR="33E817FB" w:rsidRPr="00A10B44">
        <w:rPr>
          <w:rFonts w:eastAsiaTheme="minorEastAsia"/>
          <w:sz w:val="22"/>
          <w:szCs w:val="22"/>
        </w:rPr>
        <w:t xml:space="preserve">both </w:t>
      </w:r>
      <w:r w:rsidR="22DDB378" w:rsidRPr="00A10B44">
        <w:rPr>
          <w:rFonts w:eastAsiaTheme="minorEastAsia"/>
          <w:sz w:val="22"/>
          <w:szCs w:val="22"/>
        </w:rPr>
        <w:t>the</w:t>
      </w:r>
      <w:r w:rsidR="147B9A34" w:rsidRPr="00A10B44">
        <w:rPr>
          <w:rFonts w:eastAsiaTheme="minorEastAsia"/>
          <w:sz w:val="22"/>
          <w:szCs w:val="22"/>
        </w:rPr>
        <w:t xml:space="preserve"> </w:t>
      </w:r>
      <w:r w:rsidR="09A27CE9" w:rsidRPr="00A10B44">
        <w:rPr>
          <w:rFonts w:eastAsiaTheme="minorEastAsia"/>
          <w:i/>
          <w:iCs/>
          <w:sz w:val="22"/>
          <w:szCs w:val="22"/>
        </w:rPr>
        <w:t>Proposed</w:t>
      </w:r>
      <w:r w:rsidR="09A27CE9" w:rsidRPr="00A10B44">
        <w:rPr>
          <w:rFonts w:eastAsiaTheme="minorEastAsia"/>
          <w:sz w:val="22"/>
          <w:szCs w:val="22"/>
        </w:rPr>
        <w:t xml:space="preserve"> </w:t>
      </w:r>
      <w:r w:rsidR="147B9A34" w:rsidRPr="00A10B44">
        <w:rPr>
          <w:rFonts w:eastAsiaTheme="minorEastAsia"/>
          <w:i/>
          <w:iCs/>
          <w:sz w:val="22"/>
          <w:szCs w:val="22"/>
        </w:rPr>
        <w:t>Framework</w:t>
      </w:r>
      <w:r w:rsidR="4018E2B2" w:rsidRPr="00A10B44">
        <w:rPr>
          <w:rFonts w:eastAsiaTheme="minorEastAsia"/>
          <w:i/>
          <w:iCs/>
          <w:sz w:val="22"/>
          <w:szCs w:val="22"/>
        </w:rPr>
        <w:t xml:space="preserve"> </w:t>
      </w:r>
      <w:r w:rsidR="007AE821" w:rsidRPr="00A10B44">
        <w:rPr>
          <w:rFonts w:eastAsiaTheme="minorEastAsia"/>
          <w:sz w:val="22"/>
          <w:szCs w:val="22"/>
        </w:rPr>
        <w:t>and</w:t>
      </w:r>
      <w:r w:rsidR="006367B2" w:rsidRPr="00A10B44">
        <w:rPr>
          <w:rFonts w:eastAsiaTheme="minorEastAsia"/>
          <w:sz w:val="22"/>
          <w:szCs w:val="22"/>
        </w:rPr>
        <w:t xml:space="preserve"> the</w:t>
      </w:r>
      <w:r w:rsidR="59EE0D97" w:rsidRPr="00A10B44">
        <w:rPr>
          <w:rFonts w:eastAsiaTheme="minorEastAsia"/>
          <w:sz w:val="22"/>
          <w:szCs w:val="22"/>
        </w:rPr>
        <w:t xml:space="preserve"> </w:t>
      </w:r>
      <w:r w:rsidR="37C4B03A" w:rsidRPr="00A10B44">
        <w:rPr>
          <w:rFonts w:eastAsiaTheme="minorEastAsia"/>
          <w:i/>
          <w:iCs/>
          <w:sz w:val="22"/>
          <w:szCs w:val="22"/>
        </w:rPr>
        <w:t>C</w:t>
      </w:r>
      <w:r w:rsidR="1475A0CB" w:rsidRPr="00A10B44">
        <w:rPr>
          <w:rFonts w:eastAsiaTheme="minorEastAsia"/>
          <w:i/>
          <w:iCs/>
          <w:sz w:val="22"/>
          <w:szCs w:val="22"/>
        </w:rPr>
        <w:t xml:space="preserve">linical </w:t>
      </w:r>
      <w:r w:rsidR="00DA0844" w:rsidRPr="00A10B44">
        <w:rPr>
          <w:rFonts w:eastAsiaTheme="minorEastAsia"/>
          <w:i/>
          <w:iCs/>
          <w:sz w:val="22"/>
          <w:szCs w:val="22"/>
        </w:rPr>
        <w:t xml:space="preserve">Assessment </w:t>
      </w:r>
      <w:r w:rsidR="18518060" w:rsidRPr="00A10B44">
        <w:rPr>
          <w:rFonts w:eastAsiaTheme="minorEastAsia"/>
          <w:i/>
          <w:iCs/>
          <w:sz w:val="22"/>
          <w:szCs w:val="22"/>
        </w:rPr>
        <w:t>G</w:t>
      </w:r>
      <w:r w:rsidR="1475A0CB" w:rsidRPr="00A10B44">
        <w:rPr>
          <w:rFonts w:eastAsiaTheme="minorEastAsia"/>
          <w:i/>
          <w:iCs/>
          <w:sz w:val="22"/>
          <w:szCs w:val="22"/>
        </w:rPr>
        <w:t>uidelines</w:t>
      </w:r>
      <w:r w:rsidR="5382F089" w:rsidRPr="00A10B44">
        <w:rPr>
          <w:rFonts w:eastAsiaTheme="minorEastAsia"/>
          <w:sz w:val="22"/>
          <w:szCs w:val="22"/>
        </w:rPr>
        <w:t>.</w:t>
      </w:r>
    </w:p>
    <w:p w14:paraId="62751F05" w14:textId="77777777" w:rsidR="00A71CEF" w:rsidRDefault="00A71CEF" w:rsidP="00CD465C">
      <w:pPr>
        <w:pStyle w:val="ListParagraph"/>
        <w:numPr>
          <w:ilvl w:val="0"/>
          <w:numId w:val="28"/>
        </w:numPr>
        <w:rPr>
          <w:rFonts w:eastAsiaTheme="minorEastAsia"/>
          <w:sz w:val="22"/>
          <w:szCs w:val="22"/>
        </w:rPr>
      </w:pPr>
      <w:r w:rsidRPr="00A71CEF">
        <w:rPr>
          <w:rFonts w:eastAsiaTheme="minorEastAsia"/>
          <w:sz w:val="22"/>
          <w:szCs w:val="22"/>
        </w:rPr>
        <w:t xml:space="preserve">Engage health system partners in developing guidance for the implementation of </w:t>
      </w:r>
      <w:r w:rsidRPr="00A71CEF">
        <w:rPr>
          <w:rFonts w:eastAsiaTheme="minorEastAsia"/>
          <w:i/>
          <w:iCs/>
          <w:sz w:val="22"/>
          <w:szCs w:val="22"/>
        </w:rPr>
        <w:t>the Protocol</w:t>
      </w:r>
      <w:r w:rsidRPr="00A71CEF">
        <w:rPr>
          <w:rFonts w:eastAsiaTheme="minorEastAsia"/>
          <w:sz w:val="22"/>
          <w:szCs w:val="22"/>
        </w:rPr>
        <w:t xml:space="preserve"> in Ontario hospitals, including clinical operations, communications, patient supports, clinician supports, education/training, data collection</w:t>
      </w:r>
      <w:r>
        <w:rPr>
          <w:rFonts w:eastAsiaTheme="minorEastAsia"/>
          <w:sz w:val="22"/>
          <w:szCs w:val="22"/>
        </w:rPr>
        <w:t>,</w:t>
      </w:r>
      <w:r w:rsidRPr="00A71CEF">
        <w:rPr>
          <w:rFonts w:eastAsiaTheme="minorEastAsia"/>
          <w:sz w:val="22"/>
          <w:szCs w:val="22"/>
        </w:rPr>
        <w:t xml:space="preserve"> and monitoring</w:t>
      </w:r>
      <w:r>
        <w:rPr>
          <w:rFonts w:eastAsiaTheme="minorEastAsia"/>
          <w:sz w:val="22"/>
          <w:szCs w:val="22"/>
        </w:rPr>
        <w:t>.</w:t>
      </w:r>
    </w:p>
    <w:p w14:paraId="47B9AFB7" w14:textId="3B31B55D" w:rsidR="006367B2" w:rsidRPr="006367B2" w:rsidRDefault="006367B2" w:rsidP="00CD465C">
      <w:pPr>
        <w:pStyle w:val="ListParagraph"/>
        <w:numPr>
          <w:ilvl w:val="0"/>
          <w:numId w:val="28"/>
        </w:numPr>
        <w:rPr>
          <w:rFonts w:eastAsiaTheme="minorEastAsia"/>
          <w:sz w:val="22"/>
          <w:szCs w:val="22"/>
        </w:rPr>
      </w:pPr>
      <w:r w:rsidRPr="006367B2">
        <w:rPr>
          <w:rFonts w:eastAsiaTheme="minorEastAsia"/>
          <w:sz w:val="22"/>
          <w:szCs w:val="22"/>
        </w:rPr>
        <w:t>Ensure that the perspectives and participation of those representing Indigenous people, Black and racialized communities, persons with disabilities</w:t>
      </w:r>
      <w:r>
        <w:rPr>
          <w:rFonts w:eastAsiaTheme="minorEastAsia"/>
          <w:sz w:val="22"/>
          <w:szCs w:val="22"/>
        </w:rPr>
        <w:t>,</w:t>
      </w:r>
      <w:r w:rsidRPr="006367B2">
        <w:rPr>
          <w:rFonts w:eastAsiaTheme="minorEastAsia"/>
          <w:sz w:val="22"/>
          <w:szCs w:val="22"/>
        </w:rPr>
        <w:t xml:space="preserve"> and others who may be disproportionately affected by critical care triage due to systemic discrimination, are proactively and meaningfully engaged </w:t>
      </w:r>
      <w:r w:rsidR="00E769D8">
        <w:rPr>
          <w:rFonts w:eastAsiaTheme="minorEastAsia"/>
          <w:sz w:val="22"/>
          <w:szCs w:val="22"/>
        </w:rPr>
        <w:t xml:space="preserve">particularly </w:t>
      </w:r>
      <w:r w:rsidRPr="006367B2">
        <w:rPr>
          <w:rFonts w:eastAsiaTheme="minorEastAsia"/>
          <w:sz w:val="22"/>
          <w:szCs w:val="22"/>
        </w:rPr>
        <w:t>in</w:t>
      </w:r>
      <w:r w:rsidR="00E769D8">
        <w:rPr>
          <w:rFonts w:eastAsiaTheme="minorEastAsia"/>
          <w:sz w:val="22"/>
          <w:szCs w:val="22"/>
        </w:rPr>
        <w:t xml:space="preserve"> relation to</w:t>
      </w:r>
      <w:r w:rsidRPr="006367B2">
        <w:rPr>
          <w:rFonts w:eastAsiaTheme="minorEastAsia"/>
          <w:sz w:val="22"/>
          <w:szCs w:val="22"/>
        </w:rPr>
        <w:t xml:space="preserve"> recommendations </w:t>
      </w:r>
      <w:r w:rsidR="00280CA6">
        <w:rPr>
          <w:rFonts w:eastAsiaTheme="minorEastAsia"/>
          <w:sz w:val="22"/>
          <w:szCs w:val="22"/>
        </w:rPr>
        <w:t>5</w:t>
      </w:r>
      <w:r w:rsidRPr="006367B2">
        <w:rPr>
          <w:rFonts w:eastAsiaTheme="minorEastAsia"/>
          <w:sz w:val="22"/>
          <w:szCs w:val="22"/>
        </w:rPr>
        <w:t>-</w:t>
      </w:r>
      <w:r w:rsidR="00280CA6">
        <w:rPr>
          <w:rFonts w:eastAsiaTheme="minorEastAsia"/>
          <w:sz w:val="22"/>
          <w:szCs w:val="22"/>
        </w:rPr>
        <w:t>7</w:t>
      </w:r>
      <w:r w:rsidRPr="006367B2">
        <w:rPr>
          <w:rFonts w:eastAsiaTheme="minorEastAsia"/>
          <w:sz w:val="22"/>
          <w:szCs w:val="22"/>
        </w:rPr>
        <w:t>.</w:t>
      </w:r>
    </w:p>
    <w:p w14:paraId="3EEE8972" w14:textId="5A416495" w:rsidR="006367B2" w:rsidRDefault="6A094CD1" w:rsidP="00CD465C">
      <w:pPr>
        <w:pStyle w:val="ListParagraph"/>
        <w:numPr>
          <w:ilvl w:val="0"/>
          <w:numId w:val="28"/>
        </w:numPr>
        <w:rPr>
          <w:rFonts w:eastAsiaTheme="minorEastAsia"/>
          <w:sz w:val="22"/>
          <w:szCs w:val="22"/>
        </w:rPr>
      </w:pPr>
      <w:r w:rsidRPr="500AFCFA">
        <w:rPr>
          <w:rFonts w:eastAsiaTheme="minorEastAsia"/>
          <w:sz w:val="22"/>
          <w:szCs w:val="22"/>
        </w:rPr>
        <w:lastRenderedPageBreak/>
        <w:t>Clarify</w:t>
      </w:r>
      <w:r w:rsidR="214637E5" w:rsidRPr="500AFCFA">
        <w:rPr>
          <w:rFonts w:eastAsiaTheme="minorEastAsia"/>
          <w:sz w:val="22"/>
          <w:szCs w:val="22"/>
        </w:rPr>
        <w:t xml:space="preserve"> </w:t>
      </w:r>
      <w:r w:rsidR="274541DD" w:rsidRPr="500AFCFA">
        <w:rPr>
          <w:rFonts w:eastAsiaTheme="minorEastAsia"/>
          <w:sz w:val="22"/>
          <w:szCs w:val="22"/>
        </w:rPr>
        <w:t>the</w:t>
      </w:r>
      <w:r w:rsidR="49A389A1" w:rsidRPr="500AFCFA">
        <w:rPr>
          <w:rFonts w:eastAsiaTheme="minorEastAsia"/>
          <w:sz w:val="22"/>
          <w:szCs w:val="22"/>
        </w:rPr>
        <w:t xml:space="preserve"> governance </w:t>
      </w:r>
      <w:r w:rsidR="56B98528" w:rsidRPr="500AFCFA">
        <w:rPr>
          <w:rFonts w:eastAsiaTheme="minorEastAsia"/>
          <w:sz w:val="22"/>
          <w:szCs w:val="22"/>
        </w:rPr>
        <w:t>and accountabilit</w:t>
      </w:r>
      <w:r w:rsidR="6C02B939" w:rsidRPr="500AFCFA">
        <w:rPr>
          <w:rFonts w:eastAsiaTheme="minorEastAsia"/>
          <w:sz w:val="22"/>
          <w:szCs w:val="22"/>
        </w:rPr>
        <w:t>ies</w:t>
      </w:r>
      <w:r w:rsidR="56B98528" w:rsidRPr="500AFCFA">
        <w:rPr>
          <w:rFonts w:eastAsiaTheme="minorEastAsia"/>
          <w:sz w:val="22"/>
          <w:szCs w:val="22"/>
        </w:rPr>
        <w:t xml:space="preserve"> </w:t>
      </w:r>
      <w:r w:rsidR="3BFF4F48" w:rsidRPr="500AFCFA">
        <w:rPr>
          <w:rFonts w:eastAsiaTheme="minorEastAsia"/>
          <w:sz w:val="22"/>
          <w:szCs w:val="22"/>
        </w:rPr>
        <w:t xml:space="preserve">for </w:t>
      </w:r>
      <w:r w:rsidR="4B089824" w:rsidRPr="500AFCFA">
        <w:rPr>
          <w:rFonts w:eastAsiaTheme="minorEastAsia"/>
          <w:sz w:val="22"/>
          <w:szCs w:val="22"/>
        </w:rPr>
        <w:t>Ontario’s approach to critical care triage during a major surge</w:t>
      </w:r>
      <w:r w:rsidR="3B74463B" w:rsidRPr="500AFCFA">
        <w:rPr>
          <w:rFonts w:eastAsiaTheme="minorEastAsia"/>
          <w:sz w:val="22"/>
          <w:szCs w:val="22"/>
        </w:rPr>
        <w:t>, including</w:t>
      </w:r>
      <w:r w:rsidR="00DA0844" w:rsidRPr="500AFCFA">
        <w:rPr>
          <w:rFonts w:eastAsiaTheme="minorEastAsia"/>
          <w:sz w:val="22"/>
          <w:szCs w:val="22"/>
        </w:rPr>
        <w:t xml:space="preserve"> but not limited to</w:t>
      </w:r>
      <w:r w:rsidR="3B74463B" w:rsidRPr="500AFCFA">
        <w:rPr>
          <w:rFonts w:eastAsiaTheme="minorEastAsia"/>
          <w:sz w:val="22"/>
          <w:szCs w:val="22"/>
        </w:rPr>
        <w:t xml:space="preserve">: </w:t>
      </w:r>
      <w:proofErr w:type="spellStart"/>
      <w:r w:rsidR="00205590" w:rsidRPr="500AFCFA">
        <w:rPr>
          <w:rFonts w:eastAsiaTheme="minorEastAsia"/>
          <w:sz w:val="22"/>
          <w:szCs w:val="22"/>
        </w:rPr>
        <w:t>i</w:t>
      </w:r>
      <w:proofErr w:type="spellEnd"/>
      <w:r w:rsidR="3B74463B" w:rsidRPr="500AFCFA">
        <w:rPr>
          <w:rFonts w:eastAsiaTheme="minorEastAsia"/>
          <w:sz w:val="22"/>
          <w:szCs w:val="22"/>
        </w:rPr>
        <w:t xml:space="preserve">) initiation of </w:t>
      </w:r>
      <w:r w:rsidR="0E05EF39" w:rsidRPr="500AFCFA">
        <w:rPr>
          <w:rFonts w:eastAsiaTheme="minorEastAsia"/>
          <w:sz w:val="22"/>
          <w:szCs w:val="22"/>
        </w:rPr>
        <w:t xml:space="preserve">triage for </w:t>
      </w:r>
      <w:r w:rsidR="3B74463B" w:rsidRPr="500AFCFA">
        <w:rPr>
          <w:rFonts w:eastAsiaTheme="minorEastAsia"/>
          <w:sz w:val="22"/>
          <w:szCs w:val="22"/>
        </w:rPr>
        <w:t xml:space="preserve">major </w:t>
      </w:r>
      <w:r w:rsidR="5F6FCDF7" w:rsidRPr="500AFCFA">
        <w:rPr>
          <w:rFonts w:eastAsiaTheme="minorEastAsia"/>
          <w:sz w:val="22"/>
          <w:szCs w:val="22"/>
        </w:rPr>
        <w:t>surge</w:t>
      </w:r>
      <w:r w:rsidR="3B74463B" w:rsidRPr="500AFCFA">
        <w:rPr>
          <w:rFonts w:eastAsiaTheme="minorEastAsia"/>
          <w:sz w:val="22"/>
          <w:szCs w:val="22"/>
        </w:rPr>
        <w:t xml:space="preserve">, ii) </w:t>
      </w:r>
      <w:r w:rsidR="1CD5B695" w:rsidRPr="500AFCFA">
        <w:rPr>
          <w:rFonts w:eastAsiaTheme="minorEastAsia"/>
          <w:sz w:val="22"/>
          <w:szCs w:val="22"/>
        </w:rPr>
        <w:t xml:space="preserve">data collection, </w:t>
      </w:r>
      <w:r w:rsidR="00DA0844" w:rsidRPr="500AFCFA">
        <w:rPr>
          <w:rFonts w:eastAsiaTheme="minorEastAsia"/>
          <w:sz w:val="22"/>
          <w:szCs w:val="22"/>
        </w:rPr>
        <w:t xml:space="preserve">and </w:t>
      </w:r>
      <w:r w:rsidR="1CD5B695" w:rsidRPr="500AFCFA">
        <w:rPr>
          <w:rFonts w:eastAsiaTheme="minorEastAsia"/>
          <w:sz w:val="22"/>
          <w:szCs w:val="22"/>
        </w:rPr>
        <w:t xml:space="preserve">iii) </w:t>
      </w:r>
      <w:r w:rsidR="3B74463B" w:rsidRPr="500AFCFA">
        <w:rPr>
          <w:rFonts w:eastAsiaTheme="minorEastAsia"/>
          <w:sz w:val="22"/>
          <w:szCs w:val="22"/>
        </w:rPr>
        <w:t>monitoring</w:t>
      </w:r>
      <w:r w:rsidR="1C97EF31" w:rsidRPr="500AFCFA">
        <w:rPr>
          <w:rFonts w:eastAsiaTheme="minorEastAsia"/>
          <w:sz w:val="22"/>
          <w:szCs w:val="22"/>
        </w:rPr>
        <w:t>.</w:t>
      </w:r>
      <w:r w:rsidR="7DD9504A" w:rsidRPr="500AFCFA">
        <w:rPr>
          <w:rFonts w:eastAsiaTheme="minorEastAsia"/>
          <w:sz w:val="22"/>
          <w:szCs w:val="22"/>
        </w:rPr>
        <w:t xml:space="preserve"> </w:t>
      </w:r>
      <w:r w:rsidR="604BC11E" w:rsidRPr="500AFCFA">
        <w:rPr>
          <w:rFonts w:eastAsiaTheme="minorEastAsia"/>
          <w:sz w:val="22"/>
          <w:szCs w:val="22"/>
        </w:rPr>
        <w:t xml:space="preserve">Within this governance structure, establish and/or identify a body </w:t>
      </w:r>
      <w:r w:rsidR="003C1D38" w:rsidRPr="500AFCFA">
        <w:rPr>
          <w:rFonts w:eastAsiaTheme="minorEastAsia"/>
          <w:sz w:val="22"/>
          <w:szCs w:val="22"/>
        </w:rPr>
        <w:t>to monitor, review, and revise Ontario’s approach to critical care triage to ensure it is achieving the aim for which it is intended and is not leading to unintended adverse consequences.</w:t>
      </w:r>
    </w:p>
    <w:p w14:paraId="4025F81A" w14:textId="615ECEED" w:rsidR="006367B2" w:rsidRPr="006367B2" w:rsidRDefault="006367B2" w:rsidP="00CD465C">
      <w:pPr>
        <w:pStyle w:val="ListParagraph"/>
        <w:numPr>
          <w:ilvl w:val="0"/>
          <w:numId w:val="28"/>
        </w:numPr>
        <w:rPr>
          <w:rFonts w:eastAsiaTheme="minorEastAsia"/>
          <w:sz w:val="22"/>
          <w:szCs w:val="22"/>
        </w:rPr>
      </w:pPr>
      <w:r w:rsidRPr="006367B2">
        <w:rPr>
          <w:rFonts w:eastAsiaTheme="minorEastAsia"/>
          <w:sz w:val="22"/>
          <w:szCs w:val="22"/>
        </w:rPr>
        <w:t>Sustain efforts to prevent and mitigate the risk of a major surge in demand for critical care, and in particular the disproportionate effect that a major surge may have on the least advantaged. This should include enhanced efforts to ensure that key public health prevention and mitigation strategies</w:t>
      </w:r>
      <w:r>
        <w:rPr>
          <w:rFonts w:eastAsiaTheme="minorEastAsia"/>
          <w:sz w:val="22"/>
          <w:szCs w:val="22"/>
        </w:rPr>
        <w:t xml:space="preserve"> </w:t>
      </w:r>
      <w:r w:rsidRPr="006367B2">
        <w:rPr>
          <w:rFonts w:eastAsiaTheme="minorEastAsia"/>
          <w:sz w:val="22"/>
          <w:szCs w:val="22"/>
        </w:rPr>
        <w:t>(e.g., face masks, testing, social distancing, contact tracing</w:t>
      </w:r>
      <w:r>
        <w:rPr>
          <w:rFonts w:eastAsiaTheme="minorEastAsia"/>
          <w:sz w:val="22"/>
          <w:szCs w:val="22"/>
        </w:rPr>
        <w:t>, etc.</w:t>
      </w:r>
      <w:r w:rsidRPr="006367B2">
        <w:rPr>
          <w:rFonts w:eastAsiaTheme="minorEastAsia"/>
          <w:sz w:val="22"/>
          <w:szCs w:val="22"/>
        </w:rPr>
        <w:t>) are available, are community-based, and aim to address vulnerabilities among communities at greatest risk.</w:t>
      </w:r>
    </w:p>
    <w:p w14:paraId="39B5236F" w14:textId="4CA75076" w:rsidR="00A7794A" w:rsidRDefault="00A7794A" w:rsidP="500AFCFA">
      <w:pPr>
        <w:rPr>
          <w:rFonts w:eastAsiaTheme="minorEastAsia"/>
          <w:sz w:val="22"/>
          <w:szCs w:val="22"/>
        </w:rPr>
      </w:pPr>
    </w:p>
    <w:p w14:paraId="49C69808" w14:textId="3E41B9ED" w:rsidR="00A7794A" w:rsidRPr="00A7794A" w:rsidRDefault="00A7794A" w:rsidP="500AFCFA">
      <w:pPr>
        <w:rPr>
          <w:rFonts w:eastAsiaTheme="minorEastAsia"/>
          <w:b/>
          <w:bCs/>
          <w:sz w:val="22"/>
          <w:szCs w:val="22"/>
        </w:rPr>
      </w:pPr>
      <w:r w:rsidRPr="500AFCFA">
        <w:rPr>
          <w:rFonts w:eastAsiaTheme="minorEastAsia"/>
          <w:b/>
          <w:bCs/>
          <w:sz w:val="22"/>
          <w:szCs w:val="22"/>
        </w:rPr>
        <w:t>Ontario COVID-19 Bioethics Table</w:t>
      </w:r>
    </w:p>
    <w:p w14:paraId="67F1C470" w14:textId="3DD66F59" w:rsidR="00A10B44" w:rsidRDefault="00A7794A" w:rsidP="00BA2F66">
      <w:r w:rsidRPr="500AFCFA">
        <w:rPr>
          <w:rFonts w:eastAsiaTheme="minorEastAsia"/>
          <w:b/>
          <w:bCs/>
          <w:sz w:val="22"/>
          <w:szCs w:val="22"/>
        </w:rPr>
        <w:t xml:space="preserve">September </w:t>
      </w:r>
      <w:r w:rsidR="6340342C" w:rsidRPr="500AFCFA">
        <w:rPr>
          <w:rFonts w:eastAsiaTheme="minorEastAsia"/>
          <w:b/>
          <w:bCs/>
          <w:sz w:val="22"/>
          <w:szCs w:val="22"/>
        </w:rPr>
        <w:t>11</w:t>
      </w:r>
      <w:r w:rsidRPr="500AFCFA">
        <w:rPr>
          <w:rFonts w:eastAsiaTheme="minorEastAsia"/>
          <w:b/>
          <w:bCs/>
          <w:sz w:val="22"/>
          <w:szCs w:val="22"/>
        </w:rPr>
        <w:t>, 2020</w:t>
      </w:r>
    </w:p>
    <w:p w14:paraId="20411E20" w14:textId="77777777" w:rsidR="00BA2F66" w:rsidRDefault="00BA2F66">
      <w:pPr>
        <w:rPr>
          <w:b/>
          <w:bCs/>
          <w:sz w:val="28"/>
        </w:rPr>
      </w:pPr>
      <w:r>
        <w:br w:type="page"/>
      </w:r>
    </w:p>
    <w:p w14:paraId="092C259F" w14:textId="5BDB0A38" w:rsidR="596C909A" w:rsidRPr="00DD53AE" w:rsidRDefault="00A10B44" w:rsidP="00361DD6">
      <w:pPr>
        <w:pStyle w:val="Heading2"/>
      </w:pPr>
      <w:r w:rsidRPr="00DD53AE">
        <w:lastRenderedPageBreak/>
        <w:t>C</w:t>
      </w:r>
      <w:r w:rsidR="13F69BD7" w:rsidRPr="00DD53AE">
        <w:t xml:space="preserve">ritical </w:t>
      </w:r>
      <w:r w:rsidR="1A82182B" w:rsidRPr="00DD53AE">
        <w:t xml:space="preserve">Care </w:t>
      </w:r>
      <w:r w:rsidR="1392D96E" w:rsidRPr="00DD53AE">
        <w:t xml:space="preserve">Triage </w:t>
      </w:r>
      <w:r w:rsidR="5C9137D0" w:rsidRPr="00DD53AE">
        <w:t xml:space="preserve">during </w:t>
      </w:r>
      <w:r w:rsidR="1392D96E" w:rsidRPr="00DD53AE">
        <w:t xml:space="preserve">Major Surge in </w:t>
      </w:r>
      <w:r w:rsidR="13F69BD7" w:rsidRPr="00DD53AE">
        <w:t>the COVID</w:t>
      </w:r>
      <w:r w:rsidR="1E35E223" w:rsidRPr="00DD53AE">
        <w:t>-19</w:t>
      </w:r>
      <w:r w:rsidR="13F69BD7" w:rsidRPr="00DD53AE">
        <w:t xml:space="preserve"> Pandemic</w:t>
      </w:r>
      <w:r w:rsidR="721DC8EE" w:rsidRPr="00DD53AE">
        <w:t>: Proposed Framework for Ontario</w:t>
      </w:r>
    </w:p>
    <w:p w14:paraId="33800B5D" w14:textId="12E67D83" w:rsidR="00A945D1" w:rsidRPr="00A32CDC" w:rsidRDefault="00A945D1" w:rsidP="00030D76"/>
    <w:p w14:paraId="79062B94" w14:textId="02A50BBE" w:rsidR="00767D21" w:rsidRDefault="10B3C936" w:rsidP="00DF420D">
      <w:pPr>
        <w:pStyle w:val="ListParagraph"/>
        <w:pBdr>
          <w:top w:val="single" w:sz="4" w:space="1" w:color="auto"/>
          <w:left w:val="single" w:sz="4" w:space="4" w:color="auto"/>
          <w:bottom w:val="single" w:sz="4" w:space="1" w:color="auto"/>
          <w:right w:val="single" w:sz="4" w:space="4" w:color="auto"/>
        </w:pBdr>
        <w:ind w:left="360"/>
        <w:rPr>
          <w:b/>
          <w:bCs/>
          <w:sz w:val="22"/>
          <w:szCs w:val="22"/>
          <w:u w:val="single"/>
        </w:rPr>
      </w:pPr>
      <w:r w:rsidRPr="109A04B4">
        <w:rPr>
          <w:i/>
          <w:iCs/>
          <w:sz w:val="22"/>
          <w:szCs w:val="22"/>
        </w:rPr>
        <w:t xml:space="preserve">Note: This </w:t>
      </w:r>
      <w:r w:rsidR="6D8424EB" w:rsidRPr="109A04B4">
        <w:rPr>
          <w:i/>
          <w:iCs/>
          <w:sz w:val="22"/>
          <w:szCs w:val="22"/>
        </w:rPr>
        <w:t xml:space="preserve">Proposed </w:t>
      </w:r>
      <w:r w:rsidR="039C71D4" w:rsidRPr="109A04B4">
        <w:rPr>
          <w:i/>
          <w:iCs/>
          <w:sz w:val="22"/>
          <w:szCs w:val="22"/>
        </w:rPr>
        <w:t>F</w:t>
      </w:r>
      <w:r w:rsidR="00A32CDC" w:rsidRPr="109A04B4">
        <w:rPr>
          <w:i/>
          <w:iCs/>
          <w:sz w:val="22"/>
          <w:szCs w:val="22"/>
        </w:rPr>
        <w:t>ramework</w:t>
      </w:r>
      <w:r w:rsidRPr="109A04B4">
        <w:rPr>
          <w:i/>
          <w:iCs/>
          <w:sz w:val="22"/>
          <w:szCs w:val="22"/>
        </w:rPr>
        <w:t xml:space="preserve"> </w:t>
      </w:r>
      <w:r w:rsidR="30BBC2C2" w:rsidRPr="109A04B4">
        <w:rPr>
          <w:i/>
          <w:iCs/>
          <w:sz w:val="22"/>
          <w:szCs w:val="22"/>
        </w:rPr>
        <w:t xml:space="preserve">was </w:t>
      </w:r>
      <w:r w:rsidRPr="109A04B4">
        <w:rPr>
          <w:i/>
          <w:iCs/>
          <w:sz w:val="22"/>
          <w:szCs w:val="22"/>
        </w:rPr>
        <w:t xml:space="preserve">developed by provincial experts in </w:t>
      </w:r>
      <w:r w:rsidR="54FFDB60" w:rsidRPr="109A04B4">
        <w:rPr>
          <w:i/>
          <w:iCs/>
          <w:sz w:val="22"/>
          <w:szCs w:val="22"/>
        </w:rPr>
        <w:t>bio</w:t>
      </w:r>
      <w:r w:rsidRPr="109A04B4">
        <w:rPr>
          <w:i/>
          <w:iCs/>
          <w:sz w:val="22"/>
          <w:szCs w:val="22"/>
        </w:rPr>
        <w:t>ethics in consultation with clinical experts and informed by stakeholder feedback</w:t>
      </w:r>
      <w:r w:rsidR="6F79E204" w:rsidRPr="109A04B4">
        <w:rPr>
          <w:i/>
          <w:iCs/>
          <w:sz w:val="22"/>
          <w:szCs w:val="22"/>
        </w:rPr>
        <w:t xml:space="preserve"> in Ontario</w:t>
      </w:r>
      <w:r w:rsidRPr="109A04B4">
        <w:rPr>
          <w:i/>
          <w:iCs/>
          <w:sz w:val="22"/>
          <w:szCs w:val="22"/>
        </w:rPr>
        <w:t>. It reflects best knowledge and advice at the time of writing and is subject to revision based on changing conditions</w:t>
      </w:r>
      <w:r w:rsidR="6BD1DDF4" w:rsidRPr="109A04B4">
        <w:rPr>
          <w:i/>
          <w:iCs/>
          <w:sz w:val="22"/>
          <w:szCs w:val="22"/>
        </w:rPr>
        <w:t xml:space="preserve"> </w:t>
      </w:r>
      <w:r w:rsidR="26EBFA4E" w:rsidRPr="109A04B4">
        <w:rPr>
          <w:i/>
          <w:iCs/>
          <w:sz w:val="22"/>
          <w:szCs w:val="22"/>
        </w:rPr>
        <w:t xml:space="preserve">and evolving </w:t>
      </w:r>
      <w:r w:rsidR="1EE666C7" w:rsidRPr="109A04B4">
        <w:rPr>
          <w:i/>
          <w:iCs/>
          <w:sz w:val="22"/>
          <w:szCs w:val="22"/>
        </w:rPr>
        <w:t xml:space="preserve">clinical </w:t>
      </w:r>
      <w:r w:rsidRPr="109A04B4">
        <w:rPr>
          <w:i/>
          <w:iCs/>
          <w:sz w:val="22"/>
          <w:szCs w:val="22"/>
        </w:rPr>
        <w:t>evidence in the COVID pandemic.</w:t>
      </w:r>
      <w:r w:rsidR="00DF420D" w:rsidRPr="109A04B4">
        <w:rPr>
          <w:rStyle w:val="FootnoteReference"/>
          <w:i/>
          <w:iCs/>
          <w:sz w:val="22"/>
          <w:szCs w:val="22"/>
        </w:rPr>
        <w:footnoteReference w:id="1"/>
      </w:r>
      <w:r w:rsidR="28106D13" w:rsidRPr="109A04B4">
        <w:rPr>
          <w:i/>
          <w:iCs/>
          <w:sz w:val="22"/>
          <w:szCs w:val="22"/>
        </w:rPr>
        <w:t xml:space="preserve"> This</w:t>
      </w:r>
      <w:r w:rsidR="009B72FA">
        <w:rPr>
          <w:i/>
          <w:iCs/>
          <w:sz w:val="22"/>
          <w:szCs w:val="22"/>
        </w:rPr>
        <w:t xml:space="preserve"> is a green document, subject to further development (see recommended next steps in Section G),</w:t>
      </w:r>
      <w:r w:rsidR="28106D13" w:rsidRPr="109A04B4">
        <w:rPr>
          <w:i/>
          <w:iCs/>
          <w:sz w:val="22"/>
          <w:szCs w:val="22"/>
        </w:rPr>
        <w:t xml:space="preserve"> </w:t>
      </w:r>
      <w:r w:rsidR="009B72FA">
        <w:rPr>
          <w:i/>
          <w:iCs/>
          <w:sz w:val="22"/>
          <w:szCs w:val="22"/>
        </w:rPr>
        <w:t xml:space="preserve">and </w:t>
      </w:r>
      <w:r w:rsidR="28106D13" w:rsidRPr="109A04B4">
        <w:rPr>
          <w:i/>
          <w:iCs/>
          <w:sz w:val="22"/>
          <w:szCs w:val="22"/>
        </w:rPr>
        <w:t xml:space="preserve">replaces a previous draft </w:t>
      </w:r>
      <w:r w:rsidR="58FBB96F" w:rsidRPr="109A04B4">
        <w:rPr>
          <w:i/>
          <w:iCs/>
          <w:sz w:val="22"/>
          <w:szCs w:val="22"/>
        </w:rPr>
        <w:t xml:space="preserve">version </w:t>
      </w:r>
      <w:r w:rsidR="28106D13" w:rsidRPr="109A04B4">
        <w:rPr>
          <w:i/>
          <w:iCs/>
          <w:sz w:val="22"/>
          <w:szCs w:val="22"/>
        </w:rPr>
        <w:t xml:space="preserve">dated March 28, 2020. </w:t>
      </w:r>
      <w:r w:rsidR="1F359051" w:rsidRPr="109A04B4">
        <w:rPr>
          <w:i/>
          <w:iCs/>
          <w:sz w:val="22"/>
          <w:szCs w:val="22"/>
        </w:rPr>
        <w:t>A</w:t>
      </w:r>
      <w:r w:rsidR="37FE05BF" w:rsidRPr="109A04B4">
        <w:rPr>
          <w:i/>
          <w:iCs/>
          <w:sz w:val="22"/>
          <w:szCs w:val="22"/>
        </w:rPr>
        <w:t xml:space="preserve">ny previous versions </w:t>
      </w:r>
      <w:r w:rsidR="7A3CABA0" w:rsidRPr="109A04B4">
        <w:rPr>
          <w:i/>
          <w:iCs/>
          <w:sz w:val="22"/>
          <w:szCs w:val="22"/>
        </w:rPr>
        <w:t xml:space="preserve">should </w:t>
      </w:r>
      <w:r w:rsidR="28106D13" w:rsidRPr="109A04B4">
        <w:rPr>
          <w:i/>
          <w:iCs/>
          <w:sz w:val="22"/>
          <w:szCs w:val="22"/>
        </w:rPr>
        <w:t>not be relied upon or implemented as th</w:t>
      </w:r>
      <w:r w:rsidR="4B258059" w:rsidRPr="109A04B4">
        <w:rPr>
          <w:i/>
          <w:iCs/>
          <w:sz w:val="22"/>
          <w:szCs w:val="22"/>
        </w:rPr>
        <w:t xml:space="preserve">is </w:t>
      </w:r>
      <w:r w:rsidR="31F346B1" w:rsidRPr="109A04B4">
        <w:rPr>
          <w:i/>
          <w:iCs/>
          <w:sz w:val="22"/>
          <w:szCs w:val="22"/>
        </w:rPr>
        <w:t>P</w:t>
      </w:r>
      <w:r w:rsidR="4B258059" w:rsidRPr="109A04B4">
        <w:rPr>
          <w:i/>
          <w:iCs/>
          <w:sz w:val="22"/>
          <w:szCs w:val="22"/>
        </w:rPr>
        <w:t xml:space="preserve">roposed </w:t>
      </w:r>
      <w:r w:rsidR="674FFBA4" w:rsidRPr="109A04B4">
        <w:rPr>
          <w:i/>
          <w:iCs/>
          <w:sz w:val="22"/>
          <w:szCs w:val="22"/>
        </w:rPr>
        <w:t>F</w:t>
      </w:r>
      <w:r w:rsidR="4B258059" w:rsidRPr="109A04B4">
        <w:rPr>
          <w:i/>
          <w:iCs/>
          <w:sz w:val="22"/>
          <w:szCs w:val="22"/>
        </w:rPr>
        <w:t xml:space="preserve">ramework </w:t>
      </w:r>
      <w:r w:rsidR="28106D13" w:rsidRPr="109A04B4">
        <w:rPr>
          <w:i/>
          <w:iCs/>
          <w:sz w:val="22"/>
          <w:szCs w:val="22"/>
        </w:rPr>
        <w:t>supersede</w:t>
      </w:r>
      <w:r w:rsidR="2BBC1B34" w:rsidRPr="109A04B4">
        <w:rPr>
          <w:i/>
          <w:iCs/>
          <w:sz w:val="22"/>
          <w:szCs w:val="22"/>
        </w:rPr>
        <w:t>s</w:t>
      </w:r>
      <w:r w:rsidR="28106D13" w:rsidRPr="109A04B4">
        <w:rPr>
          <w:i/>
          <w:iCs/>
          <w:sz w:val="22"/>
          <w:szCs w:val="22"/>
        </w:rPr>
        <w:t xml:space="preserve"> them.</w:t>
      </w:r>
    </w:p>
    <w:p w14:paraId="170D0ACA" w14:textId="77777777" w:rsidR="00DF420D" w:rsidRDefault="00DF420D" w:rsidP="00280A9E">
      <w:pPr>
        <w:pStyle w:val="ListParagraph"/>
        <w:ind w:left="360"/>
        <w:rPr>
          <w:rFonts w:eastAsiaTheme="minorEastAsia"/>
          <w:b/>
          <w:bCs/>
          <w:sz w:val="22"/>
          <w:szCs w:val="22"/>
          <w:u w:val="single"/>
        </w:rPr>
      </w:pPr>
    </w:p>
    <w:p w14:paraId="7CC2D0C9" w14:textId="3A484266" w:rsidR="00B66A0B" w:rsidRPr="00DD53AE" w:rsidRDefault="00EF3A02" w:rsidP="00DD53AE">
      <w:pPr>
        <w:pStyle w:val="Heading3"/>
      </w:pPr>
      <w:r w:rsidRPr="00DD53AE">
        <w:t>Introduction</w:t>
      </w:r>
    </w:p>
    <w:p w14:paraId="58D0B152" w14:textId="0BDE0B95" w:rsidR="00F058F4" w:rsidRDefault="0B143B7B" w:rsidP="00280A9E">
      <w:pPr>
        <w:contextualSpacing/>
        <w:rPr>
          <w:rFonts w:ascii="Calibri" w:eastAsia="Calibri" w:hAnsi="Calibri" w:cs="Calibri"/>
          <w:color w:val="000000" w:themeColor="text1"/>
          <w:sz w:val="22"/>
          <w:szCs w:val="22"/>
        </w:rPr>
      </w:pPr>
      <w:r w:rsidRPr="500AFCFA">
        <w:rPr>
          <w:rFonts w:eastAsiaTheme="minorEastAsia"/>
          <w:sz w:val="22"/>
          <w:szCs w:val="22"/>
        </w:rPr>
        <w:t>During th</w:t>
      </w:r>
      <w:r w:rsidRPr="00724F3E">
        <w:rPr>
          <w:sz w:val="22"/>
          <w:szCs w:val="22"/>
        </w:rPr>
        <w:t xml:space="preserve">e COVID-19 pandemic, a major surge in </w:t>
      </w:r>
      <w:r w:rsidR="141F23AC">
        <w:rPr>
          <w:sz w:val="22"/>
          <w:szCs w:val="22"/>
        </w:rPr>
        <w:t>demand</w:t>
      </w:r>
      <w:r w:rsidRPr="00724F3E">
        <w:rPr>
          <w:sz w:val="22"/>
          <w:szCs w:val="22"/>
        </w:rPr>
        <w:t xml:space="preserve"> for </w:t>
      </w:r>
      <w:r w:rsidR="65AD1B19">
        <w:rPr>
          <w:sz w:val="22"/>
          <w:szCs w:val="22"/>
        </w:rPr>
        <w:t>critical care</w:t>
      </w:r>
      <w:r w:rsidRPr="109A04B4">
        <w:rPr>
          <w:rStyle w:val="FootnoteReference"/>
          <w:sz w:val="22"/>
          <w:szCs w:val="22"/>
        </w:rPr>
        <w:footnoteReference w:id="2"/>
      </w:r>
      <w:r w:rsidR="65AD1B19">
        <w:rPr>
          <w:sz w:val="22"/>
          <w:szCs w:val="22"/>
        </w:rPr>
        <w:t xml:space="preserve"> </w:t>
      </w:r>
      <w:r w:rsidR="053617D4" w:rsidRPr="15F09DB1">
        <w:rPr>
          <w:rFonts w:ascii="Calibri" w:eastAsia="Calibri" w:hAnsi="Calibri" w:cs="Calibri"/>
          <w:color w:val="000000" w:themeColor="text1"/>
          <w:sz w:val="22"/>
          <w:szCs w:val="22"/>
        </w:rPr>
        <w:t>may arise if containment and mitigation measures are insufficient to stem the spread and impact of the virus</w:t>
      </w:r>
      <w:r w:rsidR="4941F7AD">
        <w:rPr>
          <w:sz w:val="22"/>
          <w:szCs w:val="22"/>
        </w:rPr>
        <w:t>.</w:t>
      </w:r>
      <w:r w:rsidR="44B4C7DF" w:rsidRPr="109A04B4">
        <w:rPr>
          <w:sz w:val="22"/>
          <w:szCs w:val="22"/>
        </w:rPr>
        <w:t xml:space="preserve"> </w:t>
      </w:r>
      <w:r w:rsidR="2F413CD5" w:rsidRPr="12B8EC8C">
        <w:rPr>
          <w:sz w:val="22"/>
          <w:szCs w:val="22"/>
        </w:rPr>
        <w:t xml:space="preserve">In Ontario, </w:t>
      </w:r>
      <w:r w:rsidR="2F43DACE" w:rsidRPr="12B8EC8C">
        <w:rPr>
          <w:sz w:val="22"/>
          <w:szCs w:val="22"/>
        </w:rPr>
        <w:t xml:space="preserve">a </w:t>
      </w:r>
      <w:r w:rsidR="2F413CD5" w:rsidRPr="12B8EC8C">
        <w:rPr>
          <w:sz w:val="22"/>
          <w:szCs w:val="22"/>
        </w:rPr>
        <w:t>major surge is defined as: “an unusually high increase in demand that overwhelms the health care resources of individual hospitals and regions for an extended period of time, where an organized response at the provincial or national level is required.”</w:t>
      </w:r>
      <w:r w:rsidR="001C6086">
        <w:rPr>
          <w:rStyle w:val="EndnoteReference"/>
          <w:sz w:val="22"/>
          <w:szCs w:val="22"/>
        </w:rPr>
        <w:endnoteReference w:id="1"/>
      </w:r>
      <w:r w:rsidR="00280A9E" w:rsidRPr="00280A9E">
        <w:rPr>
          <w:sz w:val="22"/>
          <w:szCs w:val="22"/>
          <w:vertAlign w:val="superscript"/>
        </w:rPr>
        <w:t>,</w:t>
      </w:r>
      <w:r w:rsidR="00720862">
        <w:rPr>
          <w:rStyle w:val="FootnoteReference"/>
          <w:sz w:val="22"/>
          <w:szCs w:val="22"/>
        </w:rPr>
        <w:footnoteReference w:id="3"/>
      </w:r>
      <w:r w:rsidR="407DB485" w:rsidRPr="109A04B4">
        <w:rPr>
          <w:rStyle w:val="FootnoteReference"/>
          <w:sz w:val="22"/>
          <w:szCs w:val="22"/>
        </w:rPr>
        <w:t xml:space="preserve"> </w:t>
      </w:r>
      <w:r w:rsidR="407DB485" w:rsidRPr="109A04B4">
        <w:rPr>
          <w:sz w:val="22"/>
          <w:szCs w:val="22"/>
        </w:rPr>
        <w:t>Major surges have occurred in other jurisdictions (e.g., Wuhan</w:t>
      </w:r>
      <w:r w:rsidR="00280A9E">
        <w:rPr>
          <w:sz w:val="22"/>
          <w:szCs w:val="22"/>
        </w:rPr>
        <w:t>;</w:t>
      </w:r>
      <w:r w:rsidR="407DB485" w:rsidRPr="109A04B4">
        <w:rPr>
          <w:sz w:val="22"/>
          <w:szCs w:val="22"/>
        </w:rPr>
        <w:t xml:space="preserve"> Northern Italy),</w:t>
      </w:r>
      <w:r w:rsidR="001C6086">
        <w:rPr>
          <w:rStyle w:val="EndnoteReference"/>
          <w:sz w:val="22"/>
          <w:szCs w:val="22"/>
        </w:rPr>
        <w:endnoteReference w:id="2"/>
      </w:r>
      <w:r w:rsidR="407DB485" w:rsidRPr="109A04B4">
        <w:rPr>
          <w:sz w:val="22"/>
          <w:szCs w:val="22"/>
        </w:rPr>
        <w:t xml:space="preserve"> which </w:t>
      </w:r>
      <w:r w:rsidR="45DC4B45" w:rsidRPr="109A04B4">
        <w:rPr>
          <w:sz w:val="22"/>
          <w:szCs w:val="22"/>
        </w:rPr>
        <w:t>underscores</w:t>
      </w:r>
      <w:r w:rsidR="407DB485" w:rsidRPr="109A04B4">
        <w:rPr>
          <w:sz w:val="22"/>
          <w:szCs w:val="22"/>
        </w:rPr>
        <w:t xml:space="preserve"> the need for our health system to prepare for this possibility.</w:t>
      </w:r>
      <w:r w:rsidR="1DFD73FA" w:rsidRPr="109A04B4">
        <w:rPr>
          <w:sz w:val="22"/>
          <w:szCs w:val="22"/>
        </w:rPr>
        <w:t xml:space="preserve"> </w:t>
      </w:r>
      <w:r w:rsidR="3FC76805" w:rsidRPr="109A04B4">
        <w:rPr>
          <w:rFonts w:ascii="Calibri" w:eastAsia="Calibri" w:hAnsi="Calibri" w:cs="Calibri"/>
          <w:color w:val="000000" w:themeColor="text1"/>
          <w:sz w:val="22"/>
          <w:szCs w:val="22"/>
        </w:rPr>
        <w:t xml:space="preserve">Although advanced health systems have experience with and are well-prepared to manage minor and moderate surges in demand for critical </w:t>
      </w:r>
      <w:r w:rsidR="22D6DDA4" w:rsidRPr="109A04B4">
        <w:t>care,</w:t>
      </w:r>
      <w:r w:rsidR="00B2026C">
        <w:rPr>
          <w:rStyle w:val="FootnoteReference"/>
        </w:rPr>
        <w:footnoteReference w:id="4"/>
      </w:r>
      <w:r w:rsidR="22D6DDA4" w:rsidRPr="109A04B4">
        <w:t xml:space="preserve"> </w:t>
      </w:r>
      <w:r w:rsidR="3FC76805" w:rsidRPr="109A04B4">
        <w:rPr>
          <w:rFonts w:ascii="Calibri" w:eastAsia="Calibri" w:hAnsi="Calibri" w:cs="Calibri"/>
          <w:color w:val="000000" w:themeColor="text1"/>
          <w:sz w:val="22"/>
          <w:szCs w:val="22"/>
        </w:rPr>
        <w:t>there is limited clinical and ethical guidance for how a major surge in demand for critical care should be managed</w:t>
      </w:r>
      <w:r w:rsidR="13778AAD" w:rsidRPr="109A04B4">
        <w:rPr>
          <w:rFonts w:ascii="Calibri" w:eastAsia="Calibri" w:hAnsi="Calibri" w:cs="Calibri"/>
          <w:color w:val="000000" w:themeColor="text1"/>
          <w:sz w:val="22"/>
          <w:szCs w:val="22"/>
        </w:rPr>
        <w:t xml:space="preserve"> in Ontario</w:t>
      </w:r>
      <w:r w:rsidR="3FC76805" w:rsidRPr="109A04B4">
        <w:rPr>
          <w:rFonts w:ascii="Calibri" w:eastAsia="Calibri" w:hAnsi="Calibri" w:cs="Calibri"/>
          <w:color w:val="000000" w:themeColor="text1"/>
          <w:sz w:val="22"/>
          <w:szCs w:val="22"/>
        </w:rPr>
        <w:t>.</w:t>
      </w:r>
    </w:p>
    <w:p w14:paraId="01B9D542" w14:textId="255510FC" w:rsidR="109A04B4" w:rsidRDefault="109A04B4" w:rsidP="00280A9E">
      <w:pPr>
        <w:contextualSpacing/>
        <w:rPr>
          <w:sz w:val="22"/>
          <w:szCs w:val="22"/>
        </w:rPr>
      </w:pPr>
    </w:p>
    <w:p w14:paraId="1EFD55B9" w14:textId="45AD73BB" w:rsidR="20F61D0A" w:rsidRDefault="20F61D0A" w:rsidP="00280A9E">
      <w:pPr>
        <w:contextualSpacing/>
        <w:rPr>
          <w:sz w:val="22"/>
          <w:szCs w:val="22"/>
        </w:rPr>
      </w:pPr>
      <w:r w:rsidRPr="109A04B4">
        <w:rPr>
          <w:sz w:val="22"/>
          <w:szCs w:val="22"/>
        </w:rPr>
        <w:t>A major surge in demand for critical care by definition means that some who may</w:t>
      </w:r>
      <w:r w:rsidR="3F64CD35" w:rsidRPr="109A04B4">
        <w:rPr>
          <w:sz w:val="22"/>
          <w:szCs w:val="22"/>
        </w:rPr>
        <w:t xml:space="preserve"> have otherwise</w:t>
      </w:r>
      <w:r w:rsidRPr="109A04B4">
        <w:rPr>
          <w:sz w:val="22"/>
          <w:szCs w:val="22"/>
        </w:rPr>
        <w:t xml:space="preserve"> benefit</w:t>
      </w:r>
      <w:r w:rsidR="40FA5E46" w:rsidRPr="109A04B4">
        <w:rPr>
          <w:sz w:val="22"/>
          <w:szCs w:val="22"/>
        </w:rPr>
        <w:t>ed</w:t>
      </w:r>
      <w:r w:rsidRPr="109A04B4">
        <w:rPr>
          <w:sz w:val="22"/>
          <w:szCs w:val="22"/>
        </w:rPr>
        <w:t xml:space="preserve"> from critical care will not receive it, and as a result, some will die. </w:t>
      </w:r>
      <w:r w:rsidR="249881B9" w:rsidRPr="109A04B4">
        <w:rPr>
          <w:rFonts w:ascii="Calibri" w:eastAsia="Calibri" w:hAnsi="Calibri" w:cs="Calibri"/>
          <w:color w:val="000000" w:themeColor="text1"/>
          <w:sz w:val="22"/>
          <w:szCs w:val="22"/>
        </w:rPr>
        <w:t xml:space="preserve">Given that the lives of all </w:t>
      </w:r>
      <w:r w:rsidR="009B72FA">
        <w:rPr>
          <w:rFonts w:ascii="Calibri" w:eastAsia="Calibri" w:hAnsi="Calibri" w:cs="Calibri"/>
          <w:color w:val="000000" w:themeColor="text1"/>
          <w:sz w:val="22"/>
          <w:szCs w:val="22"/>
        </w:rPr>
        <w:t xml:space="preserve">people in </w:t>
      </w:r>
      <w:r w:rsidR="009B72FA" w:rsidRPr="109A04B4">
        <w:rPr>
          <w:rFonts w:ascii="Calibri" w:eastAsia="Calibri" w:hAnsi="Calibri" w:cs="Calibri"/>
          <w:color w:val="000000" w:themeColor="text1"/>
          <w:sz w:val="22"/>
          <w:szCs w:val="22"/>
        </w:rPr>
        <w:t>Ontari</w:t>
      </w:r>
      <w:r w:rsidR="009B72FA">
        <w:rPr>
          <w:rFonts w:ascii="Calibri" w:eastAsia="Calibri" w:hAnsi="Calibri" w:cs="Calibri"/>
          <w:color w:val="000000" w:themeColor="text1"/>
          <w:sz w:val="22"/>
          <w:szCs w:val="22"/>
        </w:rPr>
        <w:t>o</w:t>
      </w:r>
      <w:r w:rsidR="249881B9" w:rsidRPr="109A04B4">
        <w:rPr>
          <w:rFonts w:ascii="Calibri" w:eastAsia="Calibri" w:hAnsi="Calibri" w:cs="Calibri"/>
          <w:color w:val="000000" w:themeColor="text1"/>
          <w:sz w:val="22"/>
          <w:szCs w:val="22"/>
        </w:rPr>
        <w:t xml:space="preserve"> are of equal value, in the event of a major surge difficult decisions will need to be made about how to meet the needs of patients with critical illness. </w:t>
      </w:r>
      <w:r w:rsidR="51283EE4" w:rsidRPr="109A04B4">
        <w:rPr>
          <w:sz w:val="22"/>
          <w:szCs w:val="22"/>
        </w:rPr>
        <w:t xml:space="preserve">Given the unprecedented resource constraints that a major surge would present, </w:t>
      </w:r>
      <w:r w:rsidR="0C342063" w:rsidRPr="109A04B4">
        <w:rPr>
          <w:sz w:val="22"/>
          <w:szCs w:val="22"/>
        </w:rPr>
        <w:t xml:space="preserve">it must be acknowledged that </w:t>
      </w:r>
      <w:r w:rsidR="270BB2BC" w:rsidRPr="109A04B4">
        <w:rPr>
          <w:sz w:val="22"/>
          <w:szCs w:val="22"/>
        </w:rPr>
        <w:t xml:space="preserve">any approach </w:t>
      </w:r>
      <w:r w:rsidR="61C5AD51" w:rsidRPr="109A04B4">
        <w:rPr>
          <w:sz w:val="22"/>
          <w:szCs w:val="22"/>
        </w:rPr>
        <w:t xml:space="preserve">to allocating critical care resources </w:t>
      </w:r>
      <w:r w:rsidR="005E20F8">
        <w:rPr>
          <w:sz w:val="22"/>
          <w:szCs w:val="22"/>
        </w:rPr>
        <w:t xml:space="preserve">in this context </w:t>
      </w:r>
      <w:r w:rsidR="270BB2BC" w:rsidRPr="109A04B4">
        <w:rPr>
          <w:sz w:val="22"/>
          <w:szCs w:val="22"/>
        </w:rPr>
        <w:t xml:space="preserve">will </w:t>
      </w:r>
      <w:r w:rsidR="576DA0C2" w:rsidRPr="109A04B4">
        <w:rPr>
          <w:sz w:val="22"/>
          <w:szCs w:val="22"/>
        </w:rPr>
        <w:t xml:space="preserve">necessitate a deviation from usual health care practices and involve </w:t>
      </w:r>
      <w:r w:rsidR="270BB2BC" w:rsidRPr="109A04B4">
        <w:rPr>
          <w:sz w:val="22"/>
          <w:szCs w:val="22"/>
        </w:rPr>
        <w:t xml:space="preserve">lamentable compromises to </w:t>
      </w:r>
      <w:r w:rsidR="170D72C4" w:rsidRPr="109A04B4">
        <w:rPr>
          <w:sz w:val="22"/>
          <w:szCs w:val="22"/>
        </w:rPr>
        <w:t xml:space="preserve">deeply held values and </w:t>
      </w:r>
      <w:r w:rsidR="045F8576" w:rsidRPr="109A04B4">
        <w:rPr>
          <w:sz w:val="22"/>
          <w:szCs w:val="22"/>
        </w:rPr>
        <w:t xml:space="preserve">ethical </w:t>
      </w:r>
      <w:r w:rsidR="170D72C4" w:rsidRPr="109A04B4">
        <w:rPr>
          <w:sz w:val="22"/>
          <w:szCs w:val="22"/>
        </w:rPr>
        <w:t>commitments</w:t>
      </w:r>
      <w:r w:rsidR="32859DDB" w:rsidRPr="109A04B4">
        <w:rPr>
          <w:sz w:val="22"/>
          <w:szCs w:val="22"/>
        </w:rPr>
        <w:t xml:space="preserve">. This requires </w:t>
      </w:r>
      <w:r w:rsidR="5D99BEC8" w:rsidRPr="109A04B4">
        <w:rPr>
          <w:sz w:val="22"/>
          <w:szCs w:val="22"/>
        </w:rPr>
        <w:t>a</w:t>
      </w:r>
      <w:r w:rsidR="7898F094" w:rsidRPr="109A04B4">
        <w:rPr>
          <w:sz w:val="22"/>
          <w:szCs w:val="22"/>
        </w:rPr>
        <w:t xml:space="preserve"> careful</w:t>
      </w:r>
      <w:r w:rsidR="5D99BEC8" w:rsidRPr="109A04B4">
        <w:rPr>
          <w:sz w:val="22"/>
          <w:szCs w:val="22"/>
        </w:rPr>
        <w:t xml:space="preserve"> </w:t>
      </w:r>
      <w:r w:rsidR="5754B94A" w:rsidRPr="109A04B4">
        <w:rPr>
          <w:sz w:val="22"/>
          <w:szCs w:val="22"/>
        </w:rPr>
        <w:t xml:space="preserve">examination of </w:t>
      </w:r>
      <w:r w:rsidR="5C800042" w:rsidRPr="109A04B4">
        <w:rPr>
          <w:sz w:val="22"/>
          <w:szCs w:val="22"/>
        </w:rPr>
        <w:t>the</w:t>
      </w:r>
      <w:r w:rsidR="44D13ACB" w:rsidRPr="109A04B4">
        <w:rPr>
          <w:sz w:val="22"/>
          <w:szCs w:val="22"/>
        </w:rPr>
        <w:t>se</w:t>
      </w:r>
      <w:r w:rsidR="5C800042" w:rsidRPr="109A04B4">
        <w:rPr>
          <w:sz w:val="22"/>
          <w:szCs w:val="22"/>
        </w:rPr>
        <w:t xml:space="preserve"> </w:t>
      </w:r>
      <w:r w:rsidR="5754B94A" w:rsidRPr="109A04B4">
        <w:rPr>
          <w:sz w:val="22"/>
          <w:szCs w:val="22"/>
        </w:rPr>
        <w:t>values and commitments</w:t>
      </w:r>
      <w:r w:rsidR="11FBF0D7" w:rsidRPr="109A04B4">
        <w:rPr>
          <w:sz w:val="22"/>
          <w:szCs w:val="22"/>
        </w:rPr>
        <w:t xml:space="preserve"> </w:t>
      </w:r>
      <w:r w:rsidR="698EB34F" w:rsidRPr="109A04B4">
        <w:rPr>
          <w:sz w:val="22"/>
          <w:szCs w:val="22"/>
        </w:rPr>
        <w:t>and how they might be promoted</w:t>
      </w:r>
      <w:r w:rsidR="005E20F8">
        <w:rPr>
          <w:sz w:val="22"/>
          <w:szCs w:val="22"/>
        </w:rPr>
        <w:t xml:space="preserve"> despite these circumstances</w:t>
      </w:r>
      <w:r w:rsidR="5754B94A" w:rsidRPr="109A04B4">
        <w:rPr>
          <w:sz w:val="22"/>
          <w:szCs w:val="22"/>
        </w:rPr>
        <w:t>.</w:t>
      </w:r>
      <w:r w:rsidR="2B6BC1F7" w:rsidRPr="109A04B4">
        <w:rPr>
          <w:sz w:val="22"/>
          <w:szCs w:val="22"/>
        </w:rPr>
        <w:t xml:space="preserve"> </w:t>
      </w:r>
      <w:r w:rsidR="613B6B73" w:rsidRPr="109A04B4">
        <w:rPr>
          <w:sz w:val="22"/>
          <w:szCs w:val="22"/>
        </w:rPr>
        <w:t xml:space="preserve">The </w:t>
      </w:r>
      <w:r w:rsidR="613B6B73" w:rsidRPr="109A04B4">
        <w:rPr>
          <w:i/>
          <w:iCs/>
          <w:sz w:val="22"/>
          <w:szCs w:val="22"/>
        </w:rPr>
        <w:t>Proposed Framework</w:t>
      </w:r>
      <w:r w:rsidR="613B6B73" w:rsidRPr="109A04B4">
        <w:rPr>
          <w:sz w:val="22"/>
          <w:szCs w:val="22"/>
        </w:rPr>
        <w:t xml:space="preserve"> outlined in this document contemplates how to allocate potentially life-saving resources in this context.</w:t>
      </w:r>
    </w:p>
    <w:p w14:paraId="4BAD652C" w14:textId="2030E135" w:rsidR="109A04B4" w:rsidRDefault="109A04B4" w:rsidP="00280A9E">
      <w:pPr>
        <w:contextualSpacing/>
        <w:rPr>
          <w:sz w:val="22"/>
          <w:szCs w:val="22"/>
        </w:rPr>
      </w:pPr>
    </w:p>
    <w:p w14:paraId="0E3C6867" w14:textId="541B0DC7" w:rsidR="005E20F8" w:rsidRPr="00DD53AE" w:rsidRDefault="005E20F8" w:rsidP="00DD53AE">
      <w:pPr>
        <w:pStyle w:val="Heading4"/>
      </w:pPr>
      <w:r w:rsidRPr="00DD53AE">
        <w:t>Why Triage?</w:t>
      </w:r>
    </w:p>
    <w:p w14:paraId="5108BC0E" w14:textId="2A989029" w:rsidR="79571394" w:rsidRDefault="79571394" w:rsidP="00280A9E">
      <w:pPr>
        <w:contextualSpacing/>
        <w:rPr>
          <w:sz w:val="22"/>
          <w:szCs w:val="22"/>
        </w:rPr>
      </w:pPr>
      <w:r w:rsidRPr="109A04B4">
        <w:rPr>
          <w:sz w:val="22"/>
          <w:szCs w:val="22"/>
        </w:rPr>
        <w:t xml:space="preserve">There are a number of ways that we might respond to a major surge in demand for critical care. One way </w:t>
      </w:r>
      <w:r w:rsidR="30AB79B3" w:rsidRPr="109A04B4">
        <w:rPr>
          <w:sz w:val="22"/>
          <w:szCs w:val="22"/>
        </w:rPr>
        <w:t xml:space="preserve">would be </w:t>
      </w:r>
      <w:r w:rsidRPr="109A04B4">
        <w:rPr>
          <w:sz w:val="22"/>
          <w:szCs w:val="22"/>
        </w:rPr>
        <w:t xml:space="preserve">to allocate critical care resources on a first-come, first-served basis. Another </w:t>
      </w:r>
      <w:r w:rsidR="5A7558DE" w:rsidRPr="109A04B4">
        <w:rPr>
          <w:sz w:val="22"/>
          <w:szCs w:val="22"/>
        </w:rPr>
        <w:t>would be</w:t>
      </w:r>
      <w:r w:rsidRPr="109A04B4">
        <w:rPr>
          <w:sz w:val="22"/>
          <w:szCs w:val="22"/>
        </w:rPr>
        <w:t xml:space="preserve"> to randomly allocate critical care resources via a lottery. We </w:t>
      </w:r>
      <w:r w:rsidR="00280A9E">
        <w:rPr>
          <w:sz w:val="22"/>
          <w:szCs w:val="22"/>
        </w:rPr>
        <w:t>do not favour either</w:t>
      </w:r>
      <w:r w:rsidRPr="109A04B4">
        <w:rPr>
          <w:sz w:val="22"/>
          <w:szCs w:val="22"/>
        </w:rPr>
        <w:t xml:space="preserve"> of these approaches as the foundation of a possible approach to the allocation of critical care resources</w:t>
      </w:r>
      <w:r w:rsidR="68CB691A" w:rsidRPr="109A04B4">
        <w:rPr>
          <w:sz w:val="22"/>
          <w:szCs w:val="22"/>
        </w:rPr>
        <w:t>. This is</w:t>
      </w:r>
      <w:r w:rsidRPr="109A04B4">
        <w:rPr>
          <w:sz w:val="22"/>
          <w:szCs w:val="22"/>
        </w:rPr>
        <w:t xml:space="preserve"> because adopting either approach would mean arbitrarily privileging </w:t>
      </w:r>
      <w:r w:rsidR="5D1969CA" w:rsidRPr="109A04B4">
        <w:rPr>
          <w:sz w:val="22"/>
          <w:szCs w:val="22"/>
        </w:rPr>
        <w:t xml:space="preserve">the allocation of critical care resources to </w:t>
      </w:r>
      <w:r w:rsidRPr="109A04B4">
        <w:rPr>
          <w:sz w:val="22"/>
          <w:szCs w:val="22"/>
        </w:rPr>
        <w:t xml:space="preserve">those who </w:t>
      </w:r>
      <w:r w:rsidR="00BC4A7D" w:rsidRPr="00BC4A7D">
        <w:rPr>
          <w:sz w:val="22"/>
          <w:szCs w:val="22"/>
        </w:rPr>
        <w:t>become critically ill or who present for critical care</w:t>
      </w:r>
      <w:r w:rsidRPr="109A04B4">
        <w:rPr>
          <w:sz w:val="22"/>
          <w:szCs w:val="22"/>
        </w:rPr>
        <w:t xml:space="preserve"> </w:t>
      </w:r>
      <w:r w:rsidR="0FCC6141" w:rsidRPr="109A04B4">
        <w:rPr>
          <w:sz w:val="22"/>
          <w:szCs w:val="22"/>
        </w:rPr>
        <w:t>sooner</w:t>
      </w:r>
      <w:r w:rsidRPr="109A04B4">
        <w:rPr>
          <w:sz w:val="22"/>
          <w:szCs w:val="22"/>
        </w:rPr>
        <w:t>, and</w:t>
      </w:r>
      <w:r w:rsidR="267C438A" w:rsidRPr="109A04B4">
        <w:rPr>
          <w:sz w:val="22"/>
          <w:szCs w:val="22"/>
        </w:rPr>
        <w:t xml:space="preserve"> because either</w:t>
      </w:r>
      <w:r w:rsidRPr="109A04B4">
        <w:rPr>
          <w:sz w:val="22"/>
          <w:szCs w:val="22"/>
        </w:rPr>
        <w:t xml:space="preserve"> </w:t>
      </w:r>
      <w:r w:rsidR="65DBE173" w:rsidRPr="109A04B4">
        <w:rPr>
          <w:sz w:val="22"/>
          <w:szCs w:val="22"/>
        </w:rPr>
        <w:t xml:space="preserve">approach </w:t>
      </w:r>
      <w:r w:rsidR="42045E0C" w:rsidRPr="109A04B4">
        <w:rPr>
          <w:sz w:val="22"/>
          <w:szCs w:val="22"/>
        </w:rPr>
        <w:lastRenderedPageBreak/>
        <w:t>would result in</w:t>
      </w:r>
      <w:r w:rsidRPr="109A04B4">
        <w:rPr>
          <w:sz w:val="22"/>
          <w:szCs w:val="22"/>
        </w:rPr>
        <w:t xml:space="preserve"> a greater number of </w:t>
      </w:r>
      <w:r w:rsidR="2871ED2B" w:rsidRPr="109A04B4">
        <w:rPr>
          <w:sz w:val="22"/>
          <w:szCs w:val="22"/>
        </w:rPr>
        <w:t>deaths</w:t>
      </w:r>
      <w:r w:rsidRPr="109A04B4">
        <w:rPr>
          <w:sz w:val="22"/>
          <w:szCs w:val="22"/>
        </w:rPr>
        <w:t xml:space="preserve"> </w:t>
      </w:r>
      <w:r w:rsidR="68A36B0D" w:rsidRPr="109A04B4">
        <w:rPr>
          <w:sz w:val="22"/>
          <w:szCs w:val="22"/>
        </w:rPr>
        <w:t>by</w:t>
      </w:r>
      <w:r w:rsidR="7FF6D42F" w:rsidRPr="109A04B4">
        <w:rPr>
          <w:sz w:val="22"/>
          <w:szCs w:val="22"/>
        </w:rPr>
        <w:t xml:space="preserve"> virtue of</w:t>
      </w:r>
      <w:r w:rsidR="68A36B0D" w:rsidRPr="109A04B4">
        <w:rPr>
          <w:sz w:val="22"/>
          <w:szCs w:val="22"/>
        </w:rPr>
        <w:t xml:space="preserve"> ignoring </w:t>
      </w:r>
      <w:r w:rsidRPr="109A04B4">
        <w:rPr>
          <w:sz w:val="22"/>
          <w:szCs w:val="22"/>
        </w:rPr>
        <w:t>patients’ capacity to benefit from critical care. Consequently, we favour an approach that would seek to use available critical care resources in a manner which would be expected to</w:t>
      </w:r>
      <w:r w:rsidR="4AF0F0C0" w:rsidRPr="109A04B4">
        <w:rPr>
          <w:sz w:val="22"/>
          <w:szCs w:val="22"/>
        </w:rPr>
        <w:t xml:space="preserve"> minimize the number of people who will die</w:t>
      </w:r>
      <w:r w:rsidR="3EC38A22" w:rsidRPr="109A04B4">
        <w:rPr>
          <w:sz w:val="22"/>
          <w:szCs w:val="22"/>
        </w:rPr>
        <w:t xml:space="preserve"> as a result of </w:t>
      </w:r>
      <w:r w:rsidR="4C439105" w:rsidRPr="109A04B4">
        <w:rPr>
          <w:sz w:val="22"/>
          <w:szCs w:val="22"/>
        </w:rPr>
        <w:t>resource scarcity</w:t>
      </w:r>
      <w:r w:rsidRPr="109A04B4">
        <w:rPr>
          <w:sz w:val="22"/>
          <w:szCs w:val="22"/>
        </w:rPr>
        <w:t>.</w:t>
      </w:r>
      <w:r w:rsidR="5E39DDCD" w:rsidRPr="109A04B4">
        <w:rPr>
          <w:sz w:val="22"/>
          <w:szCs w:val="22"/>
        </w:rPr>
        <w:t xml:space="preserve"> Such an approach requires a systematic manner of prioritizing patients</w:t>
      </w:r>
      <w:r w:rsidR="15604EE7" w:rsidRPr="109A04B4">
        <w:rPr>
          <w:sz w:val="22"/>
          <w:szCs w:val="22"/>
        </w:rPr>
        <w:t xml:space="preserve"> for access to critical care</w:t>
      </w:r>
      <w:r w:rsidR="5E39DDCD" w:rsidRPr="109A04B4">
        <w:rPr>
          <w:sz w:val="22"/>
          <w:szCs w:val="22"/>
        </w:rPr>
        <w:t>, which is referred to as triage.</w:t>
      </w:r>
    </w:p>
    <w:p w14:paraId="254287DF" w14:textId="44540C13" w:rsidR="109A04B4" w:rsidRDefault="109A04B4" w:rsidP="00280A9E">
      <w:pPr>
        <w:contextualSpacing/>
        <w:rPr>
          <w:sz w:val="22"/>
          <w:szCs w:val="22"/>
        </w:rPr>
      </w:pPr>
    </w:p>
    <w:p w14:paraId="0FDE15E8" w14:textId="3D3953A6" w:rsidR="0052411B" w:rsidRDefault="7E3C4AF1" w:rsidP="00280A9E">
      <w:pPr>
        <w:contextualSpacing/>
        <w:rPr>
          <w:sz w:val="22"/>
          <w:szCs w:val="22"/>
        </w:rPr>
      </w:pPr>
      <w:r w:rsidRPr="109A04B4">
        <w:rPr>
          <w:sz w:val="22"/>
          <w:szCs w:val="22"/>
        </w:rPr>
        <w:t xml:space="preserve">Triage </w:t>
      </w:r>
      <w:r w:rsidR="62C2A646" w:rsidRPr="109A04B4">
        <w:rPr>
          <w:sz w:val="22"/>
          <w:szCs w:val="22"/>
        </w:rPr>
        <w:t>involves “</w:t>
      </w:r>
      <w:r w:rsidR="62C2A646" w:rsidRPr="109A04B4">
        <w:rPr>
          <w:rFonts w:ascii="Calibri" w:eastAsia="Calibri" w:hAnsi="Calibri" w:cs="Calibri"/>
          <w:color w:val="2E2E2E"/>
          <w:sz w:val="22"/>
          <w:szCs w:val="22"/>
        </w:rPr>
        <w:t>the prioritization of patient care</w:t>
      </w:r>
      <w:r w:rsidR="753A3DCE" w:rsidRPr="109A04B4">
        <w:rPr>
          <w:rFonts w:ascii="Calibri" w:eastAsia="Calibri" w:hAnsi="Calibri" w:cs="Calibri"/>
          <w:color w:val="2E2E2E"/>
          <w:sz w:val="22"/>
          <w:szCs w:val="22"/>
        </w:rPr>
        <w:t>…</w:t>
      </w:r>
      <w:r w:rsidR="62C2A646" w:rsidRPr="109A04B4">
        <w:rPr>
          <w:rFonts w:ascii="Calibri" w:eastAsia="Calibri" w:hAnsi="Calibri" w:cs="Calibri"/>
          <w:color w:val="2E2E2E"/>
          <w:sz w:val="22"/>
          <w:szCs w:val="22"/>
        </w:rPr>
        <w:t>based on illness/injury, severity, prognosis, and resource availability</w:t>
      </w:r>
      <w:r w:rsidR="7FB3BBC0" w:rsidRPr="109A04B4">
        <w:rPr>
          <w:rFonts w:ascii="Calibri" w:eastAsia="Calibri" w:hAnsi="Calibri" w:cs="Calibri"/>
          <w:color w:val="2E2E2E"/>
          <w:sz w:val="22"/>
          <w:szCs w:val="22"/>
        </w:rPr>
        <w:t>.</w:t>
      </w:r>
      <w:r w:rsidR="62C2A646" w:rsidRPr="109A04B4">
        <w:rPr>
          <w:rFonts w:ascii="Calibri" w:eastAsia="Calibri" w:hAnsi="Calibri" w:cs="Calibri"/>
          <w:color w:val="2E2E2E"/>
          <w:sz w:val="22"/>
          <w:szCs w:val="22"/>
        </w:rPr>
        <w:t>”</w:t>
      </w:r>
      <w:r w:rsidR="001C6086">
        <w:rPr>
          <w:rStyle w:val="EndnoteReference"/>
          <w:rFonts w:ascii="Calibri" w:eastAsia="Calibri" w:hAnsi="Calibri" w:cs="Calibri"/>
          <w:color w:val="2E2E2E"/>
          <w:sz w:val="22"/>
          <w:szCs w:val="22"/>
        </w:rPr>
        <w:endnoteReference w:id="3"/>
      </w:r>
      <w:r w:rsidR="25C1CD93" w:rsidRPr="109A04B4">
        <w:rPr>
          <w:rFonts w:ascii="Calibri" w:eastAsia="Calibri" w:hAnsi="Calibri" w:cs="Calibri"/>
          <w:color w:val="2E2E2E"/>
          <w:sz w:val="22"/>
          <w:szCs w:val="22"/>
        </w:rPr>
        <w:t xml:space="preserve"> </w:t>
      </w:r>
      <w:r w:rsidR="37E55FEA" w:rsidRPr="109A04B4">
        <w:rPr>
          <w:sz w:val="22"/>
          <w:szCs w:val="22"/>
        </w:rPr>
        <w:t>T</w:t>
      </w:r>
      <w:r w:rsidR="73291182" w:rsidRPr="109A04B4">
        <w:rPr>
          <w:sz w:val="22"/>
          <w:szCs w:val="22"/>
        </w:rPr>
        <w:t>riage should be a systematic and consistent process of determining priorities for treatment that respects human rights and is based on evidence and explicit clinical criteria. In the absence of explicit triage criteria and a systematic and consistent process of triage, inconsistencies in clinical practice may result in an ethically indefensible allocation of scarce resources, increased mortality and morbidity, and the perpetuation</w:t>
      </w:r>
      <w:r w:rsidR="00BC4A7D">
        <w:rPr>
          <w:sz w:val="22"/>
          <w:szCs w:val="22"/>
        </w:rPr>
        <w:t xml:space="preserve"> or exacerbation</w:t>
      </w:r>
      <w:r w:rsidR="73291182" w:rsidRPr="109A04B4">
        <w:rPr>
          <w:sz w:val="22"/>
          <w:szCs w:val="22"/>
        </w:rPr>
        <w:t xml:space="preserve"> of social and health inequities.</w:t>
      </w:r>
      <w:r w:rsidR="51ED6B6D" w:rsidRPr="109A04B4">
        <w:rPr>
          <w:sz w:val="22"/>
          <w:szCs w:val="22"/>
        </w:rPr>
        <w:t xml:space="preserve"> Critical care triage for major surge should be considered an option of last resort</w:t>
      </w:r>
      <w:r w:rsidR="546639D6" w:rsidRPr="109A04B4">
        <w:rPr>
          <w:sz w:val="22"/>
          <w:szCs w:val="22"/>
        </w:rPr>
        <w:t>,</w:t>
      </w:r>
      <w:r w:rsidR="51ED6B6D" w:rsidRPr="109A04B4">
        <w:rPr>
          <w:sz w:val="22"/>
          <w:szCs w:val="22"/>
        </w:rPr>
        <w:t xml:space="preserve"> to be invoked only when all existing local </w:t>
      </w:r>
      <w:r w:rsidR="74F3A3D5" w:rsidRPr="109A04B4">
        <w:rPr>
          <w:sz w:val="22"/>
          <w:szCs w:val="22"/>
        </w:rPr>
        <w:t>and</w:t>
      </w:r>
      <w:r w:rsidR="51ED6B6D" w:rsidRPr="109A04B4">
        <w:rPr>
          <w:sz w:val="22"/>
          <w:szCs w:val="22"/>
        </w:rPr>
        <w:t xml:space="preserve"> regional critical care resources have been used, all reasonable attempts have been made to move patients to or resources from areas with greater critical </w:t>
      </w:r>
      <w:r w:rsidR="2A47D624" w:rsidRPr="109A04B4">
        <w:rPr>
          <w:sz w:val="22"/>
          <w:szCs w:val="22"/>
        </w:rPr>
        <w:t xml:space="preserve">care </w:t>
      </w:r>
      <w:r w:rsidR="51ED6B6D" w:rsidRPr="109A04B4">
        <w:rPr>
          <w:sz w:val="22"/>
          <w:szCs w:val="22"/>
        </w:rPr>
        <w:t>resource availability, and only for as long as the major surge lasts.</w:t>
      </w:r>
      <w:r w:rsidR="00252CD6">
        <w:rPr>
          <w:sz w:val="22"/>
          <w:szCs w:val="22"/>
        </w:rPr>
        <w:t xml:space="preserve"> </w:t>
      </w:r>
      <w:r w:rsidR="00252CD6" w:rsidRPr="00252CD6">
        <w:rPr>
          <w:sz w:val="22"/>
          <w:szCs w:val="22"/>
        </w:rPr>
        <w:t>In the current COVID-19 pandemic context, the decision to initiate critical care triage for major surge would fall under the authority of, and would be made by, the provincial Critical Care Command Centre with full situational awareness of existing critical care resources and demands</w:t>
      </w:r>
      <w:r w:rsidR="00252CD6">
        <w:rPr>
          <w:sz w:val="22"/>
          <w:szCs w:val="22"/>
        </w:rPr>
        <w:t xml:space="preserve"> (see Section D for further discussion of the initiation of critical care triage).</w:t>
      </w:r>
    </w:p>
    <w:p w14:paraId="3120E1B3" w14:textId="2B16E49B" w:rsidR="0052411B" w:rsidRDefault="0052411B" w:rsidP="00280A9E">
      <w:pPr>
        <w:contextualSpacing/>
        <w:rPr>
          <w:rFonts w:ascii="Calibri" w:eastAsia="Calibri" w:hAnsi="Calibri" w:cs="Calibri"/>
          <w:color w:val="2E2E2E"/>
          <w:sz w:val="22"/>
          <w:szCs w:val="22"/>
        </w:rPr>
      </w:pPr>
    </w:p>
    <w:p w14:paraId="5DB01E53" w14:textId="62FAC240" w:rsidR="0052411B" w:rsidRDefault="5D1ED5F7" w:rsidP="00280A9E">
      <w:pPr>
        <w:contextualSpacing/>
        <w:rPr>
          <w:sz w:val="22"/>
          <w:szCs w:val="22"/>
        </w:rPr>
      </w:pPr>
      <w:r w:rsidRPr="109A04B4">
        <w:rPr>
          <w:rFonts w:ascii="Calibri" w:eastAsia="Calibri" w:hAnsi="Calibri" w:cs="Calibri"/>
          <w:color w:val="2E2E2E"/>
          <w:sz w:val="22"/>
          <w:szCs w:val="22"/>
        </w:rPr>
        <w:t>Whereas most of us are familiar with queuing based on urgency of need or on a first-come</w:t>
      </w:r>
      <w:r w:rsidR="2BB4308B" w:rsidRPr="109A04B4">
        <w:rPr>
          <w:rFonts w:ascii="Calibri" w:eastAsia="Calibri" w:hAnsi="Calibri" w:cs="Calibri"/>
          <w:color w:val="2E2E2E"/>
          <w:sz w:val="22"/>
          <w:szCs w:val="22"/>
        </w:rPr>
        <w:t xml:space="preserve">, </w:t>
      </w:r>
      <w:r w:rsidRPr="109A04B4">
        <w:rPr>
          <w:rFonts w:ascii="Calibri" w:eastAsia="Calibri" w:hAnsi="Calibri" w:cs="Calibri"/>
          <w:color w:val="2E2E2E"/>
          <w:sz w:val="22"/>
          <w:szCs w:val="22"/>
        </w:rPr>
        <w:t>first-served basis in non-urgent setting</w:t>
      </w:r>
      <w:r w:rsidR="16ED653F" w:rsidRPr="109A04B4">
        <w:rPr>
          <w:rFonts w:ascii="Calibri" w:eastAsia="Calibri" w:hAnsi="Calibri" w:cs="Calibri"/>
          <w:color w:val="2E2E2E"/>
          <w:sz w:val="22"/>
          <w:szCs w:val="22"/>
        </w:rPr>
        <w:t>s</w:t>
      </w:r>
      <w:r w:rsidR="0F6A7E60" w:rsidRPr="109A04B4">
        <w:rPr>
          <w:rFonts w:ascii="Calibri" w:eastAsia="Calibri" w:hAnsi="Calibri" w:cs="Calibri"/>
          <w:color w:val="2E2E2E"/>
          <w:sz w:val="22"/>
          <w:szCs w:val="22"/>
        </w:rPr>
        <w:t>,</w:t>
      </w:r>
      <w:r w:rsidRPr="109A04B4">
        <w:rPr>
          <w:rFonts w:ascii="Calibri" w:eastAsia="Calibri" w:hAnsi="Calibri" w:cs="Calibri"/>
          <w:color w:val="2E2E2E"/>
          <w:sz w:val="22"/>
          <w:szCs w:val="22"/>
        </w:rPr>
        <w:t xml:space="preserve"> t</w:t>
      </w:r>
      <w:r w:rsidR="77DA3C0A" w:rsidRPr="109A04B4">
        <w:rPr>
          <w:sz w:val="22"/>
          <w:szCs w:val="22"/>
        </w:rPr>
        <w:t>riage in emergency settings</w:t>
      </w:r>
      <w:r w:rsidR="01436701" w:rsidRPr="109A04B4">
        <w:rPr>
          <w:sz w:val="22"/>
          <w:szCs w:val="22"/>
        </w:rPr>
        <w:t xml:space="preserve"> (</w:t>
      </w:r>
      <w:r w:rsidR="3983C9B2" w:rsidRPr="109A04B4">
        <w:rPr>
          <w:sz w:val="22"/>
          <w:szCs w:val="22"/>
        </w:rPr>
        <w:t>such as hospital emergency departments</w:t>
      </w:r>
      <w:r w:rsidR="20C19809" w:rsidRPr="109A04B4">
        <w:rPr>
          <w:sz w:val="22"/>
          <w:szCs w:val="22"/>
        </w:rPr>
        <w:t>)</w:t>
      </w:r>
      <w:r w:rsidR="3983C9B2" w:rsidRPr="109A04B4">
        <w:rPr>
          <w:sz w:val="22"/>
          <w:szCs w:val="22"/>
        </w:rPr>
        <w:t xml:space="preserve"> </w:t>
      </w:r>
      <w:r w:rsidR="7FDAF4F7" w:rsidRPr="109A04B4">
        <w:rPr>
          <w:sz w:val="22"/>
          <w:szCs w:val="22"/>
        </w:rPr>
        <w:t>gives priority</w:t>
      </w:r>
      <w:r w:rsidR="5932D60D" w:rsidRPr="109A04B4">
        <w:rPr>
          <w:sz w:val="22"/>
          <w:szCs w:val="22"/>
        </w:rPr>
        <w:t xml:space="preserve"> based on explicit criteria</w:t>
      </w:r>
      <w:r w:rsidR="7FDAF4F7" w:rsidRPr="109A04B4">
        <w:rPr>
          <w:sz w:val="22"/>
          <w:szCs w:val="22"/>
        </w:rPr>
        <w:t xml:space="preserve"> to </w:t>
      </w:r>
      <w:r w:rsidR="16F6272F" w:rsidRPr="109A04B4">
        <w:rPr>
          <w:sz w:val="22"/>
          <w:szCs w:val="22"/>
        </w:rPr>
        <w:t xml:space="preserve">patients </w:t>
      </w:r>
      <w:r w:rsidR="5CCA183D" w:rsidRPr="109A04B4">
        <w:rPr>
          <w:sz w:val="22"/>
          <w:szCs w:val="22"/>
        </w:rPr>
        <w:t xml:space="preserve">with </w:t>
      </w:r>
      <w:r w:rsidR="1BDB539F" w:rsidRPr="109A04B4">
        <w:rPr>
          <w:sz w:val="22"/>
          <w:szCs w:val="22"/>
        </w:rPr>
        <w:t xml:space="preserve">immediately </w:t>
      </w:r>
      <w:r w:rsidR="388F440C" w:rsidRPr="109A04B4">
        <w:rPr>
          <w:sz w:val="22"/>
          <w:szCs w:val="22"/>
        </w:rPr>
        <w:t>life-threatening conditions</w:t>
      </w:r>
      <w:r w:rsidR="7DC7B681" w:rsidRPr="109A04B4">
        <w:rPr>
          <w:sz w:val="22"/>
          <w:szCs w:val="22"/>
        </w:rPr>
        <w:t xml:space="preserve"> </w:t>
      </w:r>
      <w:r w:rsidR="16F6272F" w:rsidRPr="109A04B4">
        <w:rPr>
          <w:sz w:val="22"/>
          <w:szCs w:val="22"/>
        </w:rPr>
        <w:t xml:space="preserve">over other patients. </w:t>
      </w:r>
      <w:r w:rsidR="7E3C4AF1" w:rsidRPr="109A04B4">
        <w:rPr>
          <w:sz w:val="22"/>
          <w:szCs w:val="22"/>
        </w:rPr>
        <w:t xml:space="preserve">Under non-pandemic circumstances, admission to </w:t>
      </w:r>
      <w:r w:rsidR="005E20F8">
        <w:rPr>
          <w:sz w:val="22"/>
          <w:szCs w:val="22"/>
        </w:rPr>
        <w:t>intensive care units (</w:t>
      </w:r>
      <w:r w:rsidR="7E3C4AF1" w:rsidRPr="109A04B4">
        <w:rPr>
          <w:sz w:val="22"/>
          <w:szCs w:val="22"/>
        </w:rPr>
        <w:t>ICU</w:t>
      </w:r>
      <w:r w:rsidR="005E20F8">
        <w:rPr>
          <w:sz w:val="22"/>
          <w:szCs w:val="22"/>
        </w:rPr>
        <w:t>s)</w:t>
      </w:r>
      <w:r w:rsidR="7E3C4AF1" w:rsidRPr="109A04B4">
        <w:rPr>
          <w:sz w:val="22"/>
          <w:szCs w:val="22"/>
        </w:rPr>
        <w:t xml:space="preserve"> would be determined by</w:t>
      </w:r>
      <w:r w:rsidR="2D6A0EEB" w:rsidRPr="109A04B4">
        <w:rPr>
          <w:sz w:val="22"/>
          <w:szCs w:val="22"/>
        </w:rPr>
        <w:t xml:space="preserve"> the need for life-sustaining treatment or close monitoring</w:t>
      </w:r>
      <w:r w:rsidR="1347F4FF" w:rsidRPr="109A04B4">
        <w:rPr>
          <w:sz w:val="22"/>
          <w:szCs w:val="22"/>
        </w:rPr>
        <w:t xml:space="preserve">; </w:t>
      </w:r>
      <w:r w:rsidR="4100E0C5" w:rsidRPr="109A04B4">
        <w:rPr>
          <w:sz w:val="22"/>
          <w:szCs w:val="22"/>
        </w:rPr>
        <w:t>ICU admission would be offered to anyone who has a reasonable prospect of benefitting from it.</w:t>
      </w:r>
      <w:r w:rsidR="2D6A0EEB" w:rsidRPr="109A04B4">
        <w:rPr>
          <w:sz w:val="22"/>
          <w:szCs w:val="22"/>
        </w:rPr>
        <w:t xml:space="preserve"> </w:t>
      </w:r>
      <w:r w:rsidR="7E3C4AF1" w:rsidRPr="109A04B4">
        <w:rPr>
          <w:sz w:val="22"/>
          <w:szCs w:val="22"/>
        </w:rPr>
        <w:t>In a pandemic context,</w:t>
      </w:r>
      <w:r w:rsidR="698C3C12" w:rsidRPr="109A04B4">
        <w:rPr>
          <w:sz w:val="22"/>
          <w:szCs w:val="22"/>
        </w:rPr>
        <w:t xml:space="preserve"> </w:t>
      </w:r>
      <w:r w:rsidR="4ABB763C" w:rsidRPr="109A04B4">
        <w:rPr>
          <w:sz w:val="22"/>
          <w:szCs w:val="22"/>
        </w:rPr>
        <w:t xml:space="preserve">it is generally recognized that decisions regarding admission to ICU should be made with the goal of </w:t>
      </w:r>
      <w:r w:rsidR="7F03AC98" w:rsidRPr="109A04B4">
        <w:rPr>
          <w:sz w:val="22"/>
          <w:szCs w:val="22"/>
        </w:rPr>
        <w:t>saving the most lives possible.</w:t>
      </w:r>
      <w:r w:rsidR="001C6086">
        <w:rPr>
          <w:rStyle w:val="EndnoteReference"/>
          <w:sz w:val="22"/>
          <w:szCs w:val="22"/>
        </w:rPr>
        <w:endnoteReference w:id="4"/>
      </w:r>
      <w:r w:rsidR="0089734B">
        <w:rPr>
          <w:sz w:val="22"/>
          <w:szCs w:val="22"/>
          <w:vertAlign w:val="superscript"/>
        </w:rPr>
        <w:t>,</w:t>
      </w:r>
      <w:bookmarkStart w:id="0" w:name="_Ref50711823"/>
      <w:r w:rsidR="0089734B">
        <w:rPr>
          <w:rStyle w:val="EndnoteReference"/>
          <w:sz w:val="22"/>
          <w:szCs w:val="22"/>
        </w:rPr>
        <w:endnoteReference w:id="5"/>
      </w:r>
      <w:bookmarkEnd w:id="0"/>
      <w:r w:rsidR="7F03AC98" w:rsidRPr="109A04B4">
        <w:rPr>
          <w:sz w:val="22"/>
          <w:szCs w:val="22"/>
        </w:rPr>
        <w:t xml:space="preserve"> We propose that this is an important objective, but it is not sufficient. This is because </w:t>
      </w:r>
      <w:r w:rsidR="4C559FAA" w:rsidRPr="109A04B4">
        <w:rPr>
          <w:sz w:val="22"/>
          <w:szCs w:val="22"/>
        </w:rPr>
        <w:t xml:space="preserve">the objective of saving the most lives is only one response to one challenge </w:t>
      </w:r>
      <w:r w:rsidR="7AFACF76" w:rsidRPr="109A04B4">
        <w:rPr>
          <w:sz w:val="22"/>
          <w:szCs w:val="22"/>
        </w:rPr>
        <w:t>created by</w:t>
      </w:r>
      <w:r w:rsidR="4C559FAA" w:rsidRPr="109A04B4">
        <w:rPr>
          <w:sz w:val="22"/>
          <w:szCs w:val="22"/>
        </w:rPr>
        <w:t xml:space="preserve"> a scarcity of resources. </w:t>
      </w:r>
      <w:r w:rsidR="75077CEC" w:rsidRPr="109A04B4">
        <w:rPr>
          <w:sz w:val="22"/>
          <w:szCs w:val="22"/>
        </w:rPr>
        <w:t>S</w:t>
      </w:r>
      <w:r w:rsidR="4C559FAA" w:rsidRPr="109A04B4">
        <w:rPr>
          <w:sz w:val="22"/>
          <w:szCs w:val="22"/>
        </w:rPr>
        <w:t xml:space="preserve">carcity of resources also presents a challenge of protecting individual human rights, </w:t>
      </w:r>
      <w:r w:rsidR="5795679B" w:rsidRPr="109A04B4">
        <w:rPr>
          <w:sz w:val="22"/>
          <w:szCs w:val="22"/>
        </w:rPr>
        <w:t xml:space="preserve">specifically given the prospect of </w:t>
      </w:r>
      <w:r w:rsidR="4C559FAA" w:rsidRPr="109A04B4">
        <w:rPr>
          <w:sz w:val="22"/>
          <w:szCs w:val="22"/>
        </w:rPr>
        <w:t xml:space="preserve">restricting a right to life </w:t>
      </w:r>
      <w:r w:rsidR="0093CF77" w:rsidRPr="109A04B4">
        <w:rPr>
          <w:sz w:val="22"/>
          <w:szCs w:val="22"/>
        </w:rPr>
        <w:t>for</w:t>
      </w:r>
      <w:r w:rsidR="4C559FAA" w:rsidRPr="109A04B4">
        <w:rPr>
          <w:sz w:val="22"/>
          <w:szCs w:val="22"/>
        </w:rPr>
        <w:t xml:space="preserve"> some patients</w:t>
      </w:r>
      <w:r w:rsidR="00577096">
        <w:rPr>
          <w:sz w:val="22"/>
          <w:szCs w:val="22"/>
        </w:rPr>
        <w:t xml:space="preserve"> </w:t>
      </w:r>
      <w:r w:rsidR="00577096" w:rsidRPr="00577096">
        <w:rPr>
          <w:sz w:val="22"/>
          <w:szCs w:val="22"/>
        </w:rPr>
        <w:t>and the potential for such restrictions to disproportionately impact people with disabilities, people who are racialized</w:t>
      </w:r>
      <w:r w:rsidR="00577096">
        <w:rPr>
          <w:sz w:val="22"/>
          <w:szCs w:val="22"/>
        </w:rPr>
        <w:t>,</w:t>
      </w:r>
      <w:r w:rsidR="00577096" w:rsidRPr="00577096">
        <w:rPr>
          <w:sz w:val="22"/>
          <w:szCs w:val="22"/>
        </w:rPr>
        <w:t xml:space="preserve"> and people with pre-existing health conditions.</w:t>
      </w:r>
      <w:r w:rsidR="00577096">
        <w:rPr>
          <w:sz w:val="22"/>
          <w:szCs w:val="22"/>
        </w:rPr>
        <w:t xml:space="preserve"> </w:t>
      </w:r>
      <w:r w:rsidR="4B7FBF80" w:rsidRPr="109A04B4">
        <w:rPr>
          <w:sz w:val="22"/>
          <w:szCs w:val="22"/>
        </w:rPr>
        <w:t xml:space="preserve">The approach to addressing this challenge must be to </w:t>
      </w:r>
      <w:r w:rsidR="4C559FAA" w:rsidRPr="109A04B4">
        <w:rPr>
          <w:sz w:val="22"/>
          <w:szCs w:val="22"/>
        </w:rPr>
        <w:t>ensure</w:t>
      </w:r>
      <w:r w:rsidR="7D81E744" w:rsidRPr="109A04B4">
        <w:rPr>
          <w:sz w:val="22"/>
          <w:szCs w:val="22"/>
        </w:rPr>
        <w:t xml:space="preserve"> that</w:t>
      </w:r>
      <w:r w:rsidR="4C559FAA" w:rsidRPr="109A04B4">
        <w:rPr>
          <w:sz w:val="22"/>
          <w:szCs w:val="22"/>
        </w:rPr>
        <w:t xml:space="preserve"> any such restriction</w:t>
      </w:r>
      <w:r w:rsidR="3ADE320D" w:rsidRPr="109A04B4">
        <w:rPr>
          <w:sz w:val="22"/>
          <w:szCs w:val="22"/>
        </w:rPr>
        <w:t>s</w:t>
      </w:r>
      <w:r w:rsidR="4C559FAA" w:rsidRPr="109A04B4">
        <w:rPr>
          <w:sz w:val="22"/>
          <w:szCs w:val="22"/>
        </w:rPr>
        <w:t xml:space="preserve"> </w:t>
      </w:r>
      <w:r w:rsidR="467377CD" w:rsidRPr="109A04B4">
        <w:rPr>
          <w:sz w:val="22"/>
          <w:szCs w:val="22"/>
        </w:rPr>
        <w:t xml:space="preserve">are </w:t>
      </w:r>
      <w:r w:rsidR="4C559FAA" w:rsidRPr="109A04B4">
        <w:rPr>
          <w:sz w:val="22"/>
          <w:szCs w:val="22"/>
        </w:rPr>
        <w:t>proportional to the demand for critical care</w:t>
      </w:r>
      <w:r w:rsidR="00577096">
        <w:rPr>
          <w:sz w:val="22"/>
          <w:szCs w:val="22"/>
        </w:rPr>
        <w:t xml:space="preserve">, </w:t>
      </w:r>
      <w:r w:rsidR="00577096" w:rsidRPr="00577096">
        <w:rPr>
          <w:sz w:val="22"/>
          <w:szCs w:val="22"/>
        </w:rPr>
        <w:t xml:space="preserve">that these restrictions are only used to the extent that is strictly necessary so as to assure as minimal an impairment of rights possible, </w:t>
      </w:r>
      <w:r w:rsidR="4C559FAA" w:rsidRPr="109A04B4">
        <w:rPr>
          <w:sz w:val="22"/>
          <w:szCs w:val="22"/>
        </w:rPr>
        <w:t xml:space="preserve">and </w:t>
      </w:r>
      <w:r w:rsidR="6BEE70ED" w:rsidRPr="109A04B4">
        <w:rPr>
          <w:sz w:val="22"/>
          <w:szCs w:val="22"/>
        </w:rPr>
        <w:t xml:space="preserve">are </w:t>
      </w:r>
      <w:r w:rsidR="4C559FAA" w:rsidRPr="109A04B4">
        <w:rPr>
          <w:sz w:val="22"/>
          <w:szCs w:val="22"/>
        </w:rPr>
        <w:t xml:space="preserve">undergirded by </w:t>
      </w:r>
      <w:r w:rsidR="17EE0127" w:rsidRPr="109A04B4">
        <w:rPr>
          <w:sz w:val="22"/>
          <w:szCs w:val="22"/>
        </w:rPr>
        <w:t xml:space="preserve">mechanisms of </w:t>
      </w:r>
      <w:r w:rsidR="4C559FAA" w:rsidRPr="109A04B4">
        <w:rPr>
          <w:sz w:val="22"/>
          <w:szCs w:val="22"/>
        </w:rPr>
        <w:t xml:space="preserve">due process. </w:t>
      </w:r>
      <w:r w:rsidR="42BA54CB" w:rsidRPr="109A04B4">
        <w:rPr>
          <w:sz w:val="22"/>
          <w:szCs w:val="22"/>
        </w:rPr>
        <w:t>An additional challenge regards r</w:t>
      </w:r>
      <w:r w:rsidR="4C559FAA" w:rsidRPr="109A04B4">
        <w:rPr>
          <w:sz w:val="22"/>
          <w:szCs w:val="22"/>
        </w:rPr>
        <w:t xml:space="preserve">eparation in the face of pre-existing health and social inequities due to unjust discrimination </w:t>
      </w:r>
      <w:r w:rsidR="24E82301" w:rsidRPr="109A04B4">
        <w:rPr>
          <w:sz w:val="22"/>
          <w:szCs w:val="22"/>
        </w:rPr>
        <w:t xml:space="preserve">and other forms of social disadvantage and marginalization. The approach to addressing this challenge must </w:t>
      </w:r>
      <w:r w:rsidR="7D41599B" w:rsidRPr="109A04B4">
        <w:rPr>
          <w:sz w:val="22"/>
          <w:szCs w:val="22"/>
        </w:rPr>
        <w:t>include</w:t>
      </w:r>
      <w:r w:rsidR="4C559FAA" w:rsidRPr="109A04B4">
        <w:rPr>
          <w:sz w:val="22"/>
          <w:szCs w:val="22"/>
        </w:rPr>
        <w:t xml:space="preserve"> minimiz</w:t>
      </w:r>
      <w:r w:rsidR="7A5404C7" w:rsidRPr="109A04B4">
        <w:rPr>
          <w:sz w:val="22"/>
          <w:szCs w:val="22"/>
        </w:rPr>
        <w:t>ing</w:t>
      </w:r>
      <w:r w:rsidR="4C559FAA" w:rsidRPr="109A04B4">
        <w:rPr>
          <w:sz w:val="22"/>
          <w:szCs w:val="22"/>
        </w:rPr>
        <w:t xml:space="preserve"> </w:t>
      </w:r>
      <w:r w:rsidR="2C5058CD" w:rsidRPr="109A04B4">
        <w:rPr>
          <w:sz w:val="22"/>
          <w:szCs w:val="22"/>
        </w:rPr>
        <w:t xml:space="preserve">the </w:t>
      </w:r>
      <w:r w:rsidR="4C559FAA" w:rsidRPr="109A04B4">
        <w:rPr>
          <w:sz w:val="22"/>
          <w:szCs w:val="22"/>
        </w:rPr>
        <w:t xml:space="preserve">risk that such populations will become infected in the first place and </w:t>
      </w:r>
      <w:r w:rsidR="19677F48" w:rsidRPr="109A04B4">
        <w:rPr>
          <w:sz w:val="22"/>
          <w:szCs w:val="22"/>
        </w:rPr>
        <w:t>providing</w:t>
      </w:r>
      <w:r w:rsidR="4C559FAA" w:rsidRPr="109A04B4">
        <w:rPr>
          <w:sz w:val="22"/>
          <w:szCs w:val="22"/>
        </w:rPr>
        <w:t xml:space="preserve"> protections against discriminatory practices in triage</w:t>
      </w:r>
      <w:r w:rsidR="005E20F8">
        <w:rPr>
          <w:sz w:val="22"/>
          <w:szCs w:val="22"/>
        </w:rPr>
        <w:t xml:space="preserve"> decision-making</w:t>
      </w:r>
      <w:r w:rsidR="4C559FAA" w:rsidRPr="109A04B4">
        <w:rPr>
          <w:sz w:val="22"/>
          <w:szCs w:val="22"/>
        </w:rPr>
        <w:t xml:space="preserve">. </w:t>
      </w:r>
      <w:r w:rsidR="58181287" w:rsidRPr="109A04B4">
        <w:rPr>
          <w:sz w:val="22"/>
          <w:szCs w:val="22"/>
        </w:rPr>
        <w:t xml:space="preserve">A final challenge presented by a scarcity of resources </w:t>
      </w:r>
      <w:r w:rsidR="4C559FAA" w:rsidRPr="109A04B4">
        <w:rPr>
          <w:sz w:val="22"/>
          <w:szCs w:val="22"/>
        </w:rPr>
        <w:t xml:space="preserve">could be characterized as a problem of </w:t>
      </w:r>
      <w:r w:rsidR="0DA777EA" w:rsidRPr="109A04B4">
        <w:rPr>
          <w:sz w:val="22"/>
          <w:szCs w:val="22"/>
        </w:rPr>
        <w:t xml:space="preserve">public </w:t>
      </w:r>
      <w:r w:rsidR="4C559FAA" w:rsidRPr="109A04B4">
        <w:rPr>
          <w:sz w:val="22"/>
          <w:szCs w:val="22"/>
        </w:rPr>
        <w:t>trust</w:t>
      </w:r>
      <w:r w:rsidR="7F9C91A8" w:rsidRPr="109A04B4">
        <w:rPr>
          <w:sz w:val="22"/>
          <w:szCs w:val="22"/>
        </w:rPr>
        <w:t xml:space="preserve">. </w:t>
      </w:r>
      <w:r w:rsidR="002A6A12" w:rsidRPr="002A6A12">
        <w:rPr>
          <w:sz w:val="22"/>
          <w:szCs w:val="22"/>
        </w:rPr>
        <w:t>This challenge can only be addressed by installing clear and fair mechanisms of accountability in a system of triage</w:t>
      </w:r>
      <w:r w:rsidR="002A6A12">
        <w:rPr>
          <w:sz w:val="22"/>
          <w:szCs w:val="22"/>
        </w:rPr>
        <w:t>.</w:t>
      </w:r>
    </w:p>
    <w:p w14:paraId="3552CA83" w14:textId="36ECB8CC" w:rsidR="00627BCE" w:rsidRDefault="00627BCE" w:rsidP="00280A9E">
      <w:pPr>
        <w:contextualSpacing/>
        <w:rPr>
          <w:sz w:val="22"/>
          <w:szCs w:val="22"/>
        </w:rPr>
      </w:pPr>
    </w:p>
    <w:p w14:paraId="58F055F4" w14:textId="21E7B361" w:rsidR="00627BCE" w:rsidRDefault="4C8A6C95" w:rsidP="00280A9E">
      <w:pPr>
        <w:contextualSpacing/>
        <w:rPr>
          <w:rFonts w:ascii="Calibri" w:eastAsia="Calibri" w:hAnsi="Calibri" w:cs="Calibri"/>
          <w:sz w:val="22"/>
          <w:szCs w:val="22"/>
        </w:rPr>
      </w:pPr>
      <w:r w:rsidRPr="109A04B4">
        <w:rPr>
          <w:sz w:val="22"/>
          <w:szCs w:val="22"/>
        </w:rPr>
        <w:t xml:space="preserve">Under </w:t>
      </w:r>
      <w:r w:rsidR="293F8F5D" w:rsidRPr="109A04B4">
        <w:rPr>
          <w:sz w:val="22"/>
          <w:szCs w:val="22"/>
        </w:rPr>
        <w:t>major surge</w:t>
      </w:r>
      <w:r w:rsidRPr="109A04B4">
        <w:rPr>
          <w:sz w:val="22"/>
          <w:szCs w:val="22"/>
        </w:rPr>
        <w:t xml:space="preserve"> conditions and against a backdrop of a health system and health care practices that are known to involve biases and discrimination, it is imperative to develop an approach to allocating critical care resources that involves the least infringement of human rights and which strives to not perpetuate or exacerbate health and social inequities. It is also imperative that whatever approach is taken does not result in more patient needs going unmet compared to what would be expected had no </w:t>
      </w:r>
      <w:r w:rsidRPr="109A04B4">
        <w:rPr>
          <w:sz w:val="22"/>
          <w:szCs w:val="22"/>
        </w:rPr>
        <w:lastRenderedPageBreak/>
        <w:t xml:space="preserve">action been taken. Any approach to critical care triage should be guided by evidence, ethical principles, and human rights principles and standards. </w:t>
      </w:r>
      <w:r w:rsidRPr="109A04B4">
        <w:rPr>
          <w:rFonts w:ascii="Calibri" w:eastAsia="Calibri" w:hAnsi="Calibri" w:cs="Calibri"/>
          <w:sz w:val="22"/>
          <w:szCs w:val="22"/>
        </w:rPr>
        <w:t xml:space="preserve">The purpose of this document is to propose such an approach—a framework for critical care triage. This document also aims to raise key ethical and clinical considerations for critical care triage in this context and offer recommendations for the further development and </w:t>
      </w:r>
      <w:r w:rsidR="7A73EF6E" w:rsidRPr="109A04B4">
        <w:rPr>
          <w:rFonts w:ascii="Calibri" w:eastAsia="Calibri" w:hAnsi="Calibri" w:cs="Calibri"/>
          <w:sz w:val="22"/>
          <w:szCs w:val="22"/>
        </w:rPr>
        <w:t>implementation of the critical care triage approach in the Ontario health system</w:t>
      </w:r>
      <w:r w:rsidR="00577096">
        <w:rPr>
          <w:rFonts w:ascii="Calibri" w:eastAsia="Calibri" w:hAnsi="Calibri" w:cs="Calibri"/>
          <w:sz w:val="22"/>
          <w:szCs w:val="22"/>
        </w:rPr>
        <w:t xml:space="preserve"> </w:t>
      </w:r>
      <w:r w:rsidR="00577096" w:rsidRPr="00577096">
        <w:rPr>
          <w:rFonts w:ascii="Calibri" w:eastAsia="Calibri" w:hAnsi="Calibri" w:cs="Calibri"/>
          <w:sz w:val="22"/>
          <w:szCs w:val="22"/>
        </w:rPr>
        <w:t>that are consistent with Ontario and Canada’s human rights protections</w:t>
      </w:r>
      <w:r w:rsidR="7A73EF6E" w:rsidRPr="109A04B4">
        <w:rPr>
          <w:rFonts w:ascii="Calibri" w:eastAsia="Calibri" w:hAnsi="Calibri" w:cs="Calibri"/>
          <w:sz w:val="22"/>
          <w:szCs w:val="22"/>
        </w:rPr>
        <w:t>.</w:t>
      </w:r>
    </w:p>
    <w:p w14:paraId="4937DE29" w14:textId="6063E513" w:rsidR="00FB547D" w:rsidRPr="008C7C47" w:rsidRDefault="00FB547D" w:rsidP="00280A9E">
      <w:pPr>
        <w:contextualSpacing/>
        <w:rPr>
          <w:rFonts w:eastAsiaTheme="minorEastAsia"/>
          <w:sz w:val="22"/>
          <w:szCs w:val="22"/>
        </w:rPr>
      </w:pPr>
    </w:p>
    <w:p w14:paraId="63110C73" w14:textId="362F178B" w:rsidR="004A2F6C" w:rsidRPr="00B2026C" w:rsidRDefault="004A2F6C" w:rsidP="00DD53AE">
      <w:pPr>
        <w:pStyle w:val="Heading3"/>
      </w:pPr>
      <w:r w:rsidRPr="500AFCFA">
        <w:t xml:space="preserve">Guiding </w:t>
      </w:r>
      <w:r w:rsidR="00421EF6" w:rsidRPr="500AFCFA">
        <w:t xml:space="preserve">Ethical </w:t>
      </w:r>
      <w:r w:rsidRPr="500AFCFA">
        <w:t>Principles</w:t>
      </w:r>
    </w:p>
    <w:p w14:paraId="07A08D86" w14:textId="5A34D893" w:rsidR="00421EF6" w:rsidRDefault="004A2F6C" w:rsidP="00280A9E">
      <w:pPr>
        <w:contextualSpacing/>
        <w:rPr>
          <w:rFonts w:eastAsiaTheme="minorEastAsia"/>
          <w:sz w:val="22"/>
          <w:szCs w:val="22"/>
        </w:rPr>
      </w:pPr>
      <w:r w:rsidRPr="500AFCFA">
        <w:rPr>
          <w:rFonts w:eastAsiaTheme="minorEastAsia"/>
          <w:sz w:val="22"/>
          <w:szCs w:val="22"/>
        </w:rPr>
        <w:t xml:space="preserve">There are </w:t>
      </w:r>
      <w:r w:rsidR="1658B9B9" w:rsidRPr="500AFCFA">
        <w:rPr>
          <w:rFonts w:eastAsiaTheme="minorEastAsia"/>
          <w:sz w:val="22"/>
          <w:szCs w:val="22"/>
        </w:rPr>
        <w:t xml:space="preserve">a number of </w:t>
      </w:r>
      <w:r w:rsidRPr="500AFCFA">
        <w:rPr>
          <w:rFonts w:eastAsiaTheme="minorEastAsia"/>
          <w:sz w:val="22"/>
          <w:szCs w:val="22"/>
        </w:rPr>
        <w:t>published frameworks outlin</w:t>
      </w:r>
      <w:r w:rsidR="00B778F2" w:rsidRPr="500AFCFA">
        <w:rPr>
          <w:rFonts w:eastAsiaTheme="minorEastAsia"/>
          <w:sz w:val="22"/>
          <w:szCs w:val="22"/>
        </w:rPr>
        <w:t>ing</w:t>
      </w:r>
      <w:r w:rsidRPr="500AFCFA">
        <w:rPr>
          <w:rFonts w:eastAsiaTheme="minorEastAsia"/>
          <w:sz w:val="22"/>
          <w:szCs w:val="22"/>
        </w:rPr>
        <w:t xml:space="preserve"> ethical principles </w:t>
      </w:r>
      <w:r w:rsidR="00B778F2" w:rsidRPr="500AFCFA">
        <w:rPr>
          <w:rFonts w:eastAsiaTheme="minorEastAsia"/>
          <w:sz w:val="22"/>
          <w:szCs w:val="22"/>
        </w:rPr>
        <w:t xml:space="preserve">to </w:t>
      </w:r>
      <w:r w:rsidRPr="500AFCFA">
        <w:rPr>
          <w:rFonts w:eastAsiaTheme="minorEastAsia"/>
          <w:sz w:val="22"/>
          <w:szCs w:val="22"/>
        </w:rPr>
        <w:t>guide triage systems</w:t>
      </w:r>
      <w:r w:rsidR="00C217DB" w:rsidRPr="500AFCFA">
        <w:rPr>
          <w:rFonts w:eastAsiaTheme="minorEastAsia"/>
          <w:sz w:val="22"/>
          <w:szCs w:val="22"/>
        </w:rPr>
        <w:t>.</w:t>
      </w:r>
      <w:r w:rsidR="0089734B" w:rsidRPr="0089734B">
        <w:rPr>
          <w:rFonts w:eastAsiaTheme="minorEastAsia"/>
          <w:sz w:val="22"/>
          <w:szCs w:val="22"/>
          <w:vertAlign w:val="superscript"/>
        </w:rPr>
        <w:fldChar w:fldCharType="begin"/>
      </w:r>
      <w:r w:rsidR="0089734B" w:rsidRPr="0089734B">
        <w:rPr>
          <w:rFonts w:eastAsiaTheme="minorEastAsia"/>
          <w:sz w:val="22"/>
          <w:szCs w:val="22"/>
          <w:vertAlign w:val="superscript"/>
        </w:rPr>
        <w:instrText xml:space="preserve"> NOTEREF _Ref50711823 \h </w:instrText>
      </w:r>
      <w:r w:rsidR="0089734B">
        <w:rPr>
          <w:rFonts w:eastAsiaTheme="minorEastAsia"/>
          <w:sz w:val="22"/>
          <w:szCs w:val="22"/>
          <w:vertAlign w:val="superscript"/>
        </w:rPr>
        <w:instrText xml:space="preserve"> \* MERGEFORMAT </w:instrText>
      </w:r>
      <w:r w:rsidR="0089734B" w:rsidRPr="0089734B">
        <w:rPr>
          <w:rFonts w:eastAsiaTheme="minorEastAsia"/>
          <w:sz w:val="22"/>
          <w:szCs w:val="22"/>
          <w:vertAlign w:val="superscript"/>
        </w:rPr>
      </w:r>
      <w:r w:rsidR="0089734B" w:rsidRPr="0089734B">
        <w:rPr>
          <w:rFonts w:eastAsiaTheme="minorEastAsia"/>
          <w:sz w:val="22"/>
          <w:szCs w:val="22"/>
          <w:vertAlign w:val="superscript"/>
        </w:rPr>
        <w:fldChar w:fldCharType="separate"/>
      </w:r>
      <w:r w:rsidR="0089734B" w:rsidRPr="0089734B">
        <w:rPr>
          <w:rFonts w:eastAsiaTheme="minorEastAsia"/>
          <w:sz w:val="22"/>
          <w:szCs w:val="22"/>
          <w:vertAlign w:val="superscript"/>
        </w:rPr>
        <w:t>5</w:t>
      </w:r>
      <w:r w:rsidR="0089734B" w:rsidRPr="0089734B">
        <w:rPr>
          <w:rFonts w:eastAsiaTheme="minorEastAsia"/>
          <w:sz w:val="22"/>
          <w:szCs w:val="22"/>
          <w:vertAlign w:val="superscript"/>
        </w:rPr>
        <w:fldChar w:fldCharType="end"/>
      </w:r>
      <w:r w:rsidR="0089734B" w:rsidRPr="00E5309D">
        <w:rPr>
          <w:rFonts w:eastAsiaTheme="minorEastAsia"/>
          <w:sz w:val="22"/>
          <w:szCs w:val="22"/>
          <w:vertAlign w:val="superscript"/>
        </w:rPr>
        <w:t>,</w:t>
      </w:r>
      <w:bookmarkStart w:id="1" w:name="_Ref50712212"/>
      <w:r w:rsidR="0089734B">
        <w:rPr>
          <w:rStyle w:val="EndnoteReference"/>
          <w:rFonts w:eastAsiaTheme="minorEastAsia"/>
          <w:sz w:val="22"/>
          <w:szCs w:val="22"/>
        </w:rPr>
        <w:endnoteReference w:id="6"/>
      </w:r>
      <w:bookmarkEnd w:id="1"/>
      <w:r w:rsidR="0089734B" w:rsidRPr="00E5309D">
        <w:rPr>
          <w:rFonts w:eastAsiaTheme="minorEastAsia"/>
          <w:sz w:val="22"/>
          <w:szCs w:val="22"/>
          <w:vertAlign w:val="superscript"/>
        </w:rPr>
        <w:t>,</w:t>
      </w:r>
      <w:r w:rsidR="0089734B">
        <w:rPr>
          <w:rStyle w:val="EndnoteReference"/>
          <w:rFonts w:eastAsiaTheme="minorEastAsia"/>
          <w:sz w:val="22"/>
          <w:szCs w:val="22"/>
        </w:rPr>
        <w:endnoteReference w:id="7"/>
      </w:r>
      <w:r w:rsidR="00E5309D" w:rsidRPr="00E5309D">
        <w:rPr>
          <w:rFonts w:eastAsiaTheme="minorEastAsia"/>
          <w:sz w:val="22"/>
          <w:szCs w:val="22"/>
          <w:vertAlign w:val="superscript"/>
        </w:rPr>
        <w:t>,</w:t>
      </w:r>
      <w:r w:rsidR="0089734B">
        <w:rPr>
          <w:rStyle w:val="EndnoteReference"/>
          <w:rFonts w:eastAsiaTheme="minorEastAsia"/>
          <w:sz w:val="22"/>
          <w:szCs w:val="22"/>
        </w:rPr>
        <w:endnoteReference w:id="8"/>
      </w:r>
      <w:r w:rsidRPr="500AFCFA">
        <w:rPr>
          <w:rFonts w:eastAsiaTheme="minorEastAsia"/>
          <w:sz w:val="22"/>
          <w:szCs w:val="22"/>
        </w:rPr>
        <w:t xml:space="preserve"> Recent </w:t>
      </w:r>
      <w:r w:rsidR="006332ED" w:rsidRPr="500AFCFA">
        <w:rPr>
          <w:rFonts w:eastAsiaTheme="minorEastAsia"/>
          <w:sz w:val="22"/>
          <w:szCs w:val="22"/>
        </w:rPr>
        <w:t>studies of Canadian perspectives on priority setting of critical care resources in a pandemic</w:t>
      </w:r>
      <w:r w:rsidRPr="500AFCFA">
        <w:rPr>
          <w:rFonts w:eastAsiaTheme="minorEastAsia"/>
          <w:sz w:val="22"/>
          <w:szCs w:val="22"/>
        </w:rPr>
        <w:t xml:space="preserve"> indicate a preference for </w:t>
      </w:r>
      <w:r w:rsidR="170757A2" w:rsidRPr="500AFCFA">
        <w:rPr>
          <w:rFonts w:eastAsiaTheme="minorEastAsia"/>
          <w:sz w:val="22"/>
          <w:szCs w:val="22"/>
        </w:rPr>
        <w:t>saving the most lives</w:t>
      </w:r>
      <w:r w:rsidR="00366D40" w:rsidRPr="500AFCFA">
        <w:rPr>
          <w:rFonts w:eastAsiaTheme="minorEastAsia"/>
          <w:sz w:val="22"/>
          <w:szCs w:val="22"/>
        </w:rPr>
        <w:t>,</w:t>
      </w:r>
      <w:r w:rsidR="00E5309D">
        <w:rPr>
          <w:rFonts w:eastAsiaTheme="minorEastAsia"/>
          <w:sz w:val="22"/>
          <w:szCs w:val="22"/>
        </w:rPr>
        <w:t xml:space="preserve"> </w:t>
      </w:r>
      <w:r w:rsidR="00E5309D" w:rsidRPr="500AFCFA">
        <w:rPr>
          <w:rFonts w:eastAsiaTheme="minorEastAsia"/>
          <w:sz w:val="22"/>
          <w:szCs w:val="22"/>
        </w:rPr>
        <w:t>followed by the application of a fair procedure for the prioritization of people with similar likelihood of benefit</w:t>
      </w:r>
      <w:r w:rsidR="00E5309D">
        <w:rPr>
          <w:rFonts w:eastAsiaTheme="minorEastAsia"/>
          <w:sz w:val="22"/>
          <w:szCs w:val="22"/>
        </w:rPr>
        <w:t>.</w:t>
      </w:r>
      <w:r w:rsidR="00E5309D" w:rsidRPr="00E5309D">
        <w:rPr>
          <w:rFonts w:eastAsiaTheme="minorEastAsia"/>
          <w:sz w:val="22"/>
          <w:szCs w:val="22"/>
          <w:vertAlign w:val="superscript"/>
        </w:rPr>
        <w:fldChar w:fldCharType="begin"/>
      </w:r>
      <w:r w:rsidR="00E5309D" w:rsidRPr="00E5309D">
        <w:rPr>
          <w:rFonts w:eastAsiaTheme="minorEastAsia"/>
          <w:sz w:val="22"/>
          <w:szCs w:val="22"/>
          <w:vertAlign w:val="superscript"/>
        </w:rPr>
        <w:instrText xml:space="preserve"> NOTEREF _Ref50712212 \h </w:instrText>
      </w:r>
      <w:r w:rsidR="00E5309D">
        <w:rPr>
          <w:rFonts w:eastAsiaTheme="minorEastAsia"/>
          <w:sz w:val="22"/>
          <w:szCs w:val="22"/>
          <w:vertAlign w:val="superscript"/>
        </w:rPr>
        <w:instrText xml:space="preserve"> \* MERGEFORMAT </w:instrText>
      </w:r>
      <w:r w:rsidR="00E5309D" w:rsidRPr="00E5309D">
        <w:rPr>
          <w:rFonts w:eastAsiaTheme="minorEastAsia"/>
          <w:sz w:val="22"/>
          <w:szCs w:val="22"/>
          <w:vertAlign w:val="superscript"/>
        </w:rPr>
      </w:r>
      <w:r w:rsidR="00E5309D" w:rsidRPr="00E5309D">
        <w:rPr>
          <w:rFonts w:eastAsiaTheme="minorEastAsia"/>
          <w:sz w:val="22"/>
          <w:szCs w:val="22"/>
          <w:vertAlign w:val="superscript"/>
        </w:rPr>
        <w:fldChar w:fldCharType="separate"/>
      </w:r>
      <w:r w:rsidR="00E5309D" w:rsidRPr="00E5309D">
        <w:rPr>
          <w:rFonts w:eastAsiaTheme="minorEastAsia"/>
          <w:sz w:val="22"/>
          <w:szCs w:val="22"/>
          <w:vertAlign w:val="superscript"/>
        </w:rPr>
        <w:t>6</w:t>
      </w:r>
      <w:r w:rsidR="00E5309D" w:rsidRPr="00E5309D">
        <w:rPr>
          <w:rFonts w:eastAsiaTheme="minorEastAsia"/>
          <w:sz w:val="22"/>
          <w:szCs w:val="22"/>
          <w:vertAlign w:val="superscript"/>
        </w:rPr>
        <w:fldChar w:fldCharType="end"/>
      </w:r>
      <w:r w:rsidR="00E5309D" w:rsidRPr="00E5309D">
        <w:rPr>
          <w:rFonts w:eastAsiaTheme="minorEastAsia"/>
          <w:sz w:val="22"/>
          <w:szCs w:val="22"/>
          <w:vertAlign w:val="superscript"/>
        </w:rPr>
        <w:t>,</w:t>
      </w:r>
      <w:r w:rsidR="00E5309D">
        <w:rPr>
          <w:rStyle w:val="EndnoteReference"/>
          <w:rFonts w:eastAsiaTheme="minorEastAsia"/>
          <w:sz w:val="22"/>
          <w:szCs w:val="22"/>
        </w:rPr>
        <w:endnoteReference w:id="9"/>
      </w:r>
      <w:r w:rsidR="00E5309D" w:rsidRPr="00E5309D">
        <w:rPr>
          <w:rFonts w:eastAsiaTheme="minorEastAsia"/>
          <w:sz w:val="22"/>
          <w:szCs w:val="22"/>
          <w:vertAlign w:val="superscript"/>
        </w:rPr>
        <w:t>,</w:t>
      </w:r>
      <w:r w:rsidR="00E5309D">
        <w:rPr>
          <w:rStyle w:val="EndnoteReference"/>
          <w:rFonts w:eastAsiaTheme="minorEastAsia"/>
          <w:sz w:val="22"/>
          <w:szCs w:val="22"/>
        </w:rPr>
        <w:endnoteReference w:id="10"/>
      </w:r>
      <w:r w:rsidRPr="500AFCFA">
        <w:rPr>
          <w:rFonts w:eastAsiaTheme="minorEastAsia"/>
          <w:sz w:val="22"/>
          <w:szCs w:val="22"/>
        </w:rPr>
        <w:t xml:space="preserve"> </w:t>
      </w:r>
      <w:r w:rsidR="009B32B3" w:rsidRPr="500AFCFA">
        <w:rPr>
          <w:rFonts w:eastAsiaTheme="minorEastAsia"/>
          <w:sz w:val="22"/>
          <w:szCs w:val="22"/>
        </w:rPr>
        <w:t xml:space="preserve">In addition, </w:t>
      </w:r>
      <w:r w:rsidR="00850DBA" w:rsidRPr="500AFCFA">
        <w:rPr>
          <w:rFonts w:eastAsiaTheme="minorEastAsia"/>
          <w:sz w:val="22"/>
          <w:szCs w:val="22"/>
        </w:rPr>
        <w:t>there is published guidance</w:t>
      </w:r>
      <w:r w:rsidR="009B32B3" w:rsidRPr="500AFCFA">
        <w:rPr>
          <w:rFonts w:eastAsiaTheme="minorEastAsia"/>
          <w:sz w:val="22"/>
          <w:szCs w:val="22"/>
        </w:rPr>
        <w:t xml:space="preserve"> </w:t>
      </w:r>
      <w:r w:rsidR="0080683D" w:rsidRPr="500AFCFA">
        <w:rPr>
          <w:rFonts w:eastAsiaTheme="minorEastAsia"/>
          <w:sz w:val="22"/>
          <w:szCs w:val="22"/>
        </w:rPr>
        <w:t>on how</w:t>
      </w:r>
      <w:r w:rsidR="009B32B3" w:rsidRPr="500AFCFA">
        <w:rPr>
          <w:rFonts w:eastAsiaTheme="minorEastAsia"/>
          <w:sz w:val="22"/>
          <w:szCs w:val="22"/>
        </w:rPr>
        <w:t xml:space="preserve"> triage </w:t>
      </w:r>
      <w:r w:rsidR="006332ED" w:rsidRPr="500AFCFA">
        <w:rPr>
          <w:rFonts w:eastAsiaTheme="minorEastAsia"/>
          <w:sz w:val="22"/>
          <w:szCs w:val="22"/>
        </w:rPr>
        <w:t>systems</w:t>
      </w:r>
      <w:r w:rsidR="009B32B3" w:rsidRPr="500AFCFA">
        <w:rPr>
          <w:rFonts w:eastAsiaTheme="minorEastAsia"/>
          <w:sz w:val="22"/>
          <w:szCs w:val="22"/>
        </w:rPr>
        <w:t xml:space="preserve"> </w:t>
      </w:r>
      <w:r w:rsidR="0080683D" w:rsidRPr="500AFCFA">
        <w:rPr>
          <w:rFonts w:eastAsiaTheme="minorEastAsia"/>
          <w:sz w:val="22"/>
          <w:szCs w:val="22"/>
        </w:rPr>
        <w:t xml:space="preserve">can minimize </w:t>
      </w:r>
      <w:r w:rsidR="683FB66A" w:rsidRPr="500AFCFA">
        <w:rPr>
          <w:rFonts w:eastAsiaTheme="minorEastAsia"/>
          <w:sz w:val="22"/>
          <w:szCs w:val="22"/>
        </w:rPr>
        <w:t xml:space="preserve">the </w:t>
      </w:r>
      <w:r w:rsidR="0080683D" w:rsidRPr="500AFCFA">
        <w:rPr>
          <w:rFonts w:eastAsiaTheme="minorEastAsia"/>
          <w:sz w:val="22"/>
          <w:szCs w:val="22"/>
        </w:rPr>
        <w:t>risk of</w:t>
      </w:r>
      <w:r w:rsidR="009B32B3" w:rsidRPr="500AFCFA">
        <w:rPr>
          <w:rFonts w:eastAsiaTheme="minorEastAsia"/>
          <w:sz w:val="22"/>
          <w:szCs w:val="22"/>
        </w:rPr>
        <w:t xml:space="preserve"> discrimination </w:t>
      </w:r>
      <w:r w:rsidR="00850DBA" w:rsidRPr="500AFCFA">
        <w:rPr>
          <w:rFonts w:eastAsiaTheme="minorEastAsia"/>
          <w:sz w:val="22"/>
          <w:szCs w:val="22"/>
        </w:rPr>
        <w:t xml:space="preserve">based on factors unrelated to </w:t>
      </w:r>
      <w:r w:rsidR="0080683D" w:rsidRPr="500AFCFA">
        <w:rPr>
          <w:rFonts w:eastAsiaTheme="minorEastAsia"/>
          <w:sz w:val="22"/>
          <w:szCs w:val="22"/>
        </w:rPr>
        <w:t xml:space="preserve">a patient’s clinical needs </w:t>
      </w:r>
      <w:r w:rsidR="009B32B3" w:rsidRPr="500AFCFA">
        <w:rPr>
          <w:rFonts w:eastAsiaTheme="minorEastAsia"/>
          <w:sz w:val="22"/>
          <w:szCs w:val="22"/>
        </w:rPr>
        <w:t xml:space="preserve">and </w:t>
      </w:r>
      <w:r w:rsidR="0080683D" w:rsidRPr="500AFCFA">
        <w:rPr>
          <w:rFonts w:eastAsiaTheme="minorEastAsia"/>
          <w:sz w:val="22"/>
          <w:szCs w:val="22"/>
        </w:rPr>
        <w:t>mitigate</w:t>
      </w:r>
      <w:r w:rsidR="009B32B3" w:rsidRPr="500AFCFA">
        <w:rPr>
          <w:rFonts w:eastAsiaTheme="minorEastAsia"/>
          <w:sz w:val="22"/>
          <w:szCs w:val="22"/>
        </w:rPr>
        <w:t xml:space="preserve"> discriminatory application of such frameworks</w:t>
      </w:r>
      <w:r w:rsidR="0080683D" w:rsidRPr="500AFCFA">
        <w:rPr>
          <w:rFonts w:eastAsiaTheme="minorEastAsia"/>
          <w:sz w:val="22"/>
          <w:szCs w:val="22"/>
        </w:rPr>
        <w:t xml:space="preserve"> in practice</w:t>
      </w:r>
      <w:r w:rsidR="00366D40" w:rsidRPr="500AFCFA">
        <w:rPr>
          <w:rFonts w:eastAsiaTheme="minorEastAsia"/>
          <w:sz w:val="22"/>
          <w:szCs w:val="22"/>
        </w:rPr>
        <w:t>.</w:t>
      </w:r>
      <w:r w:rsidR="00E5309D">
        <w:rPr>
          <w:rStyle w:val="EndnoteReference"/>
          <w:rFonts w:eastAsiaTheme="minorEastAsia"/>
          <w:sz w:val="22"/>
          <w:szCs w:val="22"/>
        </w:rPr>
        <w:endnoteReference w:id="11"/>
      </w:r>
      <w:r w:rsidR="00E5309D" w:rsidRPr="00E5309D">
        <w:rPr>
          <w:rFonts w:eastAsiaTheme="minorEastAsia"/>
          <w:sz w:val="22"/>
          <w:szCs w:val="22"/>
          <w:vertAlign w:val="superscript"/>
        </w:rPr>
        <w:t>,</w:t>
      </w:r>
      <w:r w:rsidR="00E5309D">
        <w:rPr>
          <w:rStyle w:val="EndnoteReference"/>
          <w:rFonts w:eastAsiaTheme="minorEastAsia"/>
          <w:sz w:val="22"/>
          <w:szCs w:val="22"/>
        </w:rPr>
        <w:endnoteReference w:id="12"/>
      </w:r>
      <w:r w:rsidR="00E5309D" w:rsidRPr="00E5309D">
        <w:rPr>
          <w:rFonts w:eastAsiaTheme="minorEastAsia"/>
          <w:sz w:val="22"/>
          <w:szCs w:val="22"/>
          <w:vertAlign w:val="superscript"/>
        </w:rPr>
        <w:t>,</w:t>
      </w:r>
      <w:r w:rsidR="00E5309D">
        <w:rPr>
          <w:rStyle w:val="EndnoteReference"/>
          <w:rFonts w:eastAsiaTheme="minorEastAsia"/>
          <w:sz w:val="22"/>
          <w:szCs w:val="22"/>
        </w:rPr>
        <w:endnoteReference w:id="13"/>
      </w:r>
      <w:r w:rsidR="0080683D" w:rsidRPr="500AFCFA">
        <w:rPr>
          <w:rFonts w:eastAsiaTheme="minorEastAsia"/>
          <w:sz w:val="22"/>
          <w:szCs w:val="22"/>
        </w:rPr>
        <w:t xml:space="preserve"> </w:t>
      </w:r>
      <w:r w:rsidR="1AC8051A" w:rsidRPr="500AFCFA">
        <w:rPr>
          <w:rFonts w:eastAsiaTheme="minorEastAsia"/>
          <w:sz w:val="22"/>
          <w:szCs w:val="22"/>
        </w:rPr>
        <w:t>Ethical principles are informed and supplemented by human rights standards</w:t>
      </w:r>
      <w:r w:rsidR="00B2026C" w:rsidRPr="500AFCFA">
        <w:rPr>
          <w:rFonts w:eastAsiaTheme="minorEastAsia"/>
          <w:sz w:val="22"/>
          <w:szCs w:val="22"/>
        </w:rPr>
        <w:t>,</w:t>
      </w:r>
      <w:r w:rsidR="00816730">
        <w:rPr>
          <w:rStyle w:val="EndnoteReference"/>
          <w:rFonts w:eastAsiaTheme="minorEastAsia"/>
          <w:sz w:val="22"/>
          <w:szCs w:val="22"/>
        </w:rPr>
        <w:endnoteReference w:id="14"/>
      </w:r>
      <w:r w:rsidR="00816730" w:rsidRPr="00816730">
        <w:rPr>
          <w:rFonts w:eastAsiaTheme="minorEastAsia"/>
          <w:sz w:val="22"/>
          <w:szCs w:val="22"/>
          <w:vertAlign w:val="superscript"/>
        </w:rPr>
        <w:t>,</w:t>
      </w:r>
      <w:r w:rsidR="00816730">
        <w:rPr>
          <w:rStyle w:val="EndnoteReference"/>
          <w:rFonts w:eastAsiaTheme="minorEastAsia"/>
          <w:sz w:val="22"/>
          <w:szCs w:val="22"/>
        </w:rPr>
        <w:endnoteReference w:id="15"/>
      </w:r>
      <w:r w:rsidR="00816730" w:rsidRPr="00816730">
        <w:rPr>
          <w:rFonts w:eastAsiaTheme="minorEastAsia"/>
          <w:sz w:val="22"/>
          <w:szCs w:val="22"/>
          <w:vertAlign w:val="superscript"/>
        </w:rPr>
        <w:t>,</w:t>
      </w:r>
      <w:r w:rsidR="00816730">
        <w:rPr>
          <w:rStyle w:val="EndnoteReference"/>
          <w:rFonts w:eastAsiaTheme="minorEastAsia"/>
          <w:sz w:val="22"/>
          <w:szCs w:val="22"/>
        </w:rPr>
        <w:endnoteReference w:id="16"/>
      </w:r>
      <w:r w:rsidR="1AC8051A" w:rsidRPr="500AFCFA">
        <w:rPr>
          <w:rStyle w:val="FootnoteReference"/>
          <w:rFonts w:eastAsiaTheme="minorEastAsia"/>
          <w:sz w:val="22"/>
          <w:szCs w:val="22"/>
        </w:rPr>
        <w:t xml:space="preserve"> </w:t>
      </w:r>
      <w:r w:rsidR="1AC8051A" w:rsidRPr="500AFCFA">
        <w:rPr>
          <w:rFonts w:eastAsiaTheme="minorEastAsia"/>
          <w:sz w:val="22"/>
          <w:szCs w:val="22"/>
        </w:rPr>
        <w:t>which are protected in provincial, federal, and international laws</w:t>
      </w:r>
      <w:r w:rsidR="000C5F9F">
        <w:rPr>
          <w:rFonts w:eastAsiaTheme="minorEastAsia"/>
          <w:sz w:val="22"/>
          <w:szCs w:val="22"/>
        </w:rPr>
        <w:t xml:space="preserve"> (</w:t>
      </w:r>
      <w:r w:rsidR="00280A9E">
        <w:rPr>
          <w:rFonts w:eastAsiaTheme="minorEastAsia"/>
          <w:sz w:val="22"/>
          <w:szCs w:val="22"/>
        </w:rPr>
        <w:t>of particular relevance in</w:t>
      </w:r>
      <w:r w:rsidR="1AC8051A" w:rsidRPr="500AFCFA">
        <w:rPr>
          <w:rFonts w:eastAsiaTheme="minorEastAsia"/>
          <w:sz w:val="22"/>
          <w:szCs w:val="22"/>
        </w:rPr>
        <w:t xml:space="preserve"> this context</w:t>
      </w:r>
      <w:r w:rsidR="00280A9E">
        <w:rPr>
          <w:rFonts w:eastAsiaTheme="minorEastAsia"/>
          <w:sz w:val="22"/>
          <w:szCs w:val="22"/>
        </w:rPr>
        <w:t xml:space="preserve"> are </w:t>
      </w:r>
      <w:r w:rsidR="1AC8051A" w:rsidRPr="500AFCFA">
        <w:rPr>
          <w:rFonts w:eastAsiaTheme="minorEastAsia"/>
          <w:sz w:val="22"/>
          <w:szCs w:val="22"/>
        </w:rPr>
        <w:t>the fundamental human rights to non-discrimination, life</w:t>
      </w:r>
      <w:r w:rsidR="00B2026C" w:rsidRPr="500AFCFA">
        <w:rPr>
          <w:rFonts w:eastAsiaTheme="minorEastAsia"/>
          <w:sz w:val="22"/>
          <w:szCs w:val="22"/>
        </w:rPr>
        <w:t>,</w:t>
      </w:r>
      <w:r w:rsidR="1AC8051A" w:rsidRPr="500AFCFA">
        <w:rPr>
          <w:rFonts w:eastAsiaTheme="minorEastAsia"/>
          <w:sz w:val="22"/>
          <w:szCs w:val="22"/>
        </w:rPr>
        <w:t xml:space="preserve"> and health</w:t>
      </w:r>
      <w:r w:rsidR="000C5F9F">
        <w:rPr>
          <w:rFonts w:eastAsiaTheme="minorEastAsia"/>
          <w:sz w:val="22"/>
          <w:szCs w:val="22"/>
        </w:rPr>
        <w:t>)</w:t>
      </w:r>
      <w:r w:rsidR="1AC8051A" w:rsidRPr="500AFCFA">
        <w:rPr>
          <w:rFonts w:eastAsiaTheme="minorEastAsia"/>
          <w:sz w:val="22"/>
          <w:szCs w:val="22"/>
        </w:rPr>
        <w:t>.</w:t>
      </w:r>
      <w:r w:rsidRPr="500AFCFA">
        <w:rPr>
          <w:rStyle w:val="FootnoteReference"/>
          <w:rFonts w:eastAsiaTheme="minorEastAsia"/>
          <w:sz w:val="22"/>
          <w:szCs w:val="22"/>
        </w:rPr>
        <w:footnoteReference w:id="5"/>
      </w:r>
      <w:r w:rsidR="1AC8051A" w:rsidRPr="500AFCFA">
        <w:rPr>
          <w:rFonts w:eastAsiaTheme="minorEastAsia"/>
          <w:sz w:val="22"/>
          <w:szCs w:val="22"/>
        </w:rPr>
        <w:t xml:space="preserve"> </w:t>
      </w:r>
      <w:r w:rsidR="0080683D" w:rsidRPr="500AFCFA">
        <w:rPr>
          <w:rFonts w:eastAsiaTheme="minorEastAsia"/>
          <w:sz w:val="22"/>
          <w:szCs w:val="22"/>
        </w:rPr>
        <w:t>This body of work informs the ethical underpinning</w:t>
      </w:r>
      <w:r w:rsidR="00B778F2" w:rsidRPr="500AFCFA">
        <w:rPr>
          <w:rFonts w:eastAsiaTheme="minorEastAsia"/>
          <w:sz w:val="22"/>
          <w:szCs w:val="22"/>
        </w:rPr>
        <w:t>s</w:t>
      </w:r>
      <w:r w:rsidR="0080683D" w:rsidRPr="500AFCFA">
        <w:rPr>
          <w:rFonts w:eastAsiaTheme="minorEastAsia"/>
          <w:sz w:val="22"/>
          <w:szCs w:val="22"/>
        </w:rPr>
        <w:t xml:space="preserve"> of the proposed triage approach</w:t>
      </w:r>
      <w:r w:rsidR="00DE538D" w:rsidRPr="500AFCFA">
        <w:rPr>
          <w:rFonts w:eastAsiaTheme="minorEastAsia"/>
          <w:sz w:val="22"/>
          <w:szCs w:val="22"/>
        </w:rPr>
        <w:t>, which seeks to</w:t>
      </w:r>
      <w:r w:rsidR="002F5646" w:rsidRPr="500AFCFA">
        <w:rPr>
          <w:rFonts w:eastAsiaTheme="minorEastAsia"/>
          <w:sz w:val="22"/>
          <w:szCs w:val="22"/>
        </w:rPr>
        <w:t xml:space="preserve"> save the most lives </w:t>
      </w:r>
      <w:r w:rsidR="32F859E3" w:rsidRPr="500AFCFA">
        <w:rPr>
          <w:rFonts w:eastAsiaTheme="minorEastAsia"/>
          <w:sz w:val="22"/>
          <w:szCs w:val="22"/>
        </w:rPr>
        <w:t>as ethically as possible</w:t>
      </w:r>
      <w:r w:rsidR="002F5646" w:rsidRPr="500AFCFA">
        <w:rPr>
          <w:rFonts w:eastAsiaTheme="minorEastAsia"/>
          <w:sz w:val="22"/>
          <w:szCs w:val="22"/>
        </w:rPr>
        <w:t>.</w:t>
      </w:r>
      <w:r w:rsidR="31643A84" w:rsidRPr="500AFCFA">
        <w:rPr>
          <w:rFonts w:eastAsiaTheme="minorEastAsia"/>
          <w:sz w:val="22"/>
          <w:szCs w:val="22"/>
        </w:rPr>
        <w:t xml:space="preserve"> </w:t>
      </w:r>
      <w:r w:rsidR="571CAB6D" w:rsidRPr="500AFCFA">
        <w:rPr>
          <w:rFonts w:eastAsiaTheme="minorEastAsia"/>
          <w:sz w:val="22"/>
          <w:szCs w:val="22"/>
        </w:rPr>
        <w:t>The</w:t>
      </w:r>
      <w:r w:rsidR="3B6609B4" w:rsidRPr="500AFCFA">
        <w:rPr>
          <w:rFonts w:eastAsiaTheme="minorEastAsia"/>
          <w:sz w:val="22"/>
          <w:szCs w:val="22"/>
        </w:rPr>
        <w:t xml:space="preserve"> </w:t>
      </w:r>
      <w:r w:rsidR="002B6BCD" w:rsidRPr="500AFCFA">
        <w:rPr>
          <w:rFonts w:eastAsiaTheme="minorEastAsia"/>
          <w:sz w:val="22"/>
          <w:szCs w:val="22"/>
        </w:rPr>
        <w:t>principles</w:t>
      </w:r>
      <w:r w:rsidR="6B899C5B" w:rsidRPr="500AFCFA">
        <w:rPr>
          <w:rFonts w:eastAsiaTheme="minorEastAsia"/>
          <w:sz w:val="22"/>
          <w:szCs w:val="22"/>
        </w:rPr>
        <w:t xml:space="preserve"> enumerated below</w:t>
      </w:r>
      <w:r w:rsidR="002B6BCD" w:rsidRPr="500AFCFA">
        <w:rPr>
          <w:rFonts w:eastAsiaTheme="minorEastAsia"/>
          <w:sz w:val="22"/>
          <w:szCs w:val="22"/>
        </w:rPr>
        <w:t xml:space="preserve"> </w:t>
      </w:r>
      <w:r w:rsidR="00311542" w:rsidRPr="500AFCFA">
        <w:rPr>
          <w:rFonts w:eastAsiaTheme="minorEastAsia"/>
          <w:sz w:val="22"/>
          <w:szCs w:val="22"/>
        </w:rPr>
        <w:t>should</w:t>
      </w:r>
      <w:r w:rsidR="002B6BCD" w:rsidRPr="500AFCFA">
        <w:rPr>
          <w:rFonts w:eastAsiaTheme="minorEastAsia"/>
          <w:sz w:val="22"/>
          <w:szCs w:val="22"/>
        </w:rPr>
        <w:t xml:space="preserve"> be considered </w:t>
      </w:r>
      <w:r w:rsidR="002F5646" w:rsidRPr="500AFCFA">
        <w:rPr>
          <w:rFonts w:eastAsiaTheme="minorEastAsia"/>
          <w:sz w:val="22"/>
          <w:szCs w:val="22"/>
        </w:rPr>
        <w:t xml:space="preserve">as </w:t>
      </w:r>
      <w:r w:rsidR="103BD83F" w:rsidRPr="500AFCFA">
        <w:rPr>
          <w:rFonts w:eastAsiaTheme="minorEastAsia"/>
          <w:sz w:val="22"/>
          <w:szCs w:val="22"/>
        </w:rPr>
        <w:t xml:space="preserve">a </w:t>
      </w:r>
      <w:r w:rsidR="002B6BCD" w:rsidRPr="500AFCFA">
        <w:rPr>
          <w:rFonts w:eastAsiaTheme="minorEastAsia"/>
          <w:sz w:val="22"/>
          <w:szCs w:val="22"/>
        </w:rPr>
        <w:t>starting point</w:t>
      </w:r>
      <w:r w:rsidR="002F5646" w:rsidRPr="500AFCFA">
        <w:rPr>
          <w:rFonts w:eastAsiaTheme="minorEastAsia"/>
          <w:sz w:val="22"/>
          <w:szCs w:val="22"/>
        </w:rPr>
        <w:t xml:space="preserve"> which should</w:t>
      </w:r>
      <w:r w:rsidR="00311542" w:rsidRPr="500AFCFA">
        <w:rPr>
          <w:rFonts w:eastAsiaTheme="minorEastAsia"/>
          <w:sz w:val="22"/>
          <w:szCs w:val="22"/>
        </w:rPr>
        <w:t xml:space="preserve"> form</w:t>
      </w:r>
      <w:r w:rsidR="002B6BCD" w:rsidRPr="500AFCFA">
        <w:rPr>
          <w:rFonts w:eastAsiaTheme="minorEastAsia"/>
          <w:sz w:val="22"/>
          <w:szCs w:val="22"/>
        </w:rPr>
        <w:t xml:space="preserve"> the foundation of any decisions made about </w:t>
      </w:r>
      <w:r w:rsidR="23C48DF4" w:rsidRPr="500AFCFA">
        <w:rPr>
          <w:rFonts w:eastAsiaTheme="minorEastAsia"/>
          <w:sz w:val="22"/>
          <w:szCs w:val="22"/>
        </w:rPr>
        <w:t xml:space="preserve">access to </w:t>
      </w:r>
      <w:r w:rsidR="002B6BCD" w:rsidRPr="500AFCFA">
        <w:rPr>
          <w:rFonts w:eastAsiaTheme="minorEastAsia"/>
          <w:sz w:val="22"/>
          <w:szCs w:val="22"/>
        </w:rPr>
        <w:t xml:space="preserve">critical care in the context of a major surge </w:t>
      </w:r>
      <w:r w:rsidR="1DBF721B" w:rsidRPr="500AFCFA">
        <w:rPr>
          <w:rFonts w:eastAsiaTheme="minorEastAsia"/>
          <w:sz w:val="22"/>
          <w:szCs w:val="22"/>
        </w:rPr>
        <w:t>in demand</w:t>
      </w:r>
      <w:r w:rsidR="002B6BCD" w:rsidRPr="500AFCFA">
        <w:rPr>
          <w:rFonts w:eastAsiaTheme="minorEastAsia"/>
          <w:sz w:val="22"/>
          <w:szCs w:val="22"/>
        </w:rPr>
        <w:t>.</w:t>
      </w:r>
    </w:p>
    <w:p w14:paraId="408813E3" w14:textId="77777777" w:rsidR="00AB4039" w:rsidRDefault="00AB4039" w:rsidP="00280A9E">
      <w:pPr>
        <w:contextualSpacing/>
        <w:rPr>
          <w:rFonts w:eastAsiaTheme="minorEastAsia"/>
          <w:sz w:val="22"/>
          <w:szCs w:val="22"/>
        </w:rPr>
      </w:pPr>
    </w:p>
    <w:p w14:paraId="66AD9DFD" w14:textId="2AE945BD" w:rsidR="00040A1F" w:rsidRDefault="00AB4039" w:rsidP="00280A9E">
      <w:pPr>
        <w:contextualSpacing/>
        <w:rPr>
          <w:rFonts w:eastAsiaTheme="minorEastAsia"/>
          <w:sz w:val="22"/>
          <w:szCs w:val="22"/>
        </w:rPr>
      </w:pPr>
      <w:r w:rsidRPr="109A04B4">
        <w:rPr>
          <w:rFonts w:eastAsiaTheme="minorEastAsia"/>
          <w:sz w:val="22"/>
          <w:szCs w:val="22"/>
        </w:rPr>
        <w:t xml:space="preserve">In the context of </w:t>
      </w:r>
      <w:r w:rsidR="005D7AEB" w:rsidRPr="109A04B4">
        <w:rPr>
          <w:rFonts w:eastAsiaTheme="minorEastAsia"/>
          <w:sz w:val="22"/>
          <w:szCs w:val="22"/>
        </w:rPr>
        <w:t xml:space="preserve">a </w:t>
      </w:r>
      <w:r w:rsidRPr="109A04B4">
        <w:rPr>
          <w:rFonts w:eastAsiaTheme="minorEastAsia"/>
          <w:sz w:val="22"/>
          <w:szCs w:val="22"/>
        </w:rPr>
        <w:t>major surge</w:t>
      </w:r>
      <w:r w:rsidR="005D7AEB" w:rsidRPr="109A04B4">
        <w:rPr>
          <w:rFonts w:eastAsiaTheme="minorEastAsia"/>
          <w:sz w:val="22"/>
          <w:szCs w:val="22"/>
        </w:rPr>
        <w:t xml:space="preserve"> in demand for critical care in a pandemic</w:t>
      </w:r>
      <w:r w:rsidR="004A2F6C" w:rsidRPr="109A04B4">
        <w:rPr>
          <w:rFonts w:eastAsiaTheme="minorEastAsia"/>
          <w:sz w:val="22"/>
          <w:szCs w:val="22"/>
        </w:rPr>
        <w:t xml:space="preserve">, </w:t>
      </w:r>
      <w:r w:rsidR="002F5646" w:rsidRPr="109A04B4">
        <w:rPr>
          <w:rFonts w:eastAsiaTheme="minorEastAsia"/>
          <w:sz w:val="22"/>
          <w:szCs w:val="22"/>
        </w:rPr>
        <w:t xml:space="preserve">the overarching objective of triage </w:t>
      </w:r>
      <w:r w:rsidR="00280A9E">
        <w:rPr>
          <w:rFonts w:eastAsiaTheme="minorEastAsia"/>
          <w:sz w:val="22"/>
          <w:szCs w:val="22"/>
        </w:rPr>
        <w:t xml:space="preserve">should be </w:t>
      </w:r>
      <w:r w:rsidR="002B1FA1">
        <w:rPr>
          <w:rFonts w:eastAsiaTheme="minorEastAsia"/>
          <w:sz w:val="22"/>
          <w:szCs w:val="22"/>
        </w:rPr>
        <w:t xml:space="preserve">to </w:t>
      </w:r>
      <w:r w:rsidR="002B1FA1" w:rsidRPr="00C90468">
        <w:rPr>
          <w:rFonts w:eastAsiaTheme="minorEastAsia"/>
          <w:b/>
          <w:bCs/>
          <w:sz w:val="22"/>
          <w:szCs w:val="22"/>
        </w:rPr>
        <w:t>save the most lives as ethically as possible</w:t>
      </w:r>
      <w:r w:rsidR="002B1FA1">
        <w:rPr>
          <w:rFonts w:eastAsiaTheme="minorEastAsia"/>
          <w:sz w:val="22"/>
          <w:szCs w:val="22"/>
        </w:rPr>
        <w:t xml:space="preserve">. </w:t>
      </w:r>
      <w:r w:rsidR="00C90468">
        <w:rPr>
          <w:rFonts w:eastAsiaTheme="minorEastAsia"/>
          <w:sz w:val="22"/>
          <w:szCs w:val="22"/>
        </w:rPr>
        <w:t xml:space="preserve">This requires adhering </w:t>
      </w:r>
      <w:r w:rsidR="00C90468" w:rsidRPr="00C90468">
        <w:rPr>
          <w:rFonts w:eastAsiaTheme="minorEastAsia"/>
          <w:sz w:val="22"/>
          <w:szCs w:val="22"/>
        </w:rPr>
        <w:t xml:space="preserve">to </w:t>
      </w:r>
      <w:r w:rsidR="00C90468">
        <w:rPr>
          <w:rFonts w:eastAsiaTheme="minorEastAsia"/>
          <w:sz w:val="22"/>
          <w:szCs w:val="22"/>
        </w:rPr>
        <w:t xml:space="preserve">the following </w:t>
      </w:r>
      <w:r w:rsidR="00C90468" w:rsidRPr="00C90468">
        <w:rPr>
          <w:rFonts w:eastAsiaTheme="minorEastAsia"/>
          <w:sz w:val="22"/>
          <w:szCs w:val="22"/>
        </w:rPr>
        <w:t xml:space="preserve">ethical principles and </w:t>
      </w:r>
      <w:r w:rsidR="00C90468">
        <w:rPr>
          <w:rFonts w:eastAsiaTheme="minorEastAsia"/>
          <w:sz w:val="22"/>
          <w:szCs w:val="22"/>
        </w:rPr>
        <w:t>human ri</w:t>
      </w:r>
      <w:r w:rsidR="00C90468" w:rsidRPr="00C90468">
        <w:rPr>
          <w:rFonts w:eastAsiaTheme="minorEastAsia"/>
          <w:sz w:val="22"/>
          <w:szCs w:val="22"/>
        </w:rPr>
        <w:t xml:space="preserve">ghts </w:t>
      </w:r>
      <w:r w:rsidR="00280A9E">
        <w:rPr>
          <w:rFonts w:eastAsiaTheme="minorEastAsia"/>
          <w:sz w:val="22"/>
          <w:szCs w:val="22"/>
        </w:rPr>
        <w:t xml:space="preserve">standards </w:t>
      </w:r>
      <w:r w:rsidR="00C90468" w:rsidRPr="00C90468">
        <w:rPr>
          <w:rFonts w:eastAsiaTheme="minorEastAsia"/>
          <w:sz w:val="22"/>
          <w:szCs w:val="22"/>
        </w:rPr>
        <w:t>to the highest degree possible</w:t>
      </w:r>
      <w:r w:rsidR="00D328F5">
        <w:rPr>
          <w:rFonts w:eastAsiaTheme="minorEastAsia"/>
          <w:sz w:val="22"/>
          <w:szCs w:val="22"/>
        </w:rPr>
        <w:t>.</w:t>
      </w:r>
    </w:p>
    <w:p w14:paraId="4F2ED923" w14:textId="1D023B05" w:rsidR="006477CF" w:rsidRPr="00040A1F" w:rsidRDefault="00C90468" w:rsidP="00280A9E">
      <w:pPr>
        <w:pStyle w:val="ListParagraph"/>
        <w:numPr>
          <w:ilvl w:val="0"/>
          <w:numId w:val="25"/>
        </w:numPr>
        <w:rPr>
          <w:rFonts w:eastAsiaTheme="minorEastAsia"/>
          <w:sz w:val="22"/>
          <w:szCs w:val="22"/>
        </w:rPr>
      </w:pPr>
      <w:r>
        <w:rPr>
          <w:rFonts w:eastAsiaTheme="minorEastAsia"/>
          <w:i/>
          <w:iCs/>
          <w:sz w:val="22"/>
          <w:szCs w:val="22"/>
        </w:rPr>
        <w:t>Prioritize those with the greatest likelihood of survival</w:t>
      </w:r>
      <w:r w:rsidR="7C57EC0F" w:rsidRPr="109A04B4">
        <w:rPr>
          <w:rFonts w:eastAsiaTheme="minorEastAsia"/>
          <w:sz w:val="22"/>
          <w:szCs w:val="22"/>
        </w:rPr>
        <w:t xml:space="preserve"> – A</w:t>
      </w:r>
      <w:r w:rsidR="47135EC3" w:rsidRPr="109A04B4">
        <w:rPr>
          <w:rFonts w:eastAsiaTheme="minorEastAsia"/>
          <w:sz w:val="22"/>
          <w:szCs w:val="22"/>
        </w:rPr>
        <w:t xml:space="preserve">im to </w:t>
      </w:r>
      <w:r>
        <w:rPr>
          <w:rFonts w:eastAsiaTheme="minorEastAsia"/>
          <w:sz w:val="22"/>
          <w:szCs w:val="22"/>
        </w:rPr>
        <w:t>prioritize</w:t>
      </w:r>
      <w:r w:rsidR="1EC239B7" w:rsidRPr="109A04B4">
        <w:rPr>
          <w:rFonts w:eastAsiaTheme="minorEastAsia"/>
          <w:sz w:val="22"/>
          <w:szCs w:val="22"/>
        </w:rPr>
        <w:t xml:space="preserve"> those patients who are most likely to survive</w:t>
      </w:r>
      <w:r w:rsidR="6B5606DF" w:rsidRPr="109A04B4">
        <w:rPr>
          <w:rFonts w:eastAsiaTheme="minorEastAsia"/>
          <w:sz w:val="22"/>
          <w:szCs w:val="22"/>
        </w:rPr>
        <w:t xml:space="preserve"> their critical illness. </w:t>
      </w:r>
      <w:r w:rsidR="5A7791E5" w:rsidRPr="109A04B4">
        <w:rPr>
          <w:rFonts w:eastAsiaTheme="minorEastAsia"/>
          <w:sz w:val="22"/>
          <w:szCs w:val="22"/>
        </w:rPr>
        <w:t xml:space="preserve">For the purposes of </w:t>
      </w:r>
      <w:r w:rsidR="3A5AFC38" w:rsidRPr="109A04B4">
        <w:rPr>
          <w:rFonts w:eastAsiaTheme="minorEastAsia"/>
          <w:sz w:val="22"/>
          <w:szCs w:val="22"/>
        </w:rPr>
        <w:t xml:space="preserve">this </w:t>
      </w:r>
      <w:r w:rsidR="3A5AFC38" w:rsidRPr="109A04B4">
        <w:rPr>
          <w:rFonts w:eastAsiaTheme="minorEastAsia"/>
          <w:i/>
          <w:iCs/>
          <w:sz w:val="22"/>
          <w:szCs w:val="22"/>
        </w:rPr>
        <w:t>Proposed Framework</w:t>
      </w:r>
      <w:r w:rsidR="5A7791E5" w:rsidRPr="109A04B4">
        <w:rPr>
          <w:rFonts w:eastAsiaTheme="minorEastAsia"/>
          <w:sz w:val="22"/>
          <w:szCs w:val="22"/>
        </w:rPr>
        <w:t>, ‘surviving critical illness’ is interpreted as survival</w:t>
      </w:r>
      <w:r w:rsidR="1EC239B7" w:rsidRPr="109A04B4">
        <w:rPr>
          <w:rFonts w:eastAsiaTheme="minorEastAsia"/>
          <w:sz w:val="22"/>
          <w:szCs w:val="22"/>
        </w:rPr>
        <w:t xml:space="preserve"> </w:t>
      </w:r>
      <w:r w:rsidR="4C24666C" w:rsidRPr="109A04B4">
        <w:rPr>
          <w:rFonts w:eastAsiaTheme="minorEastAsia"/>
          <w:sz w:val="22"/>
          <w:szCs w:val="22"/>
        </w:rPr>
        <w:t>twelve months from the onset of critical illness</w:t>
      </w:r>
      <w:r w:rsidR="473AB524" w:rsidRPr="109A04B4">
        <w:rPr>
          <w:rFonts w:eastAsiaTheme="minorEastAsia"/>
          <w:sz w:val="22"/>
          <w:szCs w:val="22"/>
        </w:rPr>
        <w:t xml:space="preserve"> (see further elaboration and justification in Section </w:t>
      </w:r>
      <w:r w:rsidR="00B2026C">
        <w:rPr>
          <w:rFonts w:eastAsiaTheme="minorEastAsia"/>
          <w:sz w:val="22"/>
          <w:szCs w:val="22"/>
        </w:rPr>
        <w:t>C</w:t>
      </w:r>
      <w:r w:rsidR="473AB524" w:rsidRPr="109A04B4">
        <w:rPr>
          <w:rFonts w:eastAsiaTheme="minorEastAsia"/>
          <w:sz w:val="22"/>
          <w:szCs w:val="22"/>
        </w:rPr>
        <w:t>)</w:t>
      </w:r>
      <w:r w:rsidR="5402C703" w:rsidRPr="109A04B4">
        <w:rPr>
          <w:rFonts w:eastAsiaTheme="minorEastAsia"/>
          <w:sz w:val="22"/>
          <w:szCs w:val="22"/>
        </w:rPr>
        <w:t>.</w:t>
      </w:r>
      <w:r w:rsidR="1EC239B7" w:rsidRPr="109A04B4">
        <w:rPr>
          <w:rFonts w:eastAsiaTheme="minorEastAsia"/>
          <w:sz w:val="22"/>
          <w:szCs w:val="22"/>
        </w:rPr>
        <w:t xml:space="preserve"> Patients who have a high likelihood of dying during or within </w:t>
      </w:r>
      <w:r w:rsidR="15C1EFFF" w:rsidRPr="109A04B4">
        <w:rPr>
          <w:rFonts w:eastAsiaTheme="minorEastAsia"/>
          <w:sz w:val="22"/>
          <w:szCs w:val="22"/>
        </w:rPr>
        <w:t>twelve months</w:t>
      </w:r>
      <w:r w:rsidR="47029CD3" w:rsidRPr="109A04B4">
        <w:rPr>
          <w:rFonts w:eastAsiaTheme="minorEastAsia"/>
          <w:sz w:val="22"/>
          <w:szCs w:val="22"/>
        </w:rPr>
        <w:t xml:space="preserve"> </w:t>
      </w:r>
      <w:r w:rsidR="60938580" w:rsidRPr="109A04B4">
        <w:rPr>
          <w:rFonts w:eastAsiaTheme="minorEastAsia"/>
          <w:sz w:val="22"/>
          <w:szCs w:val="22"/>
        </w:rPr>
        <w:t>from the onset of</w:t>
      </w:r>
      <w:r w:rsidR="1EC239B7" w:rsidRPr="109A04B4">
        <w:rPr>
          <w:rFonts w:eastAsiaTheme="minorEastAsia"/>
          <w:sz w:val="22"/>
          <w:szCs w:val="22"/>
        </w:rPr>
        <w:t xml:space="preserve"> their episode of critical illness</w:t>
      </w:r>
      <w:r w:rsidR="00B2026C">
        <w:rPr>
          <w:rFonts w:eastAsiaTheme="minorEastAsia"/>
          <w:sz w:val="22"/>
          <w:szCs w:val="22"/>
        </w:rPr>
        <w:t xml:space="preserve"> (</w:t>
      </w:r>
      <w:r w:rsidR="1E50E633" w:rsidRPr="109A04B4">
        <w:rPr>
          <w:rFonts w:eastAsiaTheme="minorEastAsia"/>
          <w:sz w:val="22"/>
          <w:szCs w:val="22"/>
        </w:rPr>
        <w:t>based on an evaluation of their clinical presentation at the point of triage</w:t>
      </w:r>
      <w:r w:rsidR="00B2026C">
        <w:rPr>
          <w:rFonts w:eastAsiaTheme="minorEastAsia"/>
          <w:sz w:val="22"/>
          <w:szCs w:val="22"/>
        </w:rPr>
        <w:t>)</w:t>
      </w:r>
      <w:r w:rsidR="1EC239B7" w:rsidRPr="109A04B4">
        <w:rPr>
          <w:rFonts w:eastAsiaTheme="minorEastAsia"/>
          <w:sz w:val="22"/>
          <w:szCs w:val="22"/>
        </w:rPr>
        <w:t xml:space="preserve"> would have a lower priority for critical care resources.</w:t>
      </w:r>
    </w:p>
    <w:p w14:paraId="58DFEC61" w14:textId="26594CBE" w:rsidR="00040A1F" w:rsidRPr="00163BC5" w:rsidRDefault="00163BC5" w:rsidP="00280A9E">
      <w:pPr>
        <w:pStyle w:val="ListParagraph"/>
        <w:numPr>
          <w:ilvl w:val="0"/>
          <w:numId w:val="25"/>
        </w:numPr>
        <w:rPr>
          <w:rFonts w:eastAsiaTheme="minorEastAsia"/>
          <w:sz w:val="22"/>
          <w:szCs w:val="22"/>
        </w:rPr>
      </w:pPr>
      <w:r w:rsidRPr="00163BC5">
        <w:rPr>
          <w:rFonts w:eastAsiaTheme="minorEastAsia"/>
          <w:i/>
          <w:iCs/>
          <w:sz w:val="22"/>
          <w:szCs w:val="22"/>
        </w:rPr>
        <w:t xml:space="preserve">Non-discrimination – </w:t>
      </w:r>
      <w:r w:rsidRPr="00163BC5">
        <w:rPr>
          <w:rFonts w:eastAsiaTheme="minorEastAsia"/>
          <w:sz w:val="22"/>
          <w:szCs w:val="22"/>
        </w:rPr>
        <w:t xml:space="preserve">Aim to ensure that restrictions which may affect people protected under prohibited grounds </w:t>
      </w:r>
      <w:r w:rsidR="002B1FA1">
        <w:rPr>
          <w:rFonts w:eastAsiaTheme="minorEastAsia"/>
          <w:sz w:val="22"/>
          <w:szCs w:val="22"/>
        </w:rPr>
        <w:t xml:space="preserve">in the Ontario Human Rights Code (see Appendix B) </w:t>
      </w:r>
      <w:r w:rsidRPr="00163BC5">
        <w:rPr>
          <w:rFonts w:eastAsiaTheme="minorEastAsia"/>
          <w:sz w:val="22"/>
          <w:szCs w:val="22"/>
        </w:rPr>
        <w:t>are strictly limited to those that are reasonably necessary</w:t>
      </w:r>
      <w:r w:rsidR="00577096">
        <w:rPr>
          <w:rFonts w:eastAsiaTheme="minorEastAsia"/>
          <w:sz w:val="22"/>
          <w:szCs w:val="22"/>
        </w:rPr>
        <w:t xml:space="preserve">, </w:t>
      </w:r>
      <w:r w:rsidR="00577096" w:rsidRPr="00577096">
        <w:rPr>
          <w:rFonts w:eastAsiaTheme="minorEastAsia"/>
          <w:sz w:val="22"/>
          <w:szCs w:val="22"/>
        </w:rPr>
        <w:t>minimally impairing</w:t>
      </w:r>
      <w:r w:rsidR="00577096">
        <w:rPr>
          <w:rFonts w:eastAsiaTheme="minorEastAsia"/>
          <w:sz w:val="22"/>
          <w:szCs w:val="22"/>
        </w:rPr>
        <w:t>,</w:t>
      </w:r>
      <w:r w:rsidRPr="00163BC5">
        <w:rPr>
          <w:rFonts w:eastAsiaTheme="minorEastAsia"/>
          <w:sz w:val="22"/>
          <w:szCs w:val="22"/>
        </w:rPr>
        <w:t xml:space="preserve"> and proportional to the degree of surge.</w:t>
      </w:r>
      <w:bookmarkStart w:id="2" w:name="_Ref50713056"/>
      <w:r w:rsidR="00816730">
        <w:rPr>
          <w:rStyle w:val="EndnoteReference"/>
          <w:rFonts w:eastAsiaTheme="minorEastAsia"/>
          <w:sz w:val="22"/>
          <w:szCs w:val="22"/>
        </w:rPr>
        <w:endnoteReference w:id="17"/>
      </w:r>
      <w:bookmarkEnd w:id="2"/>
      <w:r w:rsidR="00816730" w:rsidRPr="00816730">
        <w:rPr>
          <w:rFonts w:eastAsiaTheme="minorEastAsia"/>
          <w:sz w:val="22"/>
          <w:szCs w:val="22"/>
          <w:vertAlign w:val="superscript"/>
        </w:rPr>
        <w:t>,</w:t>
      </w:r>
      <w:r w:rsidR="00816730">
        <w:rPr>
          <w:rStyle w:val="EndnoteReference"/>
          <w:rFonts w:eastAsiaTheme="minorEastAsia"/>
          <w:sz w:val="22"/>
          <w:szCs w:val="22"/>
        </w:rPr>
        <w:endnoteReference w:id="18"/>
      </w:r>
      <w:r w:rsidRPr="00163BC5">
        <w:rPr>
          <w:rFonts w:eastAsiaTheme="minorEastAsia"/>
          <w:sz w:val="22"/>
          <w:szCs w:val="22"/>
        </w:rPr>
        <w:t xml:space="preserve"> </w:t>
      </w:r>
      <w:r w:rsidRPr="00163BC5">
        <w:rPr>
          <w:rFonts w:ascii="Calibri" w:eastAsia="Calibri" w:hAnsi="Calibri" w:cs="Calibri"/>
          <w:sz w:val="22"/>
          <w:szCs w:val="22"/>
        </w:rPr>
        <w:t>Non-discrimination is an overarching human right and social value, considered</w:t>
      </w:r>
      <w:r w:rsidRPr="00893E63">
        <w:rPr>
          <w:rFonts w:ascii="Calibri" w:eastAsia="Calibri" w:hAnsi="Calibri" w:cs="Calibri"/>
          <w:sz w:val="22"/>
          <w:szCs w:val="22"/>
        </w:rPr>
        <w:t xml:space="preserve"> fundamental to the exercise and enjoyment of all human rights</w:t>
      </w:r>
      <w:r>
        <w:rPr>
          <w:rFonts w:ascii="Calibri" w:eastAsia="Calibri" w:hAnsi="Calibri" w:cs="Calibri"/>
          <w:sz w:val="22"/>
          <w:szCs w:val="22"/>
        </w:rPr>
        <w:t>.</w:t>
      </w:r>
      <w:r w:rsidR="00816730">
        <w:rPr>
          <w:rStyle w:val="EndnoteReference"/>
          <w:rFonts w:ascii="Calibri" w:eastAsia="Calibri" w:hAnsi="Calibri" w:cs="Calibri"/>
          <w:sz w:val="22"/>
          <w:szCs w:val="22"/>
        </w:rPr>
        <w:endnoteReference w:id="19"/>
      </w:r>
      <w:r w:rsidR="0A1A7D23" w:rsidRPr="00163BC5">
        <w:rPr>
          <w:rStyle w:val="FootnoteReference"/>
          <w:rFonts w:ascii="Calibri" w:eastAsia="Calibri" w:hAnsi="Calibri" w:cs="Calibri"/>
          <w:sz w:val="22"/>
          <w:szCs w:val="22"/>
        </w:rPr>
        <w:t xml:space="preserve"> </w:t>
      </w:r>
      <w:r w:rsidR="0F4D8290" w:rsidRPr="00163BC5">
        <w:rPr>
          <w:rFonts w:eastAsiaTheme="minorEastAsia"/>
          <w:sz w:val="22"/>
          <w:szCs w:val="22"/>
        </w:rPr>
        <w:t>N</w:t>
      </w:r>
      <w:r w:rsidR="67EE663F" w:rsidRPr="00163BC5">
        <w:rPr>
          <w:rFonts w:ascii="Calibri" w:eastAsia="Calibri" w:hAnsi="Calibri" w:cs="Calibri"/>
          <w:sz w:val="22"/>
          <w:szCs w:val="22"/>
        </w:rPr>
        <w:t xml:space="preserve">on-discrimination emphasizes every person’s right not to be denied services like health care because of their race, </w:t>
      </w:r>
      <w:r w:rsidR="00280A9E">
        <w:rPr>
          <w:rFonts w:ascii="Calibri" w:eastAsia="Calibri" w:hAnsi="Calibri" w:cs="Calibri"/>
          <w:sz w:val="22"/>
          <w:szCs w:val="22"/>
        </w:rPr>
        <w:t>I</w:t>
      </w:r>
      <w:r w:rsidR="67EE663F" w:rsidRPr="00163BC5">
        <w:rPr>
          <w:rFonts w:ascii="Calibri" w:eastAsia="Calibri" w:hAnsi="Calibri" w:cs="Calibri"/>
          <w:sz w:val="22"/>
          <w:szCs w:val="22"/>
        </w:rPr>
        <w:t>ndigeneity, disability, gender identity</w:t>
      </w:r>
      <w:r w:rsidR="7BE21FAC" w:rsidRPr="00163BC5">
        <w:rPr>
          <w:rFonts w:ascii="Calibri" w:eastAsia="Calibri" w:hAnsi="Calibri" w:cs="Calibri"/>
          <w:sz w:val="22"/>
          <w:szCs w:val="22"/>
        </w:rPr>
        <w:t>,</w:t>
      </w:r>
      <w:r w:rsidR="67EE663F" w:rsidRPr="00163BC5">
        <w:rPr>
          <w:rFonts w:ascii="Calibri" w:eastAsia="Calibri" w:hAnsi="Calibri" w:cs="Calibri"/>
          <w:sz w:val="22"/>
          <w:szCs w:val="22"/>
        </w:rPr>
        <w:t xml:space="preserve"> or sexual orientation.</w:t>
      </w:r>
      <w:bookmarkStart w:id="3" w:name="_Ref50713138"/>
      <w:r w:rsidR="5D92ABDC" w:rsidRPr="109A04B4">
        <w:rPr>
          <w:rStyle w:val="FootnoteReference"/>
          <w:sz w:val="22"/>
          <w:szCs w:val="22"/>
        </w:rPr>
        <w:footnoteReference w:id="6"/>
      </w:r>
      <w:bookmarkEnd w:id="3"/>
      <w:r w:rsidR="67EE663F" w:rsidRPr="00163BC5">
        <w:rPr>
          <w:sz w:val="22"/>
          <w:szCs w:val="22"/>
        </w:rPr>
        <w:t xml:space="preserve"> </w:t>
      </w:r>
      <w:r w:rsidR="67EE663F" w:rsidRPr="00163BC5">
        <w:rPr>
          <w:rFonts w:ascii="Calibri" w:eastAsia="Calibri" w:hAnsi="Calibri" w:cs="Calibri"/>
          <w:sz w:val="22"/>
          <w:szCs w:val="22"/>
        </w:rPr>
        <w:t>Eliminating discrimination</w:t>
      </w:r>
      <w:r w:rsidR="67EE663F" w:rsidRPr="00163BC5">
        <w:rPr>
          <w:rFonts w:ascii="Calibri" w:eastAsia="Calibri" w:hAnsi="Calibri" w:cs="Calibri"/>
          <w:b/>
          <w:bCs/>
          <w:sz w:val="22"/>
          <w:szCs w:val="22"/>
        </w:rPr>
        <w:t xml:space="preserve"> </w:t>
      </w:r>
      <w:r w:rsidR="67EE663F" w:rsidRPr="00163BC5">
        <w:rPr>
          <w:rFonts w:ascii="Calibri" w:eastAsia="Calibri" w:hAnsi="Calibri" w:cs="Calibri"/>
          <w:sz w:val="22"/>
          <w:szCs w:val="22"/>
        </w:rPr>
        <w:t>does not mean</w:t>
      </w:r>
      <w:r w:rsidR="67EE663F" w:rsidRPr="00163BC5">
        <w:rPr>
          <w:rFonts w:ascii="Calibri" w:eastAsia="Calibri" w:hAnsi="Calibri" w:cs="Calibri"/>
          <w:b/>
          <w:bCs/>
          <w:sz w:val="22"/>
          <w:szCs w:val="22"/>
        </w:rPr>
        <w:t xml:space="preserve"> </w:t>
      </w:r>
      <w:r w:rsidR="67EE663F" w:rsidRPr="00163BC5">
        <w:rPr>
          <w:rFonts w:ascii="Calibri" w:eastAsia="Calibri" w:hAnsi="Calibri" w:cs="Calibri"/>
          <w:sz w:val="22"/>
          <w:szCs w:val="22"/>
        </w:rPr>
        <w:t>simply comparing</w:t>
      </w:r>
      <w:r w:rsidR="67EE663F" w:rsidRPr="00163BC5">
        <w:rPr>
          <w:rFonts w:ascii="Calibri" w:eastAsia="Calibri" w:hAnsi="Calibri" w:cs="Calibri"/>
          <w:b/>
          <w:bCs/>
          <w:sz w:val="22"/>
          <w:szCs w:val="22"/>
        </w:rPr>
        <w:t xml:space="preserve"> </w:t>
      </w:r>
      <w:r w:rsidR="67EE663F" w:rsidRPr="00163BC5">
        <w:rPr>
          <w:rFonts w:ascii="Calibri" w:eastAsia="Calibri" w:hAnsi="Calibri" w:cs="Calibri"/>
          <w:sz w:val="22"/>
          <w:szCs w:val="22"/>
        </w:rPr>
        <w:t>the</w:t>
      </w:r>
      <w:r w:rsidR="00577096">
        <w:rPr>
          <w:rFonts w:ascii="Calibri" w:eastAsia="Calibri" w:hAnsi="Calibri" w:cs="Calibri"/>
          <w:sz w:val="22"/>
          <w:szCs w:val="22"/>
        </w:rPr>
        <w:t xml:space="preserve"> similar</w:t>
      </w:r>
      <w:r w:rsidR="67EE663F" w:rsidRPr="00163BC5">
        <w:rPr>
          <w:rFonts w:ascii="Calibri" w:eastAsia="Calibri" w:hAnsi="Calibri" w:cs="Calibri"/>
          <w:sz w:val="22"/>
          <w:szCs w:val="22"/>
        </w:rPr>
        <w:t xml:space="preserve"> treatment of people in similar situations, but “requires </w:t>
      </w:r>
      <w:r w:rsidR="67EE663F" w:rsidRPr="00163BC5">
        <w:rPr>
          <w:rFonts w:ascii="Calibri" w:eastAsia="Calibri" w:hAnsi="Calibri" w:cs="Calibri"/>
          <w:sz w:val="22"/>
          <w:szCs w:val="22"/>
        </w:rPr>
        <w:lastRenderedPageBreak/>
        <w:t xml:space="preserve">paying sufficient attention to groups of individuals </w:t>
      </w:r>
      <w:r w:rsidR="72CDBA22" w:rsidRPr="00163BC5">
        <w:rPr>
          <w:rFonts w:ascii="Calibri" w:eastAsia="Calibri" w:hAnsi="Calibri" w:cs="Calibri"/>
          <w:sz w:val="22"/>
          <w:szCs w:val="22"/>
        </w:rPr>
        <w:t xml:space="preserve">who </w:t>
      </w:r>
      <w:r w:rsidR="67EE663F" w:rsidRPr="00163BC5">
        <w:rPr>
          <w:rFonts w:ascii="Calibri" w:eastAsia="Calibri" w:hAnsi="Calibri" w:cs="Calibri"/>
          <w:sz w:val="22"/>
          <w:szCs w:val="22"/>
        </w:rPr>
        <w:t>suffer historical or persistent prejudice.”</w:t>
      </w:r>
      <w:bookmarkStart w:id="4" w:name="_Ref50713092"/>
      <w:r w:rsidR="00816730">
        <w:rPr>
          <w:rStyle w:val="EndnoteReference"/>
          <w:rFonts w:ascii="Calibri" w:eastAsia="Calibri" w:hAnsi="Calibri" w:cs="Calibri"/>
          <w:sz w:val="22"/>
          <w:szCs w:val="22"/>
        </w:rPr>
        <w:endnoteReference w:id="20"/>
      </w:r>
      <w:bookmarkEnd w:id="4"/>
      <w:r w:rsidR="00816730" w:rsidRPr="00163BC5">
        <w:rPr>
          <w:rFonts w:ascii="Calibri" w:eastAsia="Calibri" w:hAnsi="Calibri" w:cs="Calibri"/>
          <w:sz w:val="22"/>
          <w:szCs w:val="22"/>
        </w:rPr>
        <w:t xml:space="preserve"> </w:t>
      </w:r>
      <w:r w:rsidR="67EE663F" w:rsidRPr="00163BC5">
        <w:rPr>
          <w:rFonts w:ascii="Calibri" w:eastAsia="Calibri" w:hAnsi="Calibri" w:cs="Calibri"/>
          <w:sz w:val="22"/>
          <w:szCs w:val="22"/>
        </w:rPr>
        <w:t>This entails paying careful attention to restrictions of critical care resources that disproportionately impact people already experiencing historical or consistent prejudice</w:t>
      </w:r>
      <w:r w:rsidR="00816730">
        <w:rPr>
          <w:rStyle w:val="EndnoteReference"/>
          <w:rFonts w:ascii="Calibri" w:eastAsia="Calibri" w:hAnsi="Calibri" w:cs="Calibri"/>
          <w:sz w:val="22"/>
          <w:szCs w:val="22"/>
        </w:rPr>
        <w:endnoteReference w:id="21"/>
      </w:r>
      <w:r w:rsidR="67EE663F" w:rsidRPr="00163BC5">
        <w:rPr>
          <w:sz w:val="22"/>
          <w:szCs w:val="22"/>
        </w:rPr>
        <w:t xml:space="preserve"> </w:t>
      </w:r>
      <w:r w:rsidR="67EE663F" w:rsidRPr="00163BC5">
        <w:rPr>
          <w:rFonts w:ascii="Calibri" w:eastAsia="Calibri" w:hAnsi="Calibri" w:cs="Calibri"/>
          <w:sz w:val="22"/>
          <w:szCs w:val="22"/>
        </w:rPr>
        <w:t>who are protected under prohibited grounds of discrimination. Historical and systemic biases may make such restrictions both more probable and more harmful, with these harms compounded for people who identify with multiple protected grounds of discrimination.</w:t>
      </w:r>
      <w:r w:rsidR="00816730">
        <w:rPr>
          <w:rStyle w:val="EndnoteReference"/>
          <w:rFonts w:ascii="Calibri" w:eastAsia="Calibri" w:hAnsi="Calibri" w:cs="Calibri"/>
          <w:sz w:val="22"/>
          <w:szCs w:val="22"/>
        </w:rPr>
        <w:endnoteReference w:id="22"/>
      </w:r>
      <w:r w:rsidR="0A8882DA" w:rsidRPr="00163BC5">
        <w:rPr>
          <w:rFonts w:eastAsiaTheme="minorEastAsia"/>
          <w:sz w:val="22"/>
          <w:szCs w:val="22"/>
        </w:rPr>
        <w:t xml:space="preserve"> Wherever possible</w:t>
      </w:r>
      <w:r w:rsidR="75CC7E4C" w:rsidRPr="00163BC5">
        <w:rPr>
          <w:rFonts w:eastAsiaTheme="minorEastAsia"/>
          <w:sz w:val="22"/>
          <w:szCs w:val="22"/>
        </w:rPr>
        <w:t>,</w:t>
      </w:r>
      <w:r w:rsidR="0A8882DA" w:rsidRPr="00163BC5">
        <w:rPr>
          <w:rFonts w:eastAsiaTheme="minorEastAsia"/>
          <w:sz w:val="22"/>
          <w:szCs w:val="22"/>
        </w:rPr>
        <w:t xml:space="preserve"> accommodations in the allocation of critical care must be made</w:t>
      </w:r>
      <w:r w:rsidR="00B46F6D">
        <w:rPr>
          <w:rFonts w:eastAsiaTheme="minorEastAsia"/>
          <w:sz w:val="22"/>
          <w:szCs w:val="22"/>
        </w:rPr>
        <w:t xml:space="preserve"> to</w:t>
      </w:r>
      <w:r w:rsidR="00B46F6D" w:rsidRPr="00B46F6D">
        <w:t xml:space="preserve"> </w:t>
      </w:r>
      <w:r w:rsidR="00B46F6D" w:rsidRPr="00B46F6D">
        <w:rPr>
          <w:rFonts w:eastAsiaTheme="minorEastAsia"/>
          <w:sz w:val="22"/>
          <w:szCs w:val="22"/>
        </w:rPr>
        <w:t>ensure that patients with disabilities can fully benefit from and be fully included in the health care services and products offered on a footing of equality</w:t>
      </w:r>
      <w:r w:rsidR="00F55558">
        <w:rPr>
          <w:rFonts w:eastAsiaTheme="minorEastAsia"/>
          <w:sz w:val="22"/>
          <w:szCs w:val="22"/>
        </w:rPr>
        <w:t>, and</w:t>
      </w:r>
      <w:r w:rsidR="0A8882DA" w:rsidRPr="00163BC5">
        <w:rPr>
          <w:rFonts w:eastAsiaTheme="minorEastAsia"/>
          <w:sz w:val="22"/>
          <w:szCs w:val="22"/>
        </w:rPr>
        <w:t xml:space="preserve"> to ensure that people protected by the Ontario Human Rights Code have equal opportunity to receive such care</w:t>
      </w:r>
      <w:r w:rsidR="0B3F1382" w:rsidRPr="00163BC5">
        <w:rPr>
          <w:rFonts w:eastAsiaTheme="minorEastAsia"/>
          <w:sz w:val="22"/>
          <w:szCs w:val="22"/>
        </w:rPr>
        <w:t>.</w:t>
      </w:r>
      <w:r w:rsidR="00816730" w:rsidRPr="001A5773">
        <w:rPr>
          <w:rFonts w:eastAsiaTheme="minorEastAsia"/>
          <w:sz w:val="22"/>
          <w:szCs w:val="22"/>
          <w:vertAlign w:val="superscript"/>
        </w:rPr>
        <w:fldChar w:fldCharType="begin"/>
      </w:r>
      <w:r w:rsidR="00816730" w:rsidRPr="001A5773">
        <w:rPr>
          <w:rFonts w:eastAsiaTheme="minorEastAsia"/>
          <w:sz w:val="22"/>
          <w:szCs w:val="22"/>
          <w:vertAlign w:val="superscript"/>
        </w:rPr>
        <w:instrText xml:space="preserve"> NOTEREF _Ref50713056 \h </w:instrText>
      </w:r>
      <w:r w:rsidR="001A5773">
        <w:rPr>
          <w:rFonts w:eastAsiaTheme="minorEastAsia"/>
          <w:sz w:val="22"/>
          <w:szCs w:val="22"/>
          <w:vertAlign w:val="superscript"/>
        </w:rPr>
        <w:instrText xml:space="preserve"> \* MERGEFORMAT </w:instrText>
      </w:r>
      <w:r w:rsidR="00816730" w:rsidRPr="001A5773">
        <w:rPr>
          <w:rFonts w:eastAsiaTheme="minorEastAsia"/>
          <w:sz w:val="22"/>
          <w:szCs w:val="22"/>
          <w:vertAlign w:val="superscript"/>
        </w:rPr>
      </w:r>
      <w:r w:rsidR="00816730" w:rsidRPr="001A5773">
        <w:rPr>
          <w:rFonts w:eastAsiaTheme="minorEastAsia"/>
          <w:sz w:val="22"/>
          <w:szCs w:val="22"/>
          <w:vertAlign w:val="superscript"/>
        </w:rPr>
        <w:fldChar w:fldCharType="separate"/>
      </w:r>
      <w:r w:rsidR="00816730" w:rsidRPr="001A5773">
        <w:rPr>
          <w:rFonts w:eastAsiaTheme="minorEastAsia"/>
          <w:sz w:val="22"/>
          <w:szCs w:val="22"/>
          <w:vertAlign w:val="superscript"/>
        </w:rPr>
        <w:t>17</w:t>
      </w:r>
      <w:r w:rsidR="00816730" w:rsidRPr="001A5773">
        <w:rPr>
          <w:rFonts w:eastAsiaTheme="minorEastAsia"/>
          <w:sz w:val="22"/>
          <w:szCs w:val="22"/>
          <w:vertAlign w:val="superscript"/>
        </w:rPr>
        <w:fldChar w:fldCharType="end"/>
      </w:r>
      <w:r w:rsidR="001A5773" w:rsidRPr="001A5773">
        <w:rPr>
          <w:rFonts w:eastAsiaTheme="minorEastAsia"/>
          <w:sz w:val="22"/>
          <w:szCs w:val="22"/>
          <w:vertAlign w:val="superscript"/>
        </w:rPr>
        <w:t>,</w:t>
      </w:r>
      <w:r w:rsidR="001A5773" w:rsidRPr="001A5773">
        <w:rPr>
          <w:rFonts w:eastAsiaTheme="minorEastAsia"/>
          <w:sz w:val="22"/>
          <w:szCs w:val="22"/>
          <w:vertAlign w:val="superscript"/>
        </w:rPr>
        <w:fldChar w:fldCharType="begin"/>
      </w:r>
      <w:r w:rsidR="001A5773" w:rsidRPr="001A5773">
        <w:rPr>
          <w:rFonts w:eastAsiaTheme="minorEastAsia"/>
          <w:sz w:val="22"/>
          <w:szCs w:val="22"/>
          <w:vertAlign w:val="superscript"/>
        </w:rPr>
        <w:instrText xml:space="preserve"> NOTEREF _Ref50713092 \h </w:instrText>
      </w:r>
      <w:r w:rsidR="001A5773">
        <w:rPr>
          <w:rFonts w:eastAsiaTheme="minorEastAsia"/>
          <w:sz w:val="22"/>
          <w:szCs w:val="22"/>
          <w:vertAlign w:val="superscript"/>
        </w:rPr>
        <w:instrText xml:space="preserve"> \* MERGEFORMAT </w:instrText>
      </w:r>
      <w:r w:rsidR="001A5773" w:rsidRPr="001A5773">
        <w:rPr>
          <w:rFonts w:eastAsiaTheme="minorEastAsia"/>
          <w:sz w:val="22"/>
          <w:szCs w:val="22"/>
          <w:vertAlign w:val="superscript"/>
        </w:rPr>
      </w:r>
      <w:r w:rsidR="001A5773" w:rsidRPr="001A5773">
        <w:rPr>
          <w:rFonts w:eastAsiaTheme="minorEastAsia"/>
          <w:sz w:val="22"/>
          <w:szCs w:val="22"/>
          <w:vertAlign w:val="superscript"/>
        </w:rPr>
        <w:fldChar w:fldCharType="separate"/>
      </w:r>
      <w:r w:rsidR="001A5773" w:rsidRPr="001A5773">
        <w:rPr>
          <w:rFonts w:eastAsiaTheme="minorEastAsia"/>
          <w:sz w:val="22"/>
          <w:szCs w:val="22"/>
          <w:vertAlign w:val="superscript"/>
        </w:rPr>
        <w:t>20</w:t>
      </w:r>
      <w:r w:rsidR="001A5773" w:rsidRPr="001A5773">
        <w:rPr>
          <w:rFonts w:eastAsiaTheme="minorEastAsia"/>
          <w:sz w:val="22"/>
          <w:szCs w:val="22"/>
          <w:vertAlign w:val="superscript"/>
        </w:rPr>
        <w:fldChar w:fldCharType="end"/>
      </w:r>
      <w:r w:rsidR="00F55558">
        <w:rPr>
          <w:rFonts w:eastAsiaTheme="minorEastAsia"/>
          <w:sz w:val="22"/>
          <w:szCs w:val="22"/>
          <w:vertAlign w:val="superscript"/>
        </w:rPr>
        <w:t>,</w:t>
      </w:r>
      <w:r w:rsidR="00F55558">
        <w:rPr>
          <w:rStyle w:val="EndnoteReference"/>
          <w:rFonts w:eastAsiaTheme="minorEastAsia"/>
          <w:sz w:val="22"/>
          <w:szCs w:val="22"/>
        </w:rPr>
        <w:endnoteReference w:id="23"/>
      </w:r>
      <w:r w:rsidR="1F7C0136" w:rsidRPr="00163BC5">
        <w:rPr>
          <w:rStyle w:val="FootnoteReference"/>
          <w:rFonts w:eastAsiaTheme="minorEastAsia"/>
          <w:sz w:val="22"/>
          <w:szCs w:val="22"/>
        </w:rPr>
        <w:t xml:space="preserve"> </w:t>
      </w:r>
      <w:r w:rsidR="00577096">
        <w:rPr>
          <w:rFonts w:eastAsiaTheme="minorEastAsia"/>
          <w:sz w:val="22"/>
          <w:szCs w:val="22"/>
        </w:rPr>
        <w:t xml:space="preserve"> </w:t>
      </w:r>
      <w:r w:rsidR="00577096" w:rsidRPr="00577096">
        <w:rPr>
          <w:rFonts w:eastAsiaTheme="minorEastAsia"/>
          <w:sz w:val="22"/>
          <w:szCs w:val="22"/>
        </w:rPr>
        <w:t>Restrictions impacting people so protected should be subject to stricter safeguards and accountability given these risks and harms and the life-interests at stake</w:t>
      </w:r>
      <w:r w:rsidR="00577096">
        <w:rPr>
          <w:rFonts w:eastAsiaTheme="minorEastAsia"/>
          <w:sz w:val="22"/>
          <w:szCs w:val="22"/>
        </w:rPr>
        <w:t xml:space="preserve">. </w:t>
      </w:r>
      <w:r w:rsidR="1F7C0136" w:rsidRPr="00163BC5">
        <w:rPr>
          <w:rFonts w:eastAsiaTheme="minorEastAsia"/>
          <w:sz w:val="22"/>
          <w:szCs w:val="22"/>
        </w:rPr>
        <w:t xml:space="preserve">Taking non-discrimination seriously includes ensuring triage decisions: </w:t>
      </w:r>
      <w:proofErr w:type="spellStart"/>
      <w:r w:rsidR="29B9B9BD" w:rsidRPr="00163BC5">
        <w:rPr>
          <w:rFonts w:eastAsiaTheme="minorEastAsia"/>
          <w:sz w:val="22"/>
          <w:szCs w:val="22"/>
        </w:rPr>
        <w:t>i</w:t>
      </w:r>
      <w:proofErr w:type="spellEnd"/>
      <w:r w:rsidR="29B9B9BD" w:rsidRPr="00163BC5">
        <w:rPr>
          <w:rFonts w:eastAsiaTheme="minorEastAsia"/>
          <w:sz w:val="22"/>
          <w:szCs w:val="22"/>
        </w:rPr>
        <w:t>) are based on</w:t>
      </w:r>
      <w:r w:rsidR="29B9B9BD" w:rsidRPr="00163BC5">
        <w:rPr>
          <w:rFonts w:eastAsiaTheme="minorEastAsia"/>
          <w:i/>
          <w:iCs/>
          <w:sz w:val="22"/>
          <w:szCs w:val="22"/>
        </w:rPr>
        <w:t xml:space="preserve"> clinical criteria </w:t>
      </w:r>
      <w:r w:rsidR="43B5F769" w:rsidRPr="00163BC5">
        <w:rPr>
          <w:rFonts w:eastAsiaTheme="minorEastAsia"/>
          <w:i/>
          <w:iCs/>
          <w:sz w:val="22"/>
          <w:szCs w:val="22"/>
        </w:rPr>
        <w:t xml:space="preserve">that predict short-term mortality risk </w:t>
      </w:r>
      <w:r w:rsidR="29B9B9BD" w:rsidRPr="00163BC5">
        <w:rPr>
          <w:rFonts w:eastAsiaTheme="minorEastAsia"/>
          <w:sz w:val="22"/>
          <w:szCs w:val="22"/>
        </w:rPr>
        <w:t xml:space="preserve">grounded in </w:t>
      </w:r>
      <w:r w:rsidR="34744AA8" w:rsidRPr="00163BC5">
        <w:rPr>
          <w:rFonts w:eastAsiaTheme="minorEastAsia"/>
          <w:sz w:val="22"/>
          <w:szCs w:val="22"/>
        </w:rPr>
        <w:t xml:space="preserve">the </w:t>
      </w:r>
      <w:r w:rsidR="29B9B9BD" w:rsidRPr="00163BC5">
        <w:rPr>
          <w:rFonts w:eastAsiaTheme="minorEastAsia"/>
          <w:sz w:val="22"/>
          <w:szCs w:val="22"/>
        </w:rPr>
        <w:t xml:space="preserve">best available evidence and </w:t>
      </w:r>
      <w:r w:rsidR="000C5F9F">
        <w:rPr>
          <w:rFonts w:eastAsiaTheme="minorEastAsia"/>
          <w:sz w:val="22"/>
          <w:szCs w:val="22"/>
        </w:rPr>
        <w:t xml:space="preserve">are </w:t>
      </w:r>
      <w:r w:rsidR="29B9B9BD" w:rsidRPr="00163BC5">
        <w:rPr>
          <w:rFonts w:eastAsiaTheme="minorEastAsia"/>
          <w:sz w:val="22"/>
          <w:szCs w:val="22"/>
        </w:rPr>
        <w:t xml:space="preserve">not </w:t>
      </w:r>
      <w:r w:rsidR="43CE9F32" w:rsidRPr="00163BC5">
        <w:rPr>
          <w:rFonts w:eastAsiaTheme="minorEastAsia"/>
          <w:sz w:val="22"/>
          <w:szCs w:val="22"/>
        </w:rPr>
        <w:t xml:space="preserve">reliant </w:t>
      </w:r>
      <w:r w:rsidR="1A752C9C" w:rsidRPr="00163BC5">
        <w:rPr>
          <w:rFonts w:eastAsiaTheme="minorEastAsia"/>
          <w:sz w:val="22"/>
          <w:szCs w:val="22"/>
        </w:rPr>
        <w:t>on particular</w:t>
      </w:r>
      <w:r w:rsidR="29B9B9BD" w:rsidRPr="00163BC5">
        <w:rPr>
          <w:rFonts w:eastAsiaTheme="minorEastAsia"/>
          <w:sz w:val="22"/>
          <w:szCs w:val="22"/>
        </w:rPr>
        <w:t xml:space="preserve"> demographic</w:t>
      </w:r>
      <w:r w:rsidR="5A4C26B0" w:rsidRPr="00163BC5">
        <w:rPr>
          <w:rFonts w:eastAsiaTheme="minorEastAsia"/>
          <w:sz w:val="22"/>
          <w:szCs w:val="22"/>
        </w:rPr>
        <w:t xml:space="preserve"> </w:t>
      </w:r>
      <w:proofErr w:type="spellStart"/>
      <w:r w:rsidR="5A4C26B0" w:rsidRPr="00163BC5">
        <w:rPr>
          <w:rFonts w:eastAsiaTheme="minorEastAsia"/>
          <w:sz w:val="22"/>
          <w:szCs w:val="22"/>
        </w:rPr>
        <w:t>factors</w:t>
      </w:r>
      <w:r w:rsidR="001A5773">
        <w:rPr>
          <w:rFonts w:eastAsiaTheme="minorEastAsia"/>
          <w:sz w:val="22"/>
          <w:szCs w:val="22"/>
        </w:rPr>
        <w:t>,</w:t>
      </w:r>
      <w:r w:rsidR="001A5773" w:rsidRPr="001A5773">
        <w:rPr>
          <w:rFonts w:eastAsiaTheme="minorEastAsia"/>
          <w:sz w:val="22"/>
          <w:szCs w:val="22"/>
          <w:vertAlign w:val="superscript"/>
        </w:rPr>
        <w:fldChar w:fldCharType="begin"/>
      </w:r>
      <w:r w:rsidR="001A5773" w:rsidRPr="001A5773">
        <w:rPr>
          <w:rFonts w:eastAsiaTheme="minorEastAsia"/>
          <w:sz w:val="22"/>
          <w:szCs w:val="22"/>
          <w:vertAlign w:val="superscript"/>
        </w:rPr>
        <w:instrText xml:space="preserve"> NOTEREF _Ref50713138 \h </w:instrText>
      </w:r>
      <w:r w:rsidR="001A5773">
        <w:rPr>
          <w:rFonts w:eastAsiaTheme="minorEastAsia"/>
          <w:sz w:val="22"/>
          <w:szCs w:val="22"/>
          <w:vertAlign w:val="superscript"/>
        </w:rPr>
        <w:instrText xml:space="preserve"> \* MERGEFORMAT </w:instrText>
      </w:r>
      <w:r w:rsidR="001A5773" w:rsidRPr="001A5773">
        <w:rPr>
          <w:rFonts w:eastAsiaTheme="minorEastAsia"/>
          <w:sz w:val="22"/>
          <w:szCs w:val="22"/>
          <w:vertAlign w:val="superscript"/>
        </w:rPr>
      </w:r>
      <w:r w:rsidR="001A5773" w:rsidRPr="001A5773">
        <w:rPr>
          <w:rFonts w:eastAsiaTheme="minorEastAsia"/>
          <w:sz w:val="22"/>
          <w:szCs w:val="22"/>
          <w:vertAlign w:val="superscript"/>
        </w:rPr>
        <w:fldChar w:fldCharType="separate"/>
      </w:r>
      <w:r w:rsidR="001A5773" w:rsidRPr="001A5773">
        <w:rPr>
          <w:rFonts w:eastAsiaTheme="minorEastAsia"/>
          <w:sz w:val="22"/>
          <w:szCs w:val="22"/>
          <w:vertAlign w:val="superscript"/>
        </w:rPr>
        <w:t>e</w:t>
      </w:r>
      <w:proofErr w:type="spellEnd"/>
      <w:r w:rsidR="001A5773" w:rsidRPr="001A5773">
        <w:rPr>
          <w:rFonts w:eastAsiaTheme="minorEastAsia"/>
          <w:sz w:val="22"/>
          <w:szCs w:val="22"/>
          <w:vertAlign w:val="superscript"/>
        </w:rPr>
        <w:fldChar w:fldCharType="end"/>
      </w:r>
      <w:r w:rsidR="0466F129" w:rsidRPr="00163BC5">
        <w:rPr>
          <w:rFonts w:eastAsiaTheme="minorEastAsia"/>
          <w:sz w:val="22"/>
          <w:szCs w:val="22"/>
        </w:rPr>
        <w:t xml:space="preserve"> disease, or disability</w:t>
      </w:r>
      <w:r w:rsidR="00893E63">
        <w:t>,</w:t>
      </w:r>
      <w:r w:rsidR="2DDA641B" w:rsidRPr="00163BC5">
        <w:rPr>
          <w:rFonts w:eastAsiaTheme="minorEastAsia"/>
          <w:sz w:val="22"/>
          <w:szCs w:val="22"/>
        </w:rPr>
        <w:t xml:space="preserve"> </w:t>
      </w:r>
      <w:r w:rsidR="66CA2845" w:rsidRPr="00163BC5">
        <w:rPr>
          <w:rFonts w:eastAsiaTheme="minorEastAsia"/>
          <w:sz w:val="22"/>
          <w:szCs w:val="22"/>
        </w:rPr>
        <w:t xml:space="preserve">and </w:t>
      </w:r>
      <w:r w:rsidR="4A1535C6" w:rsidRPr="00163BC5">
        <w:rPr>
          <w:rFonts w:eastAsiaTheme="minorEastAsia"/>
          <w:sz w:val="22"/>
          <w:szCs w:val="22"/>
        </w:rPr>
        <w:t xml:space="preserve">ii) involve an </w:t>
      </w:r>
      <w:r w:rsidR="4A1535C6" w:rsidRPr="00163BC5">
        <w:rPr>
          <w:rFonts w:eastAsiaTheme="minorEastAsia"/>
          <w:i/>
          <w:iCs/>
          <w:sz w:val="22"/>
          <w:szCs w:val="22"/>
        </w:rPr>
        <w:t>individual</w:t>
      </w:r>
      <w:r w:rsidR="4A1535C6" w:rsidRPr="00163BC5">
        <w:rPr>
          <w:rFonts w:eastAsiaTheme="minorEastAsia"/>
          <w:sz w:val="22"/>
          <w:szCs w:val="22"/>
        </w:rPr>
        <w:t xml:space="preserve"> </w:t>
      </w:r>
      <w:r w:rsidR="4A1535C6" w:rsidRPr="00163BC5">
        <w:rPr>
          <w:rFonts w:eastAsiaTheme="minorEastAsia"/>
          <w:i/>
          <w:iCs/>
          <w:sz w:val="22"/>
          <w:szCs w:val="22"/>
        </w:rPr>
        <w:t>assessment</w:t>
      </w:r>
      <w:r w:rsidR="3D13C96C" w:rsidRPr="00163BC5">
        <w:rPr>
          <w:rFonts w:eastAsiaTheme="minorEastAsia"/>
          <w:i/>
          <w:iCs/>
          <w:sz w:val="22"/>
          <w:szCs w:val="22"/>
        </w:rPr>
        <w:t xml:space="preserve"> o</w:t>
      </w:r>
      <w:r w:rsidR="3D13C96C" w:rsidRPr="00163BC5">
        <w:rPr>
          <w:rFonts w:ascii="Calibri" w:eastAsia="Calibri" w:hAnsi="Calibri" w:cs="Calibri"/>
          <w:sz w:val="22"/>
          <w:szCs w:val="22"/>
        </w:rPr>
        <w:t>f a patient’s clinical condition in relation to triage criteria and not a judgment of the individual’s</w:t>
      </w:r>
      <w:r w:rsidR="3D13C96C" w:rsidRPr="00163BC5">
        <w:rPr>
          <w:rFonts w:eastAsiaTheme="minorEastAsia"/>
          <w:sz w:val="22"/>
          <w:szCs w:val="22"/>
        </w:rPr>
        <w:t xml:space="preserve"> social value, quality of </w:t>
      </w:r>
      <w:r w:rsidR="4A1535C6" w:rsidRPr="00163BC5">
        <w:rPr>
          <w:rFonts w:eastAsiaTheme="minorEastAsia"/>
          <w:sz w:val="22"/>
          <w:szCs w:val="22"/>
        </w:rPr>
        <w:t>life</w:t>
      </w:r>
      <w:r w:rsidR="47135EC3" w:rsidRPr="00163BC5">
        <w:rPr>
          <w:rFonts w:eastAsiaTheme="minorEastAsia"/>
          <w:sz w:val="22"/>
          <w:szCs w:val="22"/>
        </w:rPr>
        <w:t>,</w:t>
      </w:r>
      <w:r w:rsidR="1F5D9FC9" w:rsidRPr="00163BC5">
        <w:rPr>
          <w:rFonts w:eastAsiaTheme="minorEastAsia"/>
          <w:sz w:val="22"/>
          <w:szCs w:val="22"/>
        </w:rPr>
        <w:t xml:space="preserve"> long-term survival, or </w:t>
      </w:r>
      <w:r w:rsidR="16249D31" w:rsidRPr="00163BC5">
        <w:rPr>
          <w:rFonts w:eastAsiaTheme="minorEastAsia"/>
          <w:sz w:val="22"/>
          <w:szCs w:val="22"/>
        </w:rPr>
        <w:t xml:space="preserve">need for </w:t>
      </w:r>
      <w:r w:rsidR="4A1535C6" w:rsidRPr="00163BC5">
        <w:rPr>
          <w:rFonts w:eastAsiaTheme="minorEastAsia"/>
          <w:sz w:val="22"/>
          <w:szCs w:val="22"/>
        </w:rPr>
        <w:t>accommodations</w:t>
      </w:r>
      <w:r w:rsidR="6B71A711" w:rsidRPr="00163BC5">
        <w:rPr>
          <w:rFonts w:eastAsiaTheme="minorEastAsia"/>
          <w:sz w:val="22"/>
          <w:szCs w:val="22"/>
        </w:rPr>
        <w:t xml:space="preserve">. </w:t>
      </w:r>
      <w:r w:rsidR="00577096" w:rsidRPr="00577096">
        <w:rPr>
          <w:rFonts w:eastAsiaTheme="minorEastAsia"/>
          <w:sz w:val="22"/>
          <w:szCs w:val="22"/>
        </w:rPr>
        <w:t>To emphasize</w:t>
      </w:r>
      <w:r w:rsidR="00280A9E">
        <w:rPr>
          <w:rFonts w:eastAsiaTheme="minorEastAsia"/>
          <w:sz w:val="22"/>
          <w:szCs w:val="22"/>
        </w:rPr>
        <w:t>:</w:t>
      </w:r>
      <w:r w:rsidR="00577096" w:rsidRPr="00577096">
        <w:rPr>
          <w:rFonts w:eastAsiaTheme="minorEastAsia"/>
          <w:sz w:val="22"/>
          <w:szCs w:val="22"/>
        </w:rPr>
        <w:t xml:space="preserve"> the existence of disability must not be used as a criteri</w:t>
      </w:r>
      <w:r w:rsidR="00577096">
        <w:rPr>
          <w:rFonts w:eastAsiaTheme="minorEastAsia"/>
          <w:sz w:val="22"/>
          <w:szCs w:val="22"/>
        </w:rPr>
        <w:t>on</w:t>
      </w:r>
      <w:r w:rsidR="00577096" w:rsidRPr="00577096">
        <w:rPr>
          <w:rFonts w:eastAsiaTheme="minorEastAsia"/>
          <w:sz w:val="22"/>
          <w:szCs w:val="22"/>
        </w:rPr>
        <w:t xml:space="preserve"> on which to deny critical care.</w:t>
      </w:r>
      <w:r w:rsidR="00577096">
        <w:rPr>
          <w:rFonts w:eastAsiaTheme="minorEastAsia"/>
          <w:sz w:val="22"/>
          <w:szCs w:val="22"/>
        </w:rPr>
        <w:t xml:space="preserve"> </w:t>
      </w:r>
      <w:r w:rsidR="25C9D31A" w:rsidRPr="00163BC5">
        <w:rPr>
          <w:rFonts w:eastAsiaTheme="minorEastAsia"/>
          <w:sz w:val="22"/>
          <w:szCs w:val="22"/>
        </w:rPr>
        <w:t>Additionally, t</w:t>
      </w:r>
      <w:r w:rsidR="6B71A711" w:rsidRPr="00163BC5">
        <w:rPr>
          <w:rFonts w:eastAsiaTheme="minorEastAsia"/>
          <w:sz w:val="22"/>
          <w:szCs w:val="22"/>
        </w:rPr>
        <w:t xml:space="preserve">o engage fully in the </w:t>
      </w:r>
      <w:r w:rsidR="6B71A711" w:rsidRPr="00205590">
        <w:rPr>
          <w:rFonts w:eastAsiaTheme="minorEastAsia"/>
          <w:sz w:val="22"/>
          <w:szCs w:val="22"/>
        </w:rPr>
        <w:t xml:space="preserve">decision-making process, </w:t>
      </w:r>
      <w:r w:rsidR="767682AA" w:rsidRPr="00205590">
        <w:rPr>
          <w:rFonts w:eastAsiaTheme="minorEastAsia"/>
          <w:sz w:val="22"/>
          <w:szCs w:val="22"/>
        </w:rPr>
        <w:t xml:space="preserve">individual </w:t>
      </w:r>
      <w:r w:rsidR="6B71A711" w:rsidRPr="00205590">
        <w:rPr>
          <w:rFonts w:eastAsiaTheme="minorEastAsia"/>
          <w:sz w:val="22"/>
          <w:szCs w:val="22"/>
        </w:rPr>
        <w:t>patients must be</w:t>
      </w:r>
      <w:r w:rsidR="2D0FC0DC" w:rsidRPr="00205590">
        <w:rPr>
          <w:rFonts w:eastAsiaTheme="minorEastAsia"/>
          <w:sz w:val="22"/>
          <w:szCs w:val="22"/>
        </w:rPr>
        <w:t xml:space="preserve"> supported</w:t>
      </w:r>
      <w:r w:rsidR="52938420" w:rsidRPr="00205590">
        <w:rPr>
          <w:rFonts w:eastAsiaTheme="minorEastAsia"/>
          <w:sz w:val="22"/>
          <w:szCs w:val="22"/>
        </w:rPr>
        <w:t xml:space="preserve"> through</w:t>
      </w:r>
      <w:r w:rsidR="2D0FC0DC" w:rsidRPr="00205590">
        <w:rPr>
          <w:rFonts w:eastAsiaTheme="minorEastAsia"/>
          <w:sz w:val="22"/>
          <w:szCs w:val="22"/>
        </w:rPr>
        <w:t xml:space="preserve"> accommodations to the extent possible in an infection control context (see Respect for Autonomy below, as well as </w:t>
      </w:r>
      <w:r w:rsidR="69ADB9D7" w:rsidRPr="00205590">
        <w:rPr>
          <w:rFonts w:eastAsiaTheme="minorEastAsia"/>
          <w:sz w:val="22"/>
          <w:szCs w:val="22"/>
        </w:rPr>
        <w:t>S</w:t>
      </w:r>
      <w:r w:rsidR="2D0FC0DC" w:rsidRPr="00205590">
        <w:rPr>
          <w:rFonts w:eastAsiaTheme="minorEastAsia"/>
          <w:sz w:val="22"/>
          <w:szCs w:val="22"/>
        </w:rPr>
        <w:t xml:space="preserve">ection </w:t>
      </w:r>
      <w:r w:rsidR="00205590" w:rsidRPr="00205590">
        <w:rPr>
          <w:rFonts w:eastAsiaTheme="minorEastAsia"/>
          <w:sz w:val="22"/>
          <w:szCs w:val="22"/>
        </w:rPr>
        <w:t>E</w:t>
      </w:r>
      <w:r w:rsidR="2D0FC0DC" w:rsidRPr="00205590">
        <w:rPr>
          <w:rFonts w:eastAsiaTheme="minorEastAsia"/>
          <w:sz w:val="22"/>
          <w:szCs w:val="22"/>
        </w:rPr>
        <w:t>).</w:t>
      </w:r>
    </w:p>
    <w:p w14:paraId="09FA65C3" w14:textId="2550A1EB" w:rsidR="00893E63" w:rsidRPr="00893E63" w:rsidRDefault="00893E63" w:rsidP="00280A9E">
      <w:pPr>
        <w:pStyle w:val="ListParagraph"/>
        <w:numPr>
          <w:ilvl w:val="0"/>
          <w:numId w:val="23"/>
        </w:numPr>
        <w:rPr>
          <w:i/>
          <w:iCs/>
          <w:sz w:val="22"/>
          <w:szCs w:val="22"/>
        </w:rPr>
      </w:pPr>
      <w:r w:rsidRPr="00893E63">
        <w:rPr>
          <w:i/>
          <w:iCs/>
          <w:sz w:val="22"/>
          <w:szCs w:val="22"/>
        </w:rPr>
        <w:t>Protection of individual human rights</w:t>
      </w:r>
      <w:r w:rsidRPr="00893E63">
        <w:rPr>
          <w:sz w:val="22"/>
          <w:szCs w:val="22"/>
        </w:rPr>
        <w:t xml:space="preserve"> – Uphold individual human rights to the extent possible in a pandemic emergency,</w:t>
      </w:r>
      <w:r w:rsidR="001A5773">
        <w:rPr>
          <w:rStyle w:val="EndnoteReference"/>
          <w:sz w:val="22"/>
          <w:szCs w:val="22"/>
        </w:rPr>
        <w:endnoteReference w:id="24"/>
      </w:r>
      <w:r w:rsidRPr="00893E63">
        <w:rPr>
          <w:rStyle w:val="FootnoteReference"/>
          <w:rFonts w:eastAsiaTheme="minorEastAsia"/>
          <w:sz w:val="22"/>
          <w:szCs w:val="22"/>
        </w:rPr>
        <w:t xml:space="preserve"> </w:t>
      </w:r>
      <w:r w:rsidRPr="00893E63">
        <w:rPr>
          <w:sz w:val="22"/>
          <w:szCs w:val="22"/>
        </w:rPr>
        <w:t>including ensuring that any restrictions of individual rights are strictly necessary</w:t>
      </w:r>
      <w:r w:rsidR="00F55558">
        <w:rPr>
          <w:sz w:val="22"/>
          <w:szCs w:val="22"/>
        </w:rPr>
        <w:t xml:space="preserve"> </w:t>
      </w:r>
      <w:r w:rsidR="00F55558" w:rsidRPr="00F55558">
        <w:rPr>
          <w:sz w:val="22"/>
          <w:szCs w:val="22"/>
        </w:rPr>
        <w:t>and proportional so as to assure the most minimal impairment of rights possible</w:t>
      </w:r>
      <w:r w:rsidRPr="00893E63">
        <w:rPr>
          <w:sz w:val="22"/>
          <w:szCs w:val="22"/>
        </w:rPr>
        <w:t>.</w:t>
      </w:r>
      <w:r w:rsidR="001A5773">
        <w:rPr>
          <w:rStyle w:val="EndnoteReference"/>
          <w:sz w:val="22"/>
          <w:szCs w:val="22"/>
        </w:rPr>
        <w:endnoteReference w:id="25"/>
      </w:r>
    </w:p>
    <w:p w14:paraId="49B09D10" w14:textId="613502D3" w:rsidR="00040A1F" w:rsidRDefault="11402095" w:rsidP="00280A9E">
      <w:pPr>
        <w:pStyle w:val="ListParagraph"/>
        <w:numPr>
          <w:ilvl w:val="0"/>
          <w:numId w:val="23"/>
        </w:numPr>
        <w:rPr>
          <w:i/>
          <w:iCs/>
          <w:sz w:val="22"/>
          <w:szCs w:val="22"/>
        </w:rPr>
      </w:pPr>
      <w:r w:rsidRPr="500AFCFA">
        <w:rPr>
          <w:rFonts w:eastAsiaTheme="minorEastAsia"/>
          <w:i/>
          <w:iCs/>
          <w:sz w:val="22"/>
          <w:szCs w:val="22"/>
        </w:rPr>
        <w:t>Equity</w:t>
      </w:r>
      <w:r w:rsidR="5226EC23" w:rsidRPr="500AFCFA">
        <w:rPr>
          <w:rFonts w:eastAsiaTheme="minorEastAsia"/>
          <w:i/>
          <w:iCs/>
          <w:sz w:val="22"/>
          <w:szCs w:val="22"/>
        </w:rPr>
        <w:t xml:space="preserve"> </w:t>
      </w:r>
      <w:r w:rsidR="0D70C395" w:rsidRPr="500AFCFA">
        <w:rPr>
          <w:rFonts w:eastAsiaTheme="minorEastAsia"/>
          <w:sz w:val="22"/>
          <w:szCs w:val="22"/>
        </w:rPr>
        <w:t xml:space="preserve">– Where no relevant differences exist between patients being considered for </w:t>
      </w:r>
      <w:r w:rsidR="3CBE8787" w:rsidRPr="500AFCFA">
        <w:rPr>
          <w:rFonts w:eastAsiaTheme="minorEastAsia"/>
          <w:sz w:val="22"/>
          <w:szCs w:val="22"/>
        </w:rPr>
        <w:t xml:space="preserve">access </w:t>
      </w:r>
      <w:r w:rsidR="0D70C395" w:rsidRPr="500AFCFA">
        <w:rPr>
          <w:rFonts w:eastAsiaTheme="minorEastAsia"/>
          <w:sz w:val="22"/>
          <w:szCs w:val="22"/>
        </w:rPr>
        <w:t xml:space="preserve">to critical care, triage decisions should treat those patients similarly, i.e., those with similar prognoses </w:t>
      </w:r>
      <w:r w:rsidR="37FDB59B" w:rsidRPr="500AFCFA">
        <w:rPr>
          <w:rFonts w:eastAsiaTheme="minorEastAsia"/>
          <w:sz w:val="22"/>
          <w:szCs w:val="22"/>
        </w:rPr>
        <w:t xml:space="preserve">of short-term mortality </w:t>
      </w:r>
      <w:r w:rsidR="00893E63" w:rsidRPr="500AFCFA">
        <w:rPr>
          <w:rFonts w:eastAsiaTheme="minorEastAsia"/>
          <w:sz w:val="22"/>
          <w:szCs w:val="22"/>
        </w:rPr>
        <w:t xml:space="preserve">risk </w:t>
      </w:r>
      <w:r w:rsidR="0D70C395" w:rsidRPr="500AFCFA">
        <w:rPr>
          <w:rFonts w:eastAsiaTheme="minorEastAsia"/>
          <w:sz w:val="22"/>
          <w:szCs w:val="22"/>
        </w:rPr>
        <w:t>should be treated similarly unless there are relevant differences that warrant differential treatment</w:t>
      </w:r>
      <w:r w:rsidR="00280A9E">
        <w:rPr>
          <w:rFonts w:eastAsiaTheme="minorEastAsia"/>
          <w:sz w:val="22"/>
          <w:szCs w:val="22"/>
        </w:rPr>
        <w:t xml:space="preserve"> (see principle of non-discrimination above)</w:t>
      </w:r>
      <w:r w:rsidR="0D70C395" w:rsidRPr="500AFCFA">
        <w:rPr>
          <w:rFonts w:eastAsiaTheme="minorEastAsia"/>
          <w:sz w:val="22"/>
          <w:szCs w:val="22"/>
        </w:rPr>
        <w:t xml:space="preserve">. In the event that </w:t>
      </w:r>
      <w:r w:rsidR="40A8EFCA" w:rsidRPr="500AFCFA">
        <w:rPr>
          <w:rFonts w:eastAsiaTheme="minorEastAsia"/>
          <w:sz w:val="22"/>
          <w:szCs w:val="22"/>
        </w:rPr>
        <w:t xml:space="preserve">there is uncertainty or insufficient clinical evidence to prioritize one patient over another on the basis of </w:t>
      </w:r>
      <w:r w:rsidR="00893E63" w:rsidRPr="500AFCFA">
        <w:rPr>
          <w:rFonts w:eastAsiaTheme="minorEastAsia"/>
          <w:sz w:val="22"/>
          <w:szCs w:val="22"/>
        </w:rPr>
        <w:t xml:space="preserve">predicted </w:t>
      </w:r>
      <w:r w:rsidR="40A8EFCA" w:rsidRPr="500AFCFA">
        <w:rPr>
          <w:rFonts w:eastAsiaTheme="minorEastAsia"/>
          <w:sz w:val="22"/>
          <w:szCs w:val="22"/>
        </w:rPr>
        <w:t>short-term mortality,</w:t>
      </w:r>
      <w:r w:rsidR="0D70C395" w:rsidRPr="500AFCFA">
        <w:rPr>
          <w:rFonts w:eastAsiaTheme="minorEastAsia"/>
          <w:sz w:val="22"/>
          <w:szCs w:val="22"/>
        </w:rPr>
        <w:t xml:space="preserve"> a fair process that gives patients equal chances of access</w:t>
      </w:r>
      <w:r w:rsidR="47FACB2C" w:rsidRPr="500AFCFA">
        <w:rPr>
          <w:rFonts w:eastAsiaTheme="minorEastAsia"/>
          <w:sz w:val="22"/>
          <w:szCs w:val="22"/>
        </w:rPr>
        <w:t>ing</w:t>
      </w:r>
      <w:r w:rsidR="0D70C395" w:rsidRPr="500AFCFA">
        <w:rPr>
          <w:rFonts w:eastAsiaTheme="minorEastAsia"/>
          <w:sz w:val="22"/>
          <w:szCs w:val="22"/>
        </w:rPr>
        <w:t xml:space="preserve"> critical care should be used for resource allocation.</w:t>
      </w:r>
    </w:p>
    <w:p w14:paraId="3F2FBA07" w14:textId="2834CD72" w:rsidR="436BD3C4" w:rsidRDefault="76B57B33" w:rsidP="00280A9E">
      <w:pPr>
        <w:pStyle w:val="ListParagraph"/>
        <w:numPr>
          <w:ilvl w:val="0"/>
          <w:numId w:val="23"/>
        </w:numPr>
        <w:rPr>
          <w:rFonts w:eastAsiaTheme="minorEastAsia"/>
          <w:i/>
          <w:iCs/>
          <w:sz w:val="22"/>
          <w:szCs w:val="22"/>
        </w:rPr>
      </w:pPr>
      <w:r w:rsidRPr="109A04B4">
        <w:rPr>
          <w:i/>
          <w:iCs/>
          <w:sz w:val="22"/>
          <w:szCs w:val="22"/>
        </w:rPr>
        <w:t xml:space="preserve">Proportionality </w:t>
      </w:r>
      <w:r w:rsidRPr="109A04B4">
        <w:rPr>
          <w:sz w:val="22"/>
          <w:szCs w:val="22"/>
        </w:rPr>
        <w:t>– Ensure that the number of individuals who are negatively affected by the use of critical care triage criteria in a pandemic does not exceed what would be required to accommodate the surge in demand. Given that critical care capacity and demand can be dynamic, access to critical care should be restricted only to the extent necessary to achieve maximum benefit within resource constraints and should become less restrictive as resources become available or the surge abates.</w:t>
      </w:r>
    </w:p>
    <w:p w14:paraId="0B890C2F" w14:textId="32441374" w:rsidR="00040A1F" w:rsidRPr="00040A1F" w:rsidRDefault="28FF1558" w:rsidP="00280A9E">
      <w:pPr>
        <w:pStyle w:val="ListParagraph"/>
        <w:numPr>
          <w:ilvl w:val="0"/>
          <w:numId w:val="19"/>
        </w:numPr>
        <w:rPr>
          <w:rStyle w:val="FootnoteReference"/>
          <w:rFonts w:eastAsiaTheme="minorEastAsia"/>
          <w:i/>
          <w:iCs/>
          <w:sz w:val="22"/>
          <w:szCs w:val="22"/>
        </w:rPr>
      </w:pPr>
      <w:bookmarkStart w:id="5" w:name="_Hlk49422343"/>
      <w:r w:rsidRPr="500AFCFA">
        <w:rPr>
          <w:rFonts w:eastAsiaTheme="minorEastAsia"/>
          <w:i/>
          <w:iCs/>
          <w:sz w:val="22"/>
          <w:szCs w:val="22"/>
        </w:rPr>
        <w:t xml:space="preserve">Fairness </w:t>
      </w:r>
      <w:bookmarkEnd w:id="5"/>
      <w:r w:rsidR="4EF9554D" w:rsidRPr="500AFCFA">
        <w:rPr>
          <w:rFonts w:eastAsiaTheme="minorEastAsia"/>
          <w:sz w:val="22"/>
          <w:szCs w:val="22"/>
        </w:rPr>
        <w:t>–</w:t>
      </w:r>
      <w:r w:rsidR="1AEF3FAF" w:rsidRPr="500AFCFA">
        <w:rPr>
          <w:rFonts w:eastAsiaTheme="minorEastAsia"/>
          <w:sz w:val="22"/>
          <w:szCs w:val="22"/>
        </w:rPr>
        <w:t xml:space="preserve"> </w:t>
      </w:r>
      <w:r w:rsidR="4EF9554D" w:rsidRPr="500AFCFA">
        <w:rPr>
          <w:rFonts w:eastAsiaTheme="minorEastAsia"/>
          <w:sz w:val="22"/>
          <w:szCs w:val="22"/>
        </w:rPr>
        <w:t xml:space="preserve">Affirm </w:t>
      </w:r>
      <w:r w:rsidR="1D9A026A" w:rsidRPr="500AFCFA">
        <w:rPr>
          <w:rFonts w:eastAsiaTheme="minorEastAsia"/>
          <w:sz w:val="22"/>
          <w:szCs w:val="22"/>
        </w:rPr>
        <w:t xml:space="preserve">and safeguard </w:t>
      </w:r>
      <w:r w:rsidR="4EF9554D" w:rsidRPr="500AFCFA">
        <w:rPr>
          <w:rFonts w:eastAsiaTheme="minorEastAsia"/>
          <w:sz w:val="22"/>
          <w:szCs w:val="22"/>
        </w:rPr>
        <w:t xml:space="preserve">the equal </w:t>
      </w:r>
      <w:r w:rsidR="503DA3E1" w:rsidRPr="500AFCFA">
        <w:rPr>
          <w:rFonts w:eastAsiaTheme="minorEastAsia"/>
          <w:sz w:val="22"/>
          <w:szCs w:val="22"/>
        </w:rPr>
        <w:t>value</w:t>
      </w:r>
      <w:r w:rsidR="4EF9554D" w:rsidRPr="500AFCFA">
        <w:rPr>
          <w:rFonts w:eastAsiaTheme="minorEastAsia"/>
          <w:sz w:val="22"/>
          <w:szCs w:val="22"/>
        </w:rPr>
        <w:t xml:space="preserve"> of all peo</w:t>
      </w:r>
      <w:r w:rsidR="3452F6FB" w:rsidRPr="500AFCFA">
        <w:rPr>
          <w:rFonts w:eastAsiaTheme="minorEastAsia"/>
          <w:sz w:val="22"/>
          <w:szCs w:val="22"/>
        </w:rPr>
        <w:t>ple in Ontario</w:t>
      </w:r>
      <w:r w:rsidR="47B087F8" w:rsidRPr="500AFCFA">
        <w:rPr>
          <w:rFonts w:eastAsiaTheme="minorEastAsia"/>
          <w:sz w:val="22"/>
          <w:szCs w:val="22"/>
        </w:rPr>
        <w:t xml:space="preserve"> </w:t>
      </w:r>
      <w:r w:rsidR="3C382AA6" w:rsidRPr="500AFCFA">
        <w:rPr>
          <w:rFonts w:eastAsiaTheme="minorEastAsia"/>
          <w:sz w:val="22"/>
          <w:szCs w:val="22"/>
        </w:rPr>
        <w:t xml:space="preserve">by implementing </w:t>
      </w:r>
      <w:r w:rsidR="4EEEAB4A" w:rsidRPr="500AFCFA">
        <w:rPr>
          <w:rFonts w:eastAsiaTheme="minorEastAsia"/>
          <w:sz w:val="22"/>
          <w:szCs w:val="22"/>
        </w:rPr>
        <w:t xml:space="preserve">processes and </w:t>
      </w:r>
      <w:r w:rsidR="3C382AA6" w:rsidRPr="500AFCFA">
        <w:rPr>
          <w:rFonts w:eastAsiaTheme="minorEastAsia"/>
          <w:sz w:val="22"/>
          <w:szCs w:val="22"/>
        </w:rPr>
        <w:t xml:space="preserve">measures to minimize the risk of perpetuating or exacerbating </w:t>
      </w:r>
      <w:r w:rsidR="7DCADF0D" w:rsidRPr="500AFCFA">
        <w:rPr>
          <w:rFonts w:eastAsiaTheme="minorEastAsia"/>
          <w:sz w:val="22"/>
          <w:szCs w:val="22"/>
        </w:rPr>
        <w:t>the effects of</w:t>
      </w:r>
      <w:r w:rsidR="4EEEAB4A" w:rsidRPr="500AFCFA">
        <w:rPr>
          <w:rFonts w:eastAsiaTheme="minorEastAsia"/>
          <w:sz w:val="22"/>
          <w:szCs w:val="22"/>
        </w:rPr>
        <w:t xml:space="preserve"> individual and</w:t>
      </w:r>
      <w:r w:rsidR="7DCADF0D" w:rsidRPr="500AFCFA">
        <w:rPr>
          <w:rFonts w:eastAsiaTheme="minorEastAsia"/>
          <w:sz w:val="22"/>
          <w:szCs w:val="22"/>
        </w:rPr>
        <w:t xml:space="preserve"> </w:t>
      </w:r>
      <w:r w:rsidR="3C382AA6" w:rsidRPr="500AFCFA">
        <w:rPr>
          <w:rFonts w:eastAsiaTheme="minorEastAsia"/>
          <w:sz w:val="22"/>
          <w:szCs w:val="22"/>
        </w:rPr>
        <w:t>systemic discrimination</w:t>
      </w:r>
      <w:r w:rsidR="767BC98B" w:rsidRPr="500AFCFA">
        <w:rPr>
          <w:rFonts w:eastAsiaTheme="minorEastAsia"/>
          <w:sz w:val="22"/>
          <w:szCs w:val="22"/>
        </w:rPr>
        <w:t xml:space="preserve"> or</w:t>
      </w:r>
      <w:r w:rsidR="3C382AA6" w:rsidRPr="500AFCFA">
        <w:rPr>
          <w:rFonts w:eastAsiaTheme="minorEastAsia"/>
          <w:sz w:val="22"/>
          <w:szCs w:val="22"/>
        </w:rPr>
        <w:t xml:space="preserve"> marginalization</w:t>
      </w:r>
      <w:r w:rsidR="7DCADF0D" w:rsidRPr="500AFCFA">
        <w:rPr>
          <w:rFonts w:eastAsiaTheme="minorEastAsia"/>
          <w:sz w:val="22"/>
          <w:szCs w:val="22"/>
        </w:rPr>
        <w:t xml:space="preserve"> on access to health care</w:t>
      </w:r>
      <w:r w:rsidR="0A55D8E5" w:rsidRPr="500AFCFA">
        <w:rPr>
          <w:rFonts w:eastAsiaTheme="minorEastAsia"/>
          <w:sz w:val="22"/>
          <w:szCs w:val="22"/>
        </w:rPr>
        <w:t xml:space="preserve"> (see Section </w:t>
      </w:r>
      <w:r w:rsidR="163C02EE" w:rsidRPr="500AFCFA">
        <w:rPr>
          <w:rFonts w:eastAsiaTheme="minorEastAsia"/>
          <w:sz w:val="22"/>
          <w:szCs w:val="22"/>
        </w:rPr>
        <w:t>F</w:t>
      </w:r>
      <w:r w:rsidR="0A55D8E5" w:rsidRPr="500AFCFA">
        <w:rPr>
          <w:rFonts w:eastAsiaTheme="minorEastAsia"/>
          <w:sz w:val="22"/>
          <w:szCs w:val="22"/>
        </w:rPr>
        <w:t xml:space="preserve"> for further elaboration on steps that ought to be taken to pursue this aim).</w:t>
      </w:r>
      <w:r w:rsidR="001A5773">
        <w:rPr>
          <w:rStyle w:val="EndnoteReference"/>
          <w:rFonts w:eastAsiaTheme="minorEastAsia"/>
          <w:sz w:val="22"/>
          <w:szCs w:val="22"/>
        </w:rPr>
        <w:endnoteReference w:id="26"/>
      </w:r>
      <w:r w:rsidR="001A5773" w:rsidRPr="001A5773">
        <w:rPr>
          <w:rFonts w:eastAsiaTheme="minorEastAsia"/>
          <w:sz w:val="22"/>
          <w:szCs w:val="22"/>
          <w:vertAlign w:val="superscript"/>
        </w:rPr>
        <w:t>,</w:t>
      </w:r>
      <w:r w:rsidR="001A5773">
        <w:rPr>
          <w:rStyle w:val="EndnoteReference"/>
          <w:rFonts w:eastAsiaTheme="minorEastAsia"/>
          <w:sz w:val="22"/>
          <w:szCs w:val="22"/>
        </w:rPr>
        <w:endnoteReference w:id="27"/>
      </w:r>
    </w:p>
    <w:p w14:paraId="40B6CEE0" w14:textId="49BA4646" w:rsidR="00F52654" w:rsidRPr="00893E63" w:rsidRDefault="4442F025" w:rsidP="00280A9E">
      <w:pPr>
        <w:pStyle w:val="ListParagraph"/>
        <w:numPr>
          <w:ilvl w:val="0"/>
          <w:numId w:val="24"/>
        </w:numPr>
        <w:rPr>
          <w:rFonts w:eastAsiaTheme="minorEastAsia"/>
          <w:i/>
          <w:iCs/>
          <w:sz w:val="22"/>
          <w:szCs w:val="22"/>
        </w:rPr>
      </w:pPr>
      <w:r w:rsidRPr="00893E63">
        <w:rPr>
          <w:i/>
          <w:iCs/>
          <w:sz w:val="22"/>
          <w:szCs w:val="22"/>
        </w:rPr>
        <w:t>B</w:t>
      </w:r>
      <w:r w:rsidR="13ACDB37" w:rsidRPr="00893E63">
        <w:rPr>
          <w:i/>
          <w:iCs/>
          <w:sz w:val="22"/>
          <w:szCs w:val="22"/>
        </w:rPr>
        <w:t xml:space="preserve">eneficence </w:t>
      </w:r>
      <w:r w:rsidR="13ACDB37" w:rsidRPr="00893E63">
        <w:rPr>
          <w:sz w:val="22"/>
          <w:szCs w:val="22"/>
        </w:rPr>
        <w:t>– Act in a way that promotes patients’ well-being to the greatest extent possible given resource constraints by proactively clarifying patient goals of care (i.e., patient wishes, beliefs, and values regarding their treatment) in relation to their critical care needs, providing a range of care options, ensuring continuity of care for all patients appropriate to their clinical circumstances, including those whose critical care needs cannot be met, and ensuring no patient is left without care</w:t>
      </w:r>
      <w:r w:rsidR="00893E63">
        <w:rPr>
          <w:sz w:val="22"/>
          <w:szCs w:val="22"/>
        </w:rPr>
        <w:t xml:space="preserve"> (i.e., non-abandonment)</w:t>
      </w:r>
      <w:r w:rsidR="13ACDB37" w:rsidRPr="00893E63">
        <w:rPr>
          <w:sz w:val="22"/>
          <w:szCs w:val="22"/>
        </w:rPr>
        <w:t xml:space="preserve">. Beneficence also requires health systems to provide accommodation for patients with disabilities to maximize their participation in care and </w:t>
      </w:r>
      <w:r w:rsidR="13ACDB37" w:rsidRPr="00893E63">
        <w:rPr>
          <w:sz w:val="22"/>
          <w:szCs w:val="22"/>
        </w:rPr>
        <w:lastRenderedPageBreak/>
        <w:t>decision-making. Although resource scarcity in a pandemic may limit the ability to meet all patient needs, maintaining a caring relationship with all patients is essential.</w:t>
      </w:r>
      <w:r w:rsidR="00893E63">
        <w:rPr>
          <w:sz w:val="22"/>
          <w:szCs w:val="22"/>
        </w:rPr>
        <w:t xml:space="preserve"> </w:t>
      </w:r>
      <w:r w:rsidR="20D69B91" w:rsidRPr="00893E63">
        <w:rPr>
          <w:sz w:val="22"/>
          <w:szCs w:val="22"/>
        </w:rPr>
        <w:t xml:space="preserve">Every effort to provide culturally safe and appropriate care should be made. </w:t>
      </w:r>
    </w:p>
    <w:p w14:paraId="176CB326" w14:textId="478760A8" w:rsidR="005D7AEB" w:rsidRPr="00893E63" w:rsidRDefault="005D7AEB" w:rsidP="00280A9E">
      <w:pPr>
        <w:pStyle w:val="ListParagraph"/>
        <w:numPr>
          <w:ilvl w:val="0"/>
          <w:numId w:val="19"/>
        </w:numPr>
        <w:rPr>
          <w:rFonts w:eastAsiaTheme="minorEastAsia"/>
          <w:sz w:val="22"/>
          <w:szCs w:val="22"/>
        </w:rPr>
      </w:pPr>
      <w:r w:rsidRPr="00893E63">
        <w:rPr>
          <w:i/>
          <w:iCs/>
          <w:sz w:val="22"/>
          <w:szCs w:val="22"/>
        </w:rPr>
        <w:t xml:space="preserve">Respect for Autonomy </w:t>
      </w:r>
      <w:r w:rsidRPr="00893E63">
        <w:rPr>
          <w:sz w:val="22"/>
          <w:szCs w:val="22"/>
        </w:rPr>
        <w:t xml:space="preserve">– Ensure all patients have a chance to make their goals and wishes known and to have treatment provided in alignment with these goals and wishes wherever possible. Patients (or their substitute decision-makers) may need support to make free and informed decisions about their care. To ensure effective communication and informed decision-making, individual patients may require accommodations (e.g., plain language, use of communication devices, interpretation services) and/or participation of </w:t>
      </w:r>
      <w:r w:rsidR="00893E63">
        <w:rPr>
          <w:sz w:val="22"/>
          <w:szCs w:val="22"/>
        </w:rPr>
        <w:t xml:space="preserve">an </w:t>
      </w:r>
      <w:r w:rsidRPr="00893E63">
        <w:rPr>
          <w:sz w:val="22"/>
          <w:szCs w:val="22"/>
        </w:rPr>
        <w:t xml:space="preserve">attendant care worker or other support person to the extent possible in an infection control context. </w:t>
      </w:r>
    </w:p>
    <w:p w14:paraId="24DCD98B" w14:textId="4EF64D56" w:rsidR="00700086" w:rsidRDefault="0904C671" w:rsidP="00280A9E">
      <w:pPr>
        <w:pStyle w:val="ListParagraph"/>
        <w:numPr>
          <w:ilvl w:val="0"/>
          <w:numId w:val="19"/>
        </w:numPr>
        <w:rPr>
          <w:b/>
          <w:bCs/>
          <w:u w:val="single"/>
        </w:rPr>
      </w:pPr>
      <w:r w:rsidRPr="00893E63">
        <w:rPr>
          <w:i/>
          <w:iCs/>
          <w:sz w:val="22"/>
          <w:szCs w:val="22"/>
        </w:rPr>
        <w:t>Accountability</w:t>
      </w:r>
      <w:r w:rsidRPr="00893E63">
        <w:rPr>
          <w:sz w:val="22"/>
          <w:szCs w:val="22"/>
        </w:rPr>
        <w:t xml:space="preserve"> –</w:t>
      </w:r>
      <w:r w:rsidRPr="00893E63">
        <w:t xml:space="preserve"> </w:t>
      </w:r>
      <w:r w:rsidRPr="00893E63">
        <w:rPr>
          <w:sz w:val="22"/>
          <w:szCs w:val="22"/>
        </w:rPr>
        <w:t>Remain answerable for decisions made in the context of triage. This means communicating triage decisions, including the criteria used to make those decisions and publicizing the grounds on which they will be made, in an open and honest manner to patients or their substitute decision-makers and to the broader community served.</w:t>
      </w:r>
      <w:r w:rsidR="00577096">
        <w:rPr>
          <w:sz w:val="22"/>
          <w:szCs w:val="22"/>
        </w:rPr>
        <w:t xml:space="preserve"> </w:t>
      </w:r>
      <w:r w:rsidR="00577096" w:rsidRPr="00577096">
        <w:rPr>
          <w:sz w:val="22"/>
          <w:szCs w:val="22"/>
        </w:rPr>
        <w:t>It entails implementing a rapid, user-friendly</w:t>
      </w:r>
      <w:r w:rsidR="00577096">
        <w:rPr>
          <w:sz w:val="22"/>
          <w:szCs w:val="22"/>
        </w:rPr>
        <w:t>,</w:t>
      </w:r>
      <w:r w:rsidR="00577096" w:rsidRPr="00577096">
        <w:rPr>
          <w:sz w:val="22"/>
          <w:szCs w:val="22"/>
        </w:rPr>
        <w:t xml:space="preserve"> and transparent appeals system for such restrictions.</w:t>
      </w:r>
      <w:r w:rsidR="00577096">
        <w:rPr>
          <w:sz w:val="22"/>
          <w:szCs w:val="22"/>
        </w:rPr>
        <w:t xml:space="preserve"> </w:t>
      </w:r>
      <w:r w:rsidRPr="00893E63">
        <w:rPr>
          <w:sz w:val="22"/>
          <w:szCs w:val="22"/>
        </w:rPr>
        <w:t>It also involves collecting data on the triage decision-making process and outcomes</w:t>
      </w:r>
      <w:r w:rsidR="000C5F9F">
        <w:rPr>
          <w:sz w:val="22"/>
          <w:szCs w:val="22"/>
        </w:rPr>
        <w:t>, and</w:t>
      </w:r>
      <w:r w:rsidRPr="00893E63">
        <w:rPr>
          <w:sz w:val="22"/>
          <w:szCs w:val="22"/>
        </w:rPr>
        <w:t xml:space="preserve"> monitoring the implementation</w:t>
      </w:r>
      <w:r w:rsidRPr="109A04B4">
        <w:rPr>
          <w:sz w:val="22"/>
          <w:szCs w:val="22"/>
        </w:rPr>
        <w:t xml:space="preserve"> of the triage approach to ensure decisions are based on best clinical evidence and expertise supported by ethical reasoning. Triage decisions, </w:t>
      </w:r>
      <w:r w:rsidR="000C5F9F">
        <w:rPr>
          <w:sz w:val="22"/>
          <w:szCs w:val="22"/>
        </w:rPr>
        <w:t xml:space="preserve">triage </w:t>
      </w:r>
      <w:r w:rsidRPr="109A04B4">
        <w:rPr>
          <w:sz w:val="22"/>
          <w:szCs w:val="22"/>
        </w:rPr>
        <w:t xml:space="preserve">criteria, and </w:t>
      </w:r>
      <w:r w:rsidR="000C5F9F">
        <w:rPr>
          <w:sz w:val="22"/>
          <w:szCs w:val="22"/>
        </w:rPr>
        <w:t xml:space="preserve">triage </w:t>
      </w:r>
      <w:r w:rsidRPr="109A04B4">
        <w:rPr>
          <w:sz w:val="22"/>
          <w:szCs w:val="22"/>
        </w:rPr>
        <w:t>processes should be evaluated at regular intervals at local, regional</w:t>
      </w:r>
      <w:r w:rsidR="000C5F9F">
        <w:rPr>
          <w:sz w:val="22"/>
          <w:szCs w:val="22"/>
        </w:rPr>
        <w:t>,</w:t>
      </w:r>
      <w:r w:rsidRPr="109A04B4">
        <w:rPr>
          <w:sz w:val="22"/>
          <w:szCs w:val="22"/>
        </w:rPr>
        <w:t xml:space="preserve"> and provincial levels to assess the extent to which they are clinically and ethically justified.</w:t>
      </w:r>
      <w:r>
        <w:br/>
      </w:r>
    </w:p>
    <w:p w14:paraId="239FDC2A" w14:textId="4266CBFB" w:rsidR="495699A8" w:rsidRPr="00163BC5" w:rsidRDefault="495699A8" w:rsidP="00280A9E">
      <w:pPr>
        <w:contextualSpacing/>
        <w:rPr>
          <w:sz w:val="22"/>
          <w:szCs w:val="22"/>
        </w:rPr>
      </w:pPr>
      <w:r w:rsidRPr="00163BC5">
        <w:rPr>
          <w:i/>
          <w:iCs/>
          <w:sz w:val="22"/>
          <w:szCs w:val="22"/>
        </w:rPr>
        <w:t>Applying the Ethical Principles</w:t>
      </w:r>
    </w:p>
    <w:p w14:paraId="0DA2A64C" w14:textId="1FE3A075" w:rsidR="006F0788" w:rsidRDefault="7DCADF0D" w:rsidP="00280A9E">
      <w:pPr>
        <w:contextualSpacing/>
        <w:rPr>
          <w:sz w:val="22"/>
          <w:szCs w:val="22"/>
        </w:rPr>
      </w:pPr>
      <w:r w:rsidRPr="109A04B4">
        <w:rPr>
          <w:sz w:val="22"/>
          <w:szCs w:val="22"/>
        </w:rPr>
        <w:t>In a pandemic context, t</w:t>
      </w:r>
      <w:r w:rsidR="299D9403" w:rsidRPr="109A04B4">
        <w:rPr>
          <w:sz w:val="22"/>
          <w:szCs w:val="22"/>
        </w:rPr>
        <w:t xml:space="preserve">here is an intrinsic tension between some of the ethical principles outlined above. </w:t>
      </w:r>
      <w:r w:rsidR="303A5BD4" w:rsidRPr="109A04B4">
        <w:rPr>
          <w:sz w:val="22"/>
          <w:szCs w:val="22"/>
        </w:rPr>
        <w:t>On the one hand, a</w:t>
      </w:r>
      <w:r w:rsidR="299D9403" w:rsidRPr="109A04B4">
        <w:rPr>
          <w:sz w:val="22"/>
          <w:szCs w:val="22"/>
        </w:rPr>
        <w:t xml:space="preserve"> </w:t>
      </w:r>
      <w:r w:rsidR="382468BF" w:rsidRPr="109A04B4">
        <w:rPr>
          <w:sz w:val="22"/>
          <w:szCs w:val="22"/>
        </w:rPr>
        <w:t>criteria</w:t>
      </w:r>
      <w:r w:rsidR="299D9403" w:rsidRPr="109A04B4">
        <w:rPr>
          <w:sz w:val="22"/>
          <w:szCs w:val="22"/>
        </w:rPr>
        <w:t xml:space="preserve">-based triage </w:t>
      </w:r>
      <w:r w:rsidR="303A5BD4" w:rsidRPr="109A04B4">
        <w:rPr>
          <w:sz w:val="22"/>
          <w:szCs w:val="22"/>
        </w:rPr>
        <w:t>approach</w:t>
      </w:r>
      <w:r w:rsidR="299D9403" w:rsidRPr="109A04B4">
        <w:rPr>
          <w:sz w:val="22"/>
          <w:szCs w:val="22"/>
        </w:rPr>
        <w:t xml:space="preserve"> that focuse</w:t>
      </w:r>
      <w:r w:rsidR="382468BF" w:rsidRPr="109A04B4">
        <w:rPr>
          <w:sz w:val="22"/>
          <w:szCs w:val="22"/>
        </w:rPr>
        <w:t>s</w:t>
      </w:r>
      <w:r w:rsidR="303A5BD4" w:rsidRPr="109A04B4">
        <w:rPr>
          <w:sz w:val="22"/>
          <w:szCs w:val="22"/>
        </w:rPr>
        <w:t xml:space="preserve"> on </w:t>
      </w:r>
      <w:r w:rsidR="75E28A03" w:rsidRPr="109A04B4">
        <w:rPr>
          <w:sz w:val="22"/>
          <w:szCs w:val="22"/>
        </w:rPr>
        <w:t>an individual clinical assessment of</w:t>
      </w:r>
      <w:r w:rsidR="00893E63">
        <w:rPr>
          <w:sz w:val="22"/>
          <w:szCs w:val="22"/>
        </w:rPr>
        <w:t xml:space="preserve"> predicted</w:t>
      </w:r>
      <w:r w:rsidR="27493EE8" w:rsidRPr="109A04B4">
        <w:rPr>
          <w:sz w:val="22"/>
          <w:szCs w:val="22"/>
        </w:rPr>
        <w:t xml:space="preserve"> short-term</w:t>
      </w:r>
      <w:r w:rsidR="75E28A03" w:rsidRPr="109A04B4">
        <w:rPr>
          <w:sz w:val="22"/>
          <w:szCs w:val="22"/>
        </w:rPr>
        <w:t xml:space="preserve"> </w:t>
      </w:r>
      <w:r w:rsidR="382468BF" w:rsidRPr="109A04B4">
        <w:rPr>
          <w:sz w:val="22"/>
          <w:szCs w:val="22"/>
        </w:rPr>
        <w:t>mortality</w:t>
      </w:r>
      <w:r w:rsidR="299D9403" w:rsidRPr="109A04B4">
        <w:rPr>
          <w:sz w:val="22"/>
          <w:szCs w:val="22"/>
        </w:rPr>
        <w:t xml:space="preserve"> </w:t>
      </w:r>
      <w:r w:rsidR="00893E63">
        <w:rPr>
          <w:sz w:val="22"/>
          <w:szCs w:val="22"/>
        </w:rPr>
        <w:t xml:space="preserve">risk </w:t>
      </w:r>
      <w:r w:rsidR="299D9403" w:rsidRPr="109A04B4">
        <w:rPr>
          <w:sz w:val="22"/>
          <w:szCs w:val="22"/>
        </w:rPr>
        <w:t>and not on any other factors (demographic</w:t>
      </w:r>
      <w:r w:rsidR="27493EE8" w:rsidRPr="109A04B4">
        <w:rPr>
          <w:sz w:val="22"/>
          <w:szCs w:val="22"/>
        </w:rPr>
        <w:t>s</w:t>
      </w:r>
      <w:r w:rsidR="299D9403" w:rsidRPr="109A04B4">
        <w:rPr>
          <w:sz w:val="22"/>
          <w:szCs w:val="22"/>
        </w:rPr>
        <w:t>, quality of life,</w:t>
      </w:r>
      <w:r w:rsidR="00577096">
        <w:rPr>
          <w:sz w:val="22"/>
          <w:szCs w:val="22"/>
        </w:rPr>
        <w:t xml:space="preserve"> disability, s</w:t>
      </w:r>
      <w:r w:rsidR="299D9403" w:rsidRPr="109A04B4">
        <w:rPr>
          <w:sz w:val="22"/>
          <w:szCs w:val="22"/>
        </w:rPr>
        <w:t xml:space="preserve">ocial standing, etc.) </w:t>
      </w:r>
      <w:r w:rsidR="303A5BD4" w:rsidRPr="109A04B4">
        <w:rPr>
          <w:sz w:val="22"/>
          <w:szCs w:val="22"/>
        </w:rPr>
        <w:t xml:space="preserve">offers a defensible way to reconcile </w:t>
      </w:r>
      <w:r w:rsidR="2E2A3777" w:rsidRPr="109A04B4">
        <w:rPr>
          <w:sz w:val="22"/>
          <w:szCs w:val="22"/>
        </w:rPr>
        <w:t>some of the</w:t>
      </w:r>
      <w:r w:rsidR="303A5BD4" w:rsidRPr="109A04B4">
        <w:rPr>
          <w:sz w:val="22"/>
          <w:szCs w:val="22"/>
        </w:rPr>
        <w:t xml:space="preserve"> tension</w:t>
      </w:r>
      <w:r w:rsidR="2E2A3777" w:rsidRPr="109A04B4">
        <w:rPr>
          <w:sz w:val="22"/>
          <w:szCs w:val="22"/>
        </w:rPr>
        <w:t>s</w:t>
      </w:r>
      <w:r w:rsidR="303A5BD4" w:rsidRPr="109A04B4">
        <w:rPr>
          <w:sz w:val="22"/>
          <w:szCs w:val="22"/>
        </w:rPr>
        <w:t xml:space="preserve"> between</w:t>
      </w:r>
      <w:r w:rsidR="000C5F9F">
        <w:rPr>
          <w:sz w:val="22"/>
          <w:szCs w:val="22"/>
        </w:rPr>
        <w:t>, for instance,</w:t>
      </w:r>
      <w:r w:rsidR="303A5BD4" w:rsidRPr="109A04B4">
        <w:rPr>
          <w:sz w:val="22"/>
          <w:szCs w:val="22"/>
        </w:rPr>
        <w:t xml:space="preserve"> </w:t>
      </w:r>
      <w:r w:rsidR="2E2A3777" w:rsidRPr="109A04B4">
        <w:rPr>
          <w:sz w:val="22"/>
          <w:szCs w:val="22"/>
        </w:rPr>
        <w:t xml:space="preserve">the principle </w:t>
      </w:r>
      <w:r w:rsidR="303A5BD4" w:rsidRPr="109A04B4">
        <w:rPr>
          <w:sz w:val="22"/>
          <w:szCs w:val="22"/>
        </w:rPr>
        <w:t xml:space="preserve">of </w:t>
      </w:r>
      <w:r w:rsidR="00280A9E">
        <w:rPr>
          <w:sz w:val="22"/>
          <w:szCs w:val="22"/>
        </w:rPr>
        <w:t xml:space="preserve">prioritizing those </w:t>
      </w:r>
      <w:r w:rsidR="000D3F1A">
        <w:rPr>
          <w:sz w:val="22"/>
          <w:szCs w:val="22"/>
        </w:rPr>
        <w:t>with the greatest likelihood of survival</w:t>
      </w:r>
      <w:r w:rsidR="75E28A03" w:rsidRPr="109A04B4">
        <w:rPr>
          <w:sz w:val="22"/>
          <w:szCs w:val="22"/>
        </w:rPr>
        <w:t xml:space="preserve"> </w:t>
      </w:r>
      <w:r w:rsidR="303A5BD4" w:rsidRPr="109A04B4">
        <w:rPr>
          <w:sz w:val="22"/>
          <w:szCs w:val="22"/>
        </w:rPr>
        <w:t xml:space="preserve">and </w:t>
      </w:r>
      <w:r w:rsidR="2E2A3777" w:rsidRPr="109A04B4">
        <w:rPr>
          <w:sz w:val="22"/>
          <w:szCs w:val="22"/>
        </w:rPr>
        <w:t>principle</w:t>
      </w:r>
      <w:r w:rsidR="1279574E" w:rsidRPr="109A04B4">
        <w:rPr>
          <w:sz w:val="22"/>
          <w:szCs w:val="22"/>
        </w:rPr>
        <w:t>s</w:t>
      </w:r>
      <w:r w:rsidR="2E2A3777" w:rsidRPr="109A04B4">
        <w:rPr>
          <w:sz w:val="22"/>
          <w:szCs w:val="22"/>
        </w:rPr>
        <w:t xml:space="preserve"> of </w:t>
      </w:r>
      <w:r w:rsidR="0E9FA0EF" w:rsidRPr="109A04B4">
        <w:rPr>
          <w:sz w:val="22"/>
          <w:szCs w:val="22"/>
        </w:rPr>
        <w:t>fairness (</w:t>
      </w:r>
      <w:r w:rsidR="00893E63">
        <w:rPr>
          <w:sz w:val="22"/>
          <w:szCs w:val="22"/>
        </w:rPr>
        <w:t>e.g</w:t>
      </w:r>
      <w:r w:rsidR="0E9FA0EF" w:rsidRPr="109A04B4">
        <w:rPr>
          <w:sz w:val="22"/>
          <w:szCs w:val="22"/>
        </w:rPr>
        <w:t xml:space="preserve">., </w:t>
      </w:r>
      <w:r w:rsidR="1279574E" w:rsidRPr="109A04B4">
        <w:rPr>
          <w:sz w:val="22"/>
          <w:szCs w:val="22"/>
        </w:rPr>
        <w:t>non-discrimination</w:t>
      </w:r>
      <w:r w:rsidR="27493EE8" w:rsidRPr="109A04B4">
        <w:rPr>
          <w:sz w:val="22"/>
          <w:szCs w:val="22"/>
        </w:rPr>
        <w:t xml:space="preserve">, </w:t>
      </w:r>
      <w:r w:rsidR="303A5BD4" w:rsidRPr="109A04B4">
        <w:rPr>
          <w:sz w:val="22"/>
          <w:szCs w:val="22"/>
        </w:rPr>
        <w:t>equity</w:t>
      </w:r>
      <w:r w:rsidR="31C09640" w:rsidRPr="109A04B4">
        <w:rPr>
          <w:sz w:val="22"/>
          <w:szCs w:val="22"/>
        </w:rPr>
        <w:t>)</w:t>
      </w:r>
      <w:r w:rsidR="17241A9D" w:rsidRPr="109A04B4">
        <w:rPr>
          <w:sz w:val="22"/>
          <w:szCs w:val="22"/>
        </w:rPr>
        <w:t>.</w:t>
      </w:r>
      <w:r w:rsidR="1D92534C" w:rsidRPr="109A04B4">
        <w:rPr>
          <w:sz w:val="22"/>
          <w:szCs w:val="22"/>
        </w:rPr>
        <w:t xml:space="preserve"> </w:t>
      </w:r>
      <w:r w:rsidR="303A5BD4" w:rsidRPr="109A04B4">
        <w:rPr>
          <w:sz w:val="22"/>
          <w:szCs w:val="22"/>
        </w:rPr>
        <w:t>On the other hand, for</w:t>
      </w:r>
      <w:r w:rsidR="1D92534C" w:rsidRPr="109A04B4">
        <w:rPr>
          <w:sz w:val="22"/>
          <w:szCs w:val="22"/>
        </w:rPr>
        <w:t xml:space="preserve"> patients </w:t>
      </w:r>
      <w:r w:rsidR="303A5BD4" w:rsidRPr="109A04B4">
        <w:rPr>
          <w:sz w:val="22"/>
          <w:szCs w:val="22"/>
        </w:rPr>
        <w:t xml:space="preserve">who </w:t>
      </w:r>
      <w:r w:rsidR="17241A9D" w:rsidRPr="109A04B4">
        <w:rPr>
          <w:sz w:val="22"/>
          <w:szCs w:val="22"/>
        </w:rPr>
        <w:t>might wish</w:t>
      </w:r>
      <w:r w:rsidR="00893E63">
        <w:rPr>
          <w:sz w:val="22"/>
          <w:szCs w:val="22"/>
        </w:rPr>
        <w:t xml:space="preserve"> to receive but are not prioritized </w:t>
      </w:r>
      <w:r w:rsidR="17241A9D" w:rsidRPr="109A04B4">
        <w:rPr>
          <w:sz w:val="22"/>
          <w:szCs w:val="22"/>
        </w:rPr>
        <w:t>for critical</w:t>
      </w:r>
      <w:r w:rsidR="003069CD">
        <w:rPr>
          <w:sz w:val="22"/>
          <w:szCs w:val="22"/>
        </w:rPr>
        <w:t xml:space="preserve"> care</w:t>
      </w:r>
      <w:r w:rsidR="1D92534C" w:rsidRPr="109A04B4">
        <w:rPr>
          <w:sz w:val="22"/>
          <w:szCs w:val="22"/>
        </w:rPr>
        <w:t>,</w:t>
      </w:r>
      <w:r w:rsidR="303A5BD4" w:rsidRPr="109A04B4">
        <w:rPr>
          <w:sz w:val="22"/>
          <w:szCs w:val="22"/>
        </w:rPr>
        <w:t xml:space="preserve"> the pandemic context creates a tension between</w:t>
      </w:r>
      <w:r w:rsidR="000C5F9F">
        <w:rPr>
          <w:sz w:val="22"/>
          <w:szCs w:val="22"/>
        </w:rPr>
        <w:t>, for instance,</w:t>
      </w:r>
      <w:r w:rsidR="1D92534C" w:rsidRPr="109A04B4">
        <w:rPr>
          <w:sz w:val="22"/>
          <w:szCs w:val="22"/>
        </w:rPr>
        <w:t xml:space="preserve"> the principle</w:t>
      </w:r>
      <w:r w:rsidRPr="109A04B4">
        <w:rPr>
          <w:sz w:val="22"/>
          <w:szCs w:val="22"/>
        </w:rPr>
        <w:t>s</w:t>
      </w:r>
      <w:r w:rsidR="1D92534C" w:rsidRPr="109A04B4">
        <w:rPr>
          <w:sz w:val="22"/>
          <w:szCs w:val="22"/>
        </w:rPr>
        <w:t xml:space="preserve"> of</w:t>
      </w:r>
      <w:r w:rsidR="000D3F1A" w:rsidRPr="109A04B4">
        <w:rPr>
          <w:sz w:val="22"/>
          <w:szCs w:val="22"/>
        </w:rPr>
        <w:t xml:space="preserve"> </w:t>
      </w:r>
      <w:r w:rsidR="000D3F1A">
        <w:rPr>
          <w:sz w:val="22"/>
          <w:szCs w:val="22"/>
        </w:rPr>
        <w:t>prioritizing those with the greatest likelihood of survival</w:t>
      </w:r>
      <w:r w:rsidR="000D3F1A" w:rsidRPr="109A04B4">
        <w:rPr>
          <w:sz w:val="22"/>
          <w:szCs w:val="22"/>
        </w:rPr>
        <w:t xml:space="preserve"> </w:t>
      </w:r>
      <w:r w:rsidR="303A5BD4" w:rsidRPr="109A04B4">
        <w:rPr>
          <w:sz w:val="22"/>
          <w:szCs w:val="22"/>
        </w:rPr>
        <w:t>and respect for</w:t>
      </w:r>
      <w:r w:rsidR="1D92534C" w:rsidRPr="109A04B4">
        <w:rPr>
          <w:sz w:val="22"/>
          <w:szCs w:val="22"/>
        </w:rPr>
        <w:t xml:space="preserve"> autonomy</w:t>
      </w:r>
      <w:r w:rsidRPr="109A04B4">
        <w:rPr>
          <w:sz w:val="22"/>
          <w:szCs w:val="22"/>
        </w:rPr>
        <w:t>, and underscores the importance of the principle of beneficence to ensure all patients receive care even if critical care treatment is not available.</w:t>
      </w:r>
    </w:p>
    <w:p w14:paraId="4178F5CE" w14:textId="77777777" w:rsidR="00720862" w:rsidRDefault="00720862" w:rsidP="00280A9E">
      <w:pPr>
        <w:contextualSpacing/>
        <w:rPr>
          <w:sz w:val="22"/>
          <w:szCs w:val="22"/>
        </w:rPr>
      </w:pPr>
    </w:p>
    <w:p w14:paraId="274B7296" w14:textId="380F1581" w:rsidR="006F0788" w:rsidRPr="00F12867" w:rsidRDefault="00893E63" w:rsidP="00280A9E">
      <w:pPr>
        <w:contextualSpacing/>
        <w:rPr>
          <w:sz w:val="22"/>
          <w:szCs w:val="22"/>
        </w:rPr>
      </w:pPr>
      <w:r>
        <w:rPr>
          <w:sz w:val="22"/>
          <w:szCs w:val="22"/>
        </w:rPr>
        <w:t>With that being said, t</w:t>
      </w:r>
      <w:r w:rsidR="00F12867" w:rsidRPr="4769E595">
        <w:rPr>
          <w:sz w:val="22"/>
          <w:szCs w:val="22"/>
        </w:rPr>
        <w:t xml:space="preserve">he guiding ethical principles and human rights commitments enumerated above entail certain actions </w:t>
      </w:r>
      <w:r w:rsidR="000C5F9F">
        <w:rPr>
          <w:sz w:val="22"/>
          <w:szCs w:val="22"/>
        </w:rPr>
        <w:t xml:space="preserve">or prohibitions </w:t>
      </w:r>
      <w:r w:rsidR="00F12867" w:rsidRPr="4769E595">
        <w:rPr>
          <w:sz w:val="22"/>
          <w:szCs w:val="22"/>
        </w:rPr>
        <w:t>in the context of a triage approach:</w:t>
      </w:r>
      <w:r w:rsidR="001A5773">
        <w:rPr>
          <w:rStyle w:val="FootnoteReference"/>
          <w:sz w:val="22"/>
          <w:szCs w:val="22"/>
        </w:rPr>
        <w:footnoteReference w:id="7"/>
      </w:r>
    </w:p>
    <w:p w14:paraId="0D3B649B" w14:textId="505EB7AA" w:rsidR="000B5C97" w:rsidRDefault="6B2D5867" w:rsidP="00280A9E">
      <w:pPr>
        <w:pStyle w:val="ListParagraph"/>
        <w:numPr>
          <w:ilvl w:val="0"/>
          <w:numId w:val="27"/>
        </w:numPr>
        <w:rPr>
          <w:sz w:val="22"/>
          <w:szCs w:val="22"/>
        </w:rPr>
      </w:pPr>
      <w:bookmarkStart w:id="6" w:name="_Hlk46742804"/>
      <w:r w:rsidRPr="109A04B4">
        <w:rPr>
          <w:sz w:val="22"/>
          <w:szCs w:val="22"/>
        </w:rPr>
        <w:t>Critical care triage</w:t>
      </w:r>
      <w:r w:rsidR="000B5C97" w:rsidRPr="109A04B4">
        <w:rPr>
          <w:sz w:val="22"/>
          <w:szCs w:val="22"/>
        </w:rPr>
        <w:t xml:space="preserve"> </w:t>
      </w:r>
      <w:r w:rsidR="74AA3891" w:rsidRPr="109A04B4">
        <w:rPr>
          <w:sz w:val="22"/>
          <w:szCs w:val="22"/>
        </w:rPr>
        <w:t>should</w:t>
      </w:r>
      <w:r w:rsidR="000B5C97" w:rsidRPr="109A04B4">
        <w:rPr>
          <w:sz w:val="22"/>
          <w:szCs w:val="22"/>
        </w:rPr>
        <w:t xml:space="preserve"> only be enacted in the context of a major surge in demand for critical care (as defined above) and only once a decision to initiate triage has been made by the Ontario Health Critical Care Command Centre.</w:t>
      </w:r>
    </w:p>
    <w:p w14:paraId="40928DCA" w14:textId="55D309EB" w:rsidR="000B5C97" w:rsidRDefault="1EE8CFAA" w:rsidP="00280A9E">
      <w:pPr>
        <w:pStyle w:val="ListParagraph"/>
        <w:numPr>
          <w:ilvl w:val="0"/>
          <w:numId w:val="27"/>
        </w:numPr>
        <w:rPr>
          <w:sz w:val="22"/>
          <w:szCs w:val="22"/>
        </w:rPr>
      </w:pPr>
      <w:r w:rsidRPr="3FBED579">
        <w:rPr>
          <w:sz w:val="22"/>
          <w:szCs w:val="22"/>
        </w:rPr>
        <w:t>Critical care triage</w:t>
      </w:r>
      <w:r w:rsidR="000B5C97" w:rsidRPr="3FBED579">
        <w:rPr>
          <w:sz w:val="22"/>
          <w:szCs w:val="22"/>
        </w:rPr>
        <w:t xml:space="preserve"> </w:t>
      </w:r>
      <w:r w:rsidR="74AA3891" w:rsidRPr="3FBED579">
        <w:rPr>
          <w:sz w:val="22"/>
          <w:szCs w:val="22"/>
        </w:rPr>
        <w:t>should</w:t>
      </w:r>
      <w:r w:rsidR="000B5C97" w:rsidRPr="3FBED579">
        <w:rPr>
          <w:sz w:val="22"/>
          <w:szCs w:val="22"/>
        </w:rPr>
        <w:t xml:space="preserve"> only be enacted in the context of allocating critical care resources, such as ICU beds and ventilators. </w:t>
      </w:r>
      <w:r w:rsidR="50392F50" w:rsidRPr="3FBED579">
        <w:rPr>
          <w:sz w:val="22"/>
          <w:szCs w:val="22"/>
        </w:rPr>
        <w:t xml:space="preserve">Critical care triage </w:t>
      </w:r>
      <w:r w:rsidR="000B5C97" w:rsidRPr="3FBED579">
        <w:rPr>
          <w:sz w:val="22"/>
          <w:szCs w:val="22"/>
        </w:rPr>
        <w:t xml:space="preserve">should not be used to guide </w:t>
      </w:r>
      <w:r w:rsidR="12E36BB4" w:rsidRPr="3FBED579">
        <w:rPr>
          <w:sz w:val="22"/>
          <w:szCs w:val="22"/>
        </w:rPr>
        <w:t xml:space="preserve">allocation </w:t>
      </w:r>
      <w:r w:rsidR="0FFF2BFA" w:rsidRPr="3FBED579">
        <w:rPr>
          <w:sz w:val="22"/>
          <w:szCs w:val="22"/>
        </w:rPr>
        <w:t>decisions</w:t>
      </w:r>
      <w:r w:rsidR="16E0909D" w:rsidRPr="3FBED579">
        <w:rPr>
          <w:sz w:val="22"/>
          <w:szCs w:val="22"/>
        </w:rPr>
        <w:t xml:space="preserve"> in other clinical contexts</w:t>
      </w:r>
      <w:r w:rsidR="000B5C97" w:rsidRPr="3FBED579">
        <w:rPr>
          <w:sz w:val="22"/>
          <w:szCs w:val="22"/>
        </w:rPr>
        <w:t>.</w:t>
      </w:r>
    </w:p>
    <w:p w14:paraId="024C8D8F" w14:textId="79D99EFC" w:rsidR="00C42B1C" w:rsidRPr="000B5C97" w:rsidRDefault="006F0788" w:rsidP="00280A9E">
      <w:pPr>
        <w:pStyle w:val="ListParagraph"/>
        <w:numPr>
          <w:ilvl w:val="0"/>
          <w:numId w:val="27"/>
        </w:numPr>
        <w:rPr>
          <w:sz w:val="22"/>
          <w:szCs w:val="22"/>
        </w:rPr>
      </w:pPr>
      <w:r w:rsidRPr="475FEB7E">
        <w:rPr>
          <w:sz w:val="22"/>
          <w:szCs w:val="22"/>
        </w:rPr>
        <w:t xml:space="preserve">A patient’s </w:t>
      </w:r>
      <w:r w:rsidR="0012751E" w:rsidRPr="475FEB7E">
        <w:rPr>
          <w:sz w:val="22"/>
          <w:szCs w:val="22"/>
        </w:rPr>
        <w:t>demographic</w:t>
      </w:r>
      <w:r w:rsidR="7BBC4183" w:rsidRPr="475FEB7E">
        <w:rPr>
          <w:sz w:val="22"/>
          <w:szCs w:val="22"/>
        </w:rPr>
        <w:t xml:space="preserve"> characteristics</w:t>
      </w:r>
      <w:r w:rsidR="004841FB" w:rsidRPr="475FEB7E">
        <w:rPr>
          <w:sz w:val="22"/>
          <w:szCs w:val="22"/>
        </w:rPr>
        <w:t xml:space="preserve"> (e.g., </w:t>
      </w:r>
      <w:r w:rsidR="004D42AE" w:rsidRPr="475FEB7E">
        <w:rPr>
          <w:sz w:val="22"/>
          <w:szCs w:val="22"/>
        </w:rPr>
        <w:t>age</w:t>
      </w:r>
      <w:r w:rsidR="0C397FEE" w:rsidRPr="475FEB7E">
        <w:rPr>
          <w:sz w:val="22"/>
          <w:szCs w:val="22"/>
        </w:rPr>
        <w:t>,</w:t>
      </w:r>
      <w:r w:rsidR="004D42AE" w:rsidRPr="475FEB7E">
        <w:rPr>
          <w:sz w:val="22"/>
          <w:szCs w:val="22"/>
        </w:rPr>
        <w:t xml:space="preserve"> </w:t>
      </w:r>
      <w:r w:rsidR="004841FB" w:rsidRPr="475FEB7E">
        <w:rPr>
          <w:sz w:val="22"/>
          <w:szCs w:val="22"/>
        </w:rPr>
        <w:t>sex, socioeconomic status, Indigenous status, race, ethnicity, gender identity and expression, sexual orientation, creed, family status, marital status, geography, and home setting)</w:t>
      </w:r>
      <w:r w:rsidR="00C42B1C" w:rsidRPr="475FEB7E">
        <w:rPr>
          <w:sz w:val="22"/>
          <w:szCs w:val="22"/>
        </w:rPr>
        <w:t xml:space="preserve"> should never be used as a factor in triage decisions.</w:t>
      </w:r>
      <w:r w:rsidRPr="475FEB7E">
        <w:rPr>
          <w:rStyle w:val="FootnoteReference"/>
          <w:sz w:val="22"/>
          <w:szCs w:val="22"/>
        </w:rPr>
        <w:footnoteReference w:id="8"/>
      </w:r>
    </w:p>
    <w:p w14:paraId="7ABD2B35" w14:textId="2F9D0DE6" w:rsidR="006F0788" w:rsidRDefault="00C42B1C" w:rsidP="00280A9E">
      <w:pPr>
        <w:pStyle w:val="ListParagraph"/>
        <w:numPr>
          <w:ilvl w:val="0"/>
          <w:numId w:val="27"/>
        </w:numPr>
        <w:rPr>
          <w:sz w:val="22"/>
          <w:szCs w:val="22"/>
        </w:rPr>
      </w:pPr>
      <w:r w:rsidRPr="109A04B4">
        <w:rPr>
          <w:sz w:val="22"/>
          <w:szCs w:val="22"/>
        </w:rPr>
        <w:lastRenderedPageBreak/>
        <w:t xml:space="preserve">A patient’s disease or disability </w:t>
      </w:r>
      <w:r w:rsidR="0012751E" w:rsidRPr="109A04B4">
        <w:rPr>
          <w:i/>
          <w:iCs/>
          <w:sz w:val="22"/>
          <w:szCs w:val="22"/>
        </w:rPr>
        <w:t xml:space="preserve">independent of their </w:t>
      </w:r>
      <w:r w:rsidR="00893E63">
        <w:rPr>
          <w:i/>
          <w:iCs/>
          <w:sz w:val="22"/>
          <w:szCs w:val="22"/>
        </w:rPr>
        <w:t xml:space="preserve">predicted </w:t>
      </w:r>
      <w:r w:rsidR="0012751E" w:rsidRPr="109A04B4">
        <w:rPr>
          <w:i/>
          <w:iCs/>
          <w:sz w:val="22"/>
          <w:szCs w:val="22"/>
        </w:rPr>
        <w:t>short-term</w:t>
      </w:r>
      <w:r w:rsidR="00D55D49" w:rsidRPr="109A04B4">
        <w:rPr>
          <w:i/>
          <w:iCs/>
          <w:sz w:val="22"/>
          <w:szCs w:val="22"/>
        </w:rPr>
        <w:t xml:space="preserve"> </w:t>
      </w:r>
      <w:r w:rsidR="0012751E" w:rsidRPr="109A04B4">
        <w:rPr>
          <w:i/>
          <w:iCs/>
          <w:sz w:val="22"/>
          <w:szCs w:val="22"/>
        </w:rPr>
        <w:t>mortality</w:t>
      </w:r>
      <w:r w:rsidR="0012751E" w:rsidRPr="109A04B4">
        <w:rPr>
          <w:sz w:val="22"/>
          <w:szCs w:val="22"/>
        </w:rPr>
        <w:t xml:space="preserve"> </w:t>
      </w:r>
      <w:r w:rsidR="5A95E625" w:rsidRPr="109A04B4">
        <w:rPr>
          <w:i/>
          <w:iCs/>
          <w:sz w:val="22"/>
          <w:szCs w:val="22"/>
        </w:rPr>
        <w:t xml:space="preserve">risk </w:t>
      </w:r>
      <w:r w:rsidR="00D55D49" w:rsidRPr="109A04B4">
        <w:rPr>
          <w:sz w:val="22"/>
          <w:szCs w:val="22"/>
        </w:rPr>
        <w:t>(</w:t>
      </w:r>
      <w:r w:rsidR="38F03C4B" w:rsidRPr="109A04B4">
        <w:rPr>
          <w:sz w:val="22"/>
          <w:szCs w:val="22"/>
        </w:rPr>
        <w:t>see definition of ‘</w:t>
      </w:r>
      <w:r w:rsidR="00893E63">
        <w:rPr>
          <w:sz w:val="22"/>
          <w:szCs w:val="22"/>
        </w:rPr>
        <w:t xml:space="preserve">predicted </w:t>
      </w:r>
      <w:r w:rsidR="38F03C4B" w:rsidRPr="109A04B4">
        <w:rPr>
          <w:sz w:val="22"/>
          <w:szCs w:val="22"/>
        </w:rPr>
        <w:t xml:space="preserve">short-term mortality risk’ </w:t>
      </w:r>
      <w:r w:rsidR="000C5F9F">
        <w:rPr>
          <w:sz w:val="22"/>
          <w:szCs w:val="22"/>
        </w:rPr>
        <w:t>in Section C</w:t>
      </w:r>
      <w:r w:rsidR="38F03C4B" w:rsidRPr="109A04B4">
        <w:rPr>
          <w:sz w:val="22"/>
          <w:szCs w:val="22"/>
        </w:rPr>
        <w:t xml:space="preserve">) </w:t>
      </w:r>
      <w:r w:rsidR="4D7C61F5" w:rsidRPr="109A04B4">
        <w:rPr>
          <w:sz w:val="22"/>
          <w:szCs w:val="22"/>
        </w:rPr>
        <w:t>should</w:t>
      </w:r>
      <w:r w:rsidR="006F0788" w:rsidRPr="109A04B4">
        <w:rPr>
          <w:sz w:val="22"/>
          <w:szCs w:val="22"/>
        </w:rPr>
        <w:t xml:space="preserve"> </w:t>
      </w:r>
      <w:r w:rsidR="004841FB" w:rsidRPr="109A04B4">
        <w:rPr>
          <w:sz w:val="22"/>
          <w:szCs w:val="22"/>
        </w:rPr>
        <w:t>never</w:t>
      </w:r>
      <w:r w:rsidR="006F0788" w:rsidRPr="109A04B4">
        <w:rPr>
          <w:sz w:val="22"/>
          <w:szCs w:val="22"/>
        </w:rPr>
        <w:t xml:space="preserve"> be used as a factor </w:t>
      </w:r>
      <w:r w:rsidR="004841FB" w:rsidRPr="109A04B4">
        <w:rPr>
          <w:sz w:val="22"/>
          <w:szCs w:val="22"/>
        </w:rPr>
        <w:t>in triage decisions</w:t>
      </w:r>
      <w:r w:rsidR="0012751E" w:rsidRPr="109A04B4">
        <w:rPr>
          <w:sz w:val="22"/>
          <w:szCs w:val="22"/>
        </w:rPr>
        <w:t>.</w:t>
      </w:r>
    </w:p>
    <w:bookmarkEnd w:id="6"/>
    <w:p w14:paraId="5DFBC372" w14:textId="4FC1F91A" w:rsidR="006F0788" w:rsidRDefault="4D752292" w:rsidP="00280A9E">
      <w:pPr>
        <w:pStyle w:val="ListParagraph"/>
        <w:numPr>
          <w:ilvl w:val="0"/>
          <w:numId w:val="27"/>
        </w:numPr>
        <w:rPr>
          <w:sz w:val="22"/>
          <w:szCs w:val="22"/>
        </w:rPr>
      </w:pPr>
      <w:r w:rsidRPr="109A04B4">
        <w:rPr>
          <w:sz w:val="22"/>
          <w:szCs w:val="22"/>
        </w:rPr>
        <w:t>A patient’s q</w:t>
      </w:r>
      <w:r w:rsidR="5CD4DA94" w:rsidRPr="109A04B4">
        <w:rPr>
          <w:sz w:val="22"/>
          <w:szCs w:val="22"/>
        </w:rPr>
        <w:t xml:space="preserve">uality of life </w:t>
      </w:r>
      <w:r w:rsidRPr="109A04B4">
        <w:rPr>
          <w:sz w:val="22"/>
          <w:szCs w:val="22"/>
        </w:rPr>
        <w:t>must never be used as a factor in</w:t>
      </w:r>
      <w:r w:rsidR="5CD4DA94" w:rsidRPr="109A04B4">
        <w:rPr>
          <w:sz w:val="22"/>
          <w:szCs w:val="22"/>
        </w:rPr>
        <w:t xml:space="preserve"> triage decisions, even though it may continue to inform </w:t>
      </w:r>
      <w:r w:rsidR="1842B339" w:rsidRPr="109A04B4">
        <w:rPr>
          <w:sz w:val="22"/>
          <w:szCs w:val="22"/>
        </w:rPr>
        <w:t xml:space="preserve">an </w:t>
      </w:r>
      <w:r w:rsidR="5CD4DA94" w:rsidRPr="109A04B4">
        <w:rPr>
          <w:sz w:val="22"/>
          <w:szCs w:val="22"/>
        </w:rPr>
        <w:t>individual patient</w:t>
      </w:r>
      <w:r w:rsidR="4A0F3A0E" w:rsidRPr="109A04B4">
        <w:rPr>
          <w:sz w:val="22"/>
          <w:szCs w:val="22"/>
        </w:rPr>
        <w:t>’s</w:t>
      </w:r>
      <w:r w:rsidR="5CD4DA94" w:rsidRPr="109A04B4">
        <w:rPr>
          <w:sz w:val="22"/>
          <w:szCs w:val="22"/>
        </w:rPr>
        <w:t xml:space="preserve"> decision-making</w:t>
      </w:r>
      <w:r w:rsidR="5D33941E" w:rsidRPr="109A04B4">
        <w:rPr>
          <w:sz w:val="22"/>
          <w:szCs w:val="22"/>
        </w:rPr>
        <w:t xml:space="preserve"> about their own care</w:t>
      </w:r>
      <w:r w:rsidR="5CD4DA94" w:rsidRPr="109A04B4">
        <w:rPr>
          <w:sz w:val="22"/>
          <w:szCs w:val="22"/>
        </w:rPr>
        <w:t>.</w:t>
      </w:r>
    </w:p>
    <w:p w14:paraId="2B9D150B" w14:textId="7AFD38A4" w:rsidR="006F0788" w:rsidRDefault="006F0788" w:rsidP="00280A9E">
      <w:pPr>
        <w:pStyle w:val="ListParagraph"/>
        <w:numPr>
          <w:ilvl w:val="0"/>
          <w:numId w:val="27"/>
        </w:numPr>
        <w:rPr>
          <w:sz w:val="22"/>
          <w:szCs w:val="22"/>
        </w:rPr>
      </w:pPr>
      <w:r w:rsidRPr="109A04B4">
        <w:rPr>
          <w:sz w:val="22"/>
          <w:szCs w:val="22"/>
        </w:rPr>
        <w:t xml:space="preserve">Triage decisions </w:t>
      </w:r>
      <w:r w:rsidR="4C8113D3" w:rsidRPr="109A04B4">
        <w:rPr>
          <w:sz w:val="22"/>
          <w:szCs w:val="22"/>
        </w:rPr>
        <w:t xml:space="preserve">should not </w:t>
      </w:r>
      <w:r w:rsidRPr="109A04B4">
        <w:rPr>
          <w:sz w:val="22"/>
          <w:szCs w:val="22"/>
        </w:rPr>
        <w:t xml:space="preserve">consider </w:t>
      </w:r>
      <w:r w:rsidR="0012751E" w:rsidRPr="109A04B4">
        <w:rPr>
          <w:sz w:val="22"/>
          <w:szCs w:val="22"/>
        </w:rPr>
        <w:t xml:space="preserve">the costs that a patient’s future </w:t>
      </w:r>
      <w:r w:rsidR="54BB988D" w:rsidRPr="109A04B4">
        <w:rPr>
          <w:sz w:val="22"/>
          <w:szCs w:val="22"/>
        </w:rPr>
        <w:t xml:space="preserve">care </w:t>
      </w:r>
      <w:r w:rsidR="0012751E" w:rsidRPr="109A04B4">
        <w:rPr>
          <w:sz w:val="22"/>
          <w:szCs w:val="22"/>
        </w:rPr>
        <w:t>will pose should they survive their episode of critical illness.</w:t>
      </w:r>
    </w:p>
    <w:p w14:paraId="76FB197B" w14:textId="065A2AFD" w:rsidR="00D55D49" w:rsidRPr="00D55D49" w:rsidRDefault="0BD605BC" w:rsidP="00280A9E">
      <w:pPr>
        <w:pStyle w:val="ListParagraph"/>
        <w:numPr>
          <w:ilvl w:val="0"/>
          <w:numId w:val="27"/>
        </w:numPr>
        <w:rPr>
          <w:rStyle w:val="CommentReference"/>
          <w:sz w:val="22"/>
          <w:szCs w:val="22"/>
        </w:rPr>
      </w:pPr>
      <w:r w:rsidRPr="109A04B4">
        <w:rPr>
          <w:sz w:val="22"/>
          <w:szCs w:val="22"/>
        </w:rPr>
        <w:t xml:space="preserve">Patients who have their own, pre-existing ventilator </w:t>
      </w:r>
      <w:r w:rsidR="59290349" w:rsidRPr="109A04B4">
        <w:rPr>
          <w:sz w:val="22"/>
          <w:szCs w:val="22"/>
        </w:rPr>
        <w:t xml:space="preserve">used to treat </w:t>
      </w:r>
      <w:r w:rsidR="7C452B13" w:rsidRPr="109A04B4">
        <w:rPr>
          <w:sz w:val="22"/>
          <w:szCs w:val="22"/>
        </w:rPr>
        <w:t>a pre-existing chronic condition</w:t>
      </w:r>
      <w:r w:rsidRPr="109A04B4">
        <w:rPr>
          <w:sz w:val="22"/>
          <w:szCs w:val="22"/>
        </w:rPr>
        <w:t xml:space="preserve"> must be permitted to continue to use their personal ventilator. Their own, pre-existing ventilator must not be re-allocated to other patients.</w:t>
      </w:r>
    </w:p>
    <w:p w14:paraId="0F634223" w14:textId="049ED577" w:rsidR="00D55D49" w:rsidRDefault="0EDAB763" w:rsidP="00280A9E">
      <w:pPr>
        <w:pStyle w:val="ListParagraph"/>
        <w:numPr>
          <w:ilvl w:val="0"/>
          <w:numId w:val="27"/>
        </w:numPr>
        <w:rPr>
          <w:rFonts w:eastAsiaTheme="minorEastAsia"/>
          <w:sz w:val="22"/>
          <w:szCs w:val="22"/>
        </w:rPr>
      </w:pPr>
      <w:r w:rsidRPr="109A04B4">
        <w:rPr>
          <w:sz w:val="22"/>
          <w:szCs w:val="22"/>
        </w:rPr>
        <w:t>W</w:t>
      </w:r>
      <w:r w:rsidR="6DD0D288" w:rsidRPr="109A04B4">
        <w:rPr>
          <w:sz w:val="22"/>
          <w:szCs w:val="22"/>
        </w:rPr>
        <w:t>hether an individual’s underlying disease, disability, or illness is associated with a shortened life</w:t>
      </w:r>
      <w:r w:rsidR="0B690BEB" w:rsidRPr="109A04B4">
        <w:rPr>
          <w:sz w:val="22"/>
          <w:szCs w:val="22"/>
        </w:rPr>
        <w:t xml:space="preserve"> expectancy</w:t>
      </w:r>
      <w:r w:rsidR="6DD0D288" w:rsidRPr="109A04B4">
        <w:rPr>
          <w:sz w:val="22"/>
          <w:szCs w:val="22"/>
        </w:rPr>
        <w:t xml:space="preserve"> compared to average lifespans</w:t>
      </w:r>
      <w:r w:rsidR="2898093C" w:rsidRPr="109A04B4">
        <w:rPr>
          <w:sz w:val="22"/>
          <w:szCs w:val="22"/>
        </w:rPr>
        <w:t xml:space="preserve"> </w:t>
      </w:r>
      <w:r w:rsidR="2898093C" w:rsidRPr="109A04B4">
        <w:rPr>
          <w:i/>
          <w:iCs/>
          <w:sz w:val="22"/>
          <w:szCs w:val="22"/>
        </w:rPr>
        <w:t xml:space="preserve">independent of their </w:t>
      </w:r>
      <w:r w:rsidR="00893E63">
        <w:rPr>
          <w:i/>
          <w:iCs/>
          <w:sz w:val="22"/>
          <w:szCs w:val="22"/>
        </w:rPr>
        <w:t xml:space="preserve">predicted </w:t>
      </w:r>
      <w:r w:rsidR="2898093C" w:rsidRPr="109A04B4">
        <w:rPr>
          <w:i/>
          <w:iCs/>
          <w:sz w:val="22"/>
          <w:szCs w:val="22"/>
        </w:rPr>
        <w:t>short-term mortality</w:t>
      </w:r>
      <w:r w:rsidR="2898093C" w:rsidRPr="109A04B4">
        <w:rPr>
          <w:sz w:val="22"/>
          <w:szCs w:val="22"/>
        </w:rPr>
        <w:t xml:space="preserve"> </w:t>
      </w:r>
      <w:r w:rsidR="2898093C" w:rsidRPr="109A04B4">
        <w:rPr>
          <w:i/>
          <w:iCs/>
          <w:sz w:val="22"/>
          <w:szCs w:val="22"/>
        </w:rPr>
        <w:t>risk</w:t>
      </w:r>
      <w:r w:rsidR="6DD0D288" w:rsidRPr="109A04B4">
        <w:rPr>
          <w:sz w:val="22"/>
          <w:szCs w:val="22"/>
        </w:rPr>
        <w:t xml:space="preserve"> should not be used </w:t>
      </w:r>
      <w:r w:rsidR="003069CD">
        <w:rPr>
          <w:sz w:val="22"/>
          <w:szCs w:val="22"/>
        </w:rPr>
        <w:t xml:space="preserve">as </w:t>
      </w:r>
      <w:r w:rsidR="6DD0D288" w:rsidRPr="109A04B4">
        <w:rPr>
          <w:sz w:val="22"/>
          <w:szCs w:val="22"/>
        </w:rPr>
        <w:t xml:space="preserve">a factor in triage decisions (e.g., </w:t>
      </w:r>
      <w:r w:rsidR="4A6CAFBA" w:rsidRPr="109A04B4">
        <w:rPr>
          <w:sz w:val="22"/>
          <w:szCs w:val="22"/>
        </w:rPr>
        <w:t xml:space="preserve">a person with </w:t>
      </w:r>
      <w:r w:rsidR="7B562C68" w:rsidRPr="109A04B4">
        <w:rPr>
          <w:sz w:val="22"/>
          <w:szCs w:val="22"/>
        </w:rPr>
        <w:t xml:space="preserve">a </w:t>
      </w:r>
      <w:r w:rsidR="4A6CAFBA" w:rsidRPr="109A04B4">
        <w:rPr>
          <w:sz w:val="22"/>
          <w:szCs w:val="22"/>
        </w:rPr>
        <w:t>mental health diagnosis on average lives</w:t>
      </w:r>
      <w:r w:rsidR="08B2CEAD" w:rsidRPr="109A04B4">
        <w:rPr>
          <w:sz w:val="22"/>
          <w:szCs w:val="22"/>
        </w:rPr>
        <w:t xml:space="preserve"> 7 to 10 years less compared to the general population).</w:t>
      </w:r>
      <w:r w:rsidR="001A5773">
        <w:rPr>
          <w:rStyle w:val="EndnoteReference"/>
          <w:sz w:val="22"/>
          <w:szCs w:val="22"/>
        </w:rPr>
        <w:endnoteReference w:id="28"/>
      </w:r>
    </w:p>
    <w:p w14:paraId="268D9E40" w14:textId="64F2B65C" w:rsidR="0012751E" w:rsidRDefault="697F34EE" w:rsidP="00280A9E">
      <w:pPr>
        <w:pStyle w:val="ListParagraph"/>
        <w:numPr>
          <w:ilvl w:val="0"/>
          <w:numId w:val="27"/>
        </w:numPr>
        <w:rPr>
          <w:sz w:val="22"/>
          <w:szCs w:val="22"/>
        </w:rPr>
      </w:pPr>
      <w:r w:rsidRPr="109A04B4">
        <w:rPr>
          <w:sz w:val="22"/>
          <w:szCs w:val="22"/>
        </w:rPr>
        <w:t>A</w:t>
      </w:r>
      <w:r w:rsidR="176AEE08" w:rsidRPr="109A04B4">
        <w:rPr>
          <w:sz w:val="22"/>
          <w:szCs w:val="22"/>
        </w:rPr>
        <w:t xml:space="preserve"> patient’s need for disability-related accommodations</w:t>
      </w:r>
      <w:r w:rsidR="00577096">
        <w:rPr>
          <w:sz w:val="22"/>
          <w:szCs w:val="22"/>
        </w:rPr>
        <w:t xml:space="preserve"> or assistance</w:t>
      </w:r>
      <w:r w:rsidR="74AA3891" w:rsidRPr="109A04B4">
        <w:rPr>
          <w:sz w:val="22"/>
          <w:szCs w:val="22"/>
        </w:rPr>
        <w:t xml:space="preserve"> (e.g., a deaf patient who needs Sign Language interpreters to effectively communicate with hospital staff)</w:t>
      </w:r>
      <w:r w:rsidR="176AEE08" w:rsidRPr="109A04B4">
        <w:rPr>
          <w:sz w:val="22"/>
          <w:szCs w:val="22"/>
        </w:rPr>
        <w:t xml:space="preserve"> </w:t>
      </w:r>
      <w:r w:rsidR="331013F0" w:rsidRPr="109A04B4">
        <w:rPr>
          <w:sz w:val="22"/>
          <w:szCs w:val="22"/>
        </w:rPr>
        <w:t xml:space="preserve">should never be used </w:t>
      </w:r>
      <w:r w:rsidR="176AEE08" w:rsidRPr="109A04B4">
        <w:rPr>
          <w:sz w:val="22"/>
          <w:szCs w:val="22"/>
        </w:rPr>
        <w:t xml:space="preserve">as a factor </w:t>
      </w:r>
      <w:r w:rsidR="1ABED8F5" w:rsidRPr="109A04B4">
        <w:rPr>
          <w:sz w:val="22"/>
          <w:szCs w:val="22"/>
        </w:rPr>
        <w:t>in triage decisions.</w:t>
      </w:r>
    </w:p>
    <w:p w14:paraId="4D728190" w14:textId="1C9FDF0B" w:rsidR="0012751E" w:rsidRDefault="2EC47177" w:rsidP="00280A9E">
      <w:pPr>
        <w:pStyle w:val="ListParagraph"/>
        <w:numPr>
          <w:ilvl w:val="0"/>
          <w:numId w:val="27"/>
        </w:numPr>
        <w:rPr>
          <w:rFonts w:eastAsiaTheme="minorEastAsia"/>
          <w:sz w:val="22"/>
          <w:szCs w:val="22"/>
        </w:rPr>
      </w:pPr>
      <w:r w:rsidRPr="109A04B4">
        <w:rPr>
          <w:sz w:val="22"/>
          <w:szCs w:val="22"/>
        </w:rPr>
        <w:t xml:space="preserve">Emergency medical services (EMS), </w:t>
      </w:r>
      <w:r w:rsidR="0DD4DF10" w:rsidRPr="109A04B4">
        <w:rPr>
          <w:sz w:val="22"/>
          <w:szCs w:val="22"/>
        </w:rPr>
        <w:t>n</w:t>
      </w:r>
      <w:r w:rsidR="42C2C212" w:rsidRPr="109A04B4">
        <w:rPr>
          <w:sz w:val="22"/>
          <w:szCs w:val="22"/>
        </w:rPr>
        <w:t>ursing</w:t>
      </w:r>
      <w:r w:rsidR="431582D4" w:rsidRPr="109A04B4">
        <w:rPr>
          <w:sz w:val="22"/>
          <w:szCs w:val="22"/>
        </w:rPr>
        <w:t xml:space="preserve"> staff,</w:t>
      </w:r>
      <w:r w:rsidR="42C2C212" w:rsidRPr="109A04B4">
        <w:rPr>
          <w:sz w:val="22"/>
          <w:szCs w:val="22"/>
        </w:rPr>
        <w:t xml:space="preserve"> or other staff </w:t>
      </w:r>
      <w:r w:rsidR="2B14AD97" w:rsidRPr="109A04B4">
        <w:rPr>
          <w:sz w:val="22"/>
          <w:szCs w:val="22"/>
        </w:rPr>
        <w:t xml:space="preserve">should </w:t>
      </w:r>
      <w:r w:rsidR="42C2C212" w:rsidRPr="109A04B4">
        <w:rPr>
          <w:sz w:val="22"/>
          <w:szCs w:val="22"/>
        </w:rPr>
        <w:t xml:space="preserve">promptly notify </w:t>
      </w:r>
      <w:r w:rsidR="000C5F9F">
        <w:rPr>
          <w:sz w:val="22"/>
          <w:szCs w:val="22"/>
        </w:rPr>
        <w:t>a</w:t>
      </w:r>
      <w:r w:rsidR="42C2C212" w:rsidRPr="109A04B4">
        <w:rPr>
          <w:sz w:val="22"/>
          <w:szCs w:val="22"/>
        </w:rPr>
        <w:t xml:space="preserve"> patient's physician when</w:t>
      </w:r>
      <w:r w:rsidR="140E6A0A" w:rsidRPr="109A04B4">
        <w:rPr>
          <w:sz w:val="22"/>
          <w:szCs w:val="22"/>
        </w:rPr>
        <w:t>ever</w:t>
      </w:r>
      <w:r w:rsidR="42C2C212" w:rsidRPr="109A04B4">
        <w:rPr>
          <w:sz w:val="22"/>
          <w:szCs w:val="22"/>
        </w:rPr>
        <w:t xml:space="preserve"> </w:t>
      </w:r>
      <w:r w:rsidR="00DB2FA2">
        <w:rPr>
          <w:sz w:val="22"/>
          <w:szCs w:val="22"/>
        </w:rPr>
        <w:t>a</w:t>
      </w:r>
      <w:r w:rsidR="000C5F9F">
        <w:rPr>
          <w:sz w:val="22"/>
          <w:szCs w:val="22"/>
        </w:rPr>
        <w:t xml:space="preserve"> </w:t>
      </w:r>
      <w:r w:rsidR="42C2C212" w:rsidRPr="109A04B4">
        <w:rPr>
          <w:sz w:val="22"/>
          <w:szCs w:val="22"/>
        </w:rPr>
        <w:t>patient is in potential need of critical care.</w:t>
      </w:r>
      <w:r w:rsidR="36E5CBB9" w:rsidRPr="109A04B4">
        <w:rPr>
          <w:sz w:val="22"/>
          <w:szCs w:val="22"/>
        </w:rPr>
        <w:t xml:space="preserve"> No assumptions should be made about whether a patient meets triage criteria</w:t>
      </w:r>
      <w:r w:rsidR="755A05DF" w:rsidRPr="109A04B4">
        <w:rPr>
          <w:sz w:val="22"/>
          <w:szCs w:val="22"/>
        </w:rPr>
        <w:t>; the patient’s physician is requi</w:t>
      </w:r>
      <w:r w:rsidR="0F34E97D" w:rsidRPr="109A04B4">
        <w:rPr>
          <w:sz w:val="22"/>
          <w:szCs w:val="22"/>
        </w:rPr>
        <w:t>r</w:t>
      </w:r>
      <w:r w:rsidR="755A05DF" w:rsidRPr="109A04B4">
        <w:rPr>
          <w:sz w:val="22"/>
          <w:szCs w:val="22"/>
        </w:rPr>
        <w:t xml:space="preserve">ed to make this </w:t>
      </w:r>
      <w:r w:rsidR="51B3FA34" w:rsidRPr="109A04B4">
        <w:rPr>
          <w:sz w:val="22"/>
          <w:szCs w:val="22"/>
        </w:rPr>
        <w:t>determination</w:t>
      </w:r>
      <w:r w:rsidR="000C5F9F">
        <w:rPr>
          <w:sz w:val="22"/>
          <w:szCs w:val="22"/>
        </w:rPr>
        <w:t xml:space="preserve"> (see Section E for more on this process)</w:t>
      </w:r>
      <w:r w:rsidR="755A05DF" w:rsidRPr="109A04B4">
        <w:rPr>
          <w:sz w:val="22"/>
          <w:szCs w:val="22"/>
        </w:rPr>
        <w:t>.</w:t>
      </w:r>
    </w:p>
    <w:p w14:paraId="7E3CC4C2" w14:textId="7480158E" w:rsidR="7291110E" w:rsidRDefault="67755AC7" w:rsidP="00280A9E">
      <w:pPr>
        <w:pStyle w:val="ListParagraph"/>
        <w:numPr>
          <w:ilvl w:val="0"/>
          <w:numId w:val="27"/>
        </w:numPr>
        <w:rPr>
          <w:rFonts w:eastAsiaTheme="minorEastAsia"/>
          <w:sz w:val="22"/>
          <w:szCs w:val="22"/>
        </w:rPr>
      </w:pPr>
      <w:r w:rsidRPr="109A04B4">
        <w:rPr>
          <w:sz w:val="22"/>
          <w:szCs w:val="22"/>
        </w:rPr>
        <w:t>If critical care triage is in</w:t>
      </w:r>
      <w:r w:rsidR="4E7E1395" w:rsidRPr="109A04B4">
        <w:rPr>
          <w:sz w:val="22"/>
          <w:szCs w:val="22"/>
        </w:rPr>
        <w:t>itiated, this should not preclude the transfer of residents from long-term care facilities or other settings to acute care hospitals for acute care</w:t>
      </w:r>
      <w:r w:rsidR="31B949B6" w:rsidRPr="109A04B4">
        <w:rPr>
          <w:sz w:val="22"/>
          <w:szCs w:val="22"/>
        </w:rPr>
        <w:t xml:space="preserve">, even if their </w:t>
      </w:r>
      <w:r w:rsidR="00893E63">
        <w:rPr>
          <w:sz w:val="22"/>
          <w:szCs w:val="22"/>
        </w:rPr>
        <w:t xml:space="preserve">predicted </w:t>
      </w:r>
      <w:r w:rsidR="31B949B6" w:rsidRPr="109A04B4">
        <w:rPr>
          <w:sz w:val="22"/>
          <w:szCs w:val="22"/>
        </w:rPr>
        <w:t>short-term mortality risk would preclude them from receiving critical care.</w:t>
      </w:r>
      <w:r w:rsidRPr="109A04B4">
        <w:rPr>
          <w:sz w:val="22"/>
          <w:szCs w:val="22"/>
        </w:rPr>
        <w:t xml:space="preserve"> </w:t>
      </w:r>
    </w:p>
    <w:p w14:paraId="100C45B0" w14:textId="2E806523" w:rsidR="00F12867" w:rsidRPr="00F12867" w:rsidRDefault="00F12867" w:rsidP="00280A9E">
      <w:pPr>
        <w:pStyle w:val="ListParagraph"/>
        <w:numPr>
          <w:ilvl w:val="0"/>
          <w:numId w:val="27"/>
        </w:numPr>
        <w:rPr>
          <w:rFonts w:eastAsiaTheme="minorEastAsia"/>
          <w:sz w:val="22"/>
          <w:szCs w:val="22"/>
        </w:rPr>
      </w:pPr>
      <w:r w:rsidRPr="109A04B4">
        <w:rPr>
          <w:sz w:val="22"/>
          <w:szCs w:val="22"/>
        </w:rPr>
        <w:t xml:space="preserve">Clinicians should not use prognostic tools for assessing </w:t>
      </w:r>
      <w:r w:rsidR="000C5F9F">
        <w:rPr>
          <w:sz w:val="22"/>
          <w:szCs w:val="22"/>
        </w:rPr>
        <w:t xml:space="preserve">predicted </w:t>
      </w:r>
      <w:r w:rsidRPr="109A04B4">
        <w:rPr>
          <w:sz w:val="22"/>
          <w:szCs w:val="22"/>
        </w:rPr>
        <w:t xml:space="preserve">short-term mortality </w:t>
      </w:r>
      <w:r w:rsidR="76DE0259" w:rsidRPr="109A04B4">
        <w:rPr>
          <w:sz w:val="22"/>
          <w:szCs w:val="22"/>
        </w:rPr>
        <w:t xml:space="preserve">risk </w:t>
      </w:r>
      <w:r w:rsidRPr="109A04B4">
        <w:rPr>
          <w:sz w:val="22"/>
          <w:szCs w:val="22"/>
        </w:rPr>
        <w:t>if they are not sufficiently trained and skilled with those tools.</w:t>
      </w:r>
    </w:p>
    <w:p w14:paraId="1376DBA9" w14:textId="4DCAA899" w:rsidR="0012751E" w:rsidRDefault="00F12867" w:rsidP="00280A9E">
      <w:pPr>
        <w:pStyle w:val="ListParagraph"/>
        <w:numPr>
          <w:ilvl w:val="0"/>
          <w:numId w:val="27"/>
        </w:numPr>
        <w:rPr>
          <w:sz w:val="22"/>
          <w:szCs w:val="22"/>
        </w:rPr>
      </w:pPr>
      <w:r w:rsidRPr="109A04B4">
        <w:rPr>
          <w:sz w:val="22"/>
          <w:szCs w:val="22"/>
        </w:rPr>
        <w:t>Clinicians should not be involved in triage decisions where they have a conflict of interest (e.g., where triage decisions involve family members).</w:t>
      </w:r>
    </w:p>
    <w:p w14:paraId="5C385E10" w14:textId="77777777" w:rsidR="006F0788" w:rsidRPr="006F0788" w:rsidRDefault="006F0788" w:rsidP="00DD53AE">
      <w:pPr>
        <w:spacing w:line="480" w:lineRule="auto"/>
        <w:contextualSpacing/>
        <w:rPr>
          <w:rFonts w:eastAsiaTheme="minorEastAsia"/>
          <w:sz w:val="22"/>
          <w:szCs w:val="22"/>
        </w:rPr>
      </w:pPr>
    </w:p>
    <w:p w14:paraId="3FE96479" w14:textId="35449CA6" w:rsidR="004A2F6C" w:rsidRPr="003666B9" w:rsidRDefault="004A2F6C" w:rsidP="00DD53AE">
      <w:pPr>
        <w:pStyle w:val="Heading3"/>
      </w:pPr>
      <w:r w:rsidRPr="500AFCFA">
        <w:t>Clinical Triage Criteria</w:t>
      </w:r>
      <w:r w:rsidR="2F624100" w:rsidRPr="500AFCFA">
        <w:t xml:space="preserve"> for Critical Care</w:t>
      </w:r>
      <w:r w:rsidR="759A0E3F" w:rsidRPr="500AFCFA">
        <w:t xml:space="preserve"> in a Major Surge</w:t>
      </w:r>
    </w:p>
    <w:p w14:paraId="1575B298" w14:textId="7E627B64" w:rsidR="00F12867" w:rsidRDefault="00644F4D" w:rsidP="00280A9E">
      <w:pPr>
        <w:contextualSpacing/>
        <w:rPr>
          <w:sz w:val="22"/>
          <w:szCs w:val="22"/>
        </w:rPr>
      </w:pPr>
      <w:r w:rsidRPr="500AFCFA">
        <w:rPr>
          <w:rFonts w:eastAsiaTheme="minorEastAsia"/>
          <w:sz w:val="22"/>
          <w:szCs w:val="22"/>
        </w:rPr>
        <w:t>Explicit</w:t>
      </w:r>
      <w:r w:rsidR="007E71C4">
        <w:rPr>
          <w:rFonts w:eastAsiaTheme="minorEastAsia"/>
          <w:sz w:val="22"/>
          <w:szCs w:val="22"/>
        </w:rPr>
        <w:t>,</w:t>
      </w:r>
      <w:r w:rsidRPr="500AFCFA">
        <w:rPr>
          <w:rFonts w:eastAsiaTheme="minorEastAsia"/>
          <w:sz w:val="22"/>
          <w:szCs w:val="22"/>
        </w:rPr>
        <w:t xml:space="preserve"> criteria-ba</w:t>
      </w:r>
      <w:r>
        <w:rPr>
          <w:sz w:val="22"/>
          <w:szCs w:val="22"/>
        </w:rPr>
        <w:t xml:space="preserve">sed triage decision-making has been recommended in other published guidance for critical care </w:t>
      </w:r>
      <w:r w:rsidR="00654CB0">
        <w:rPr>
          <w:sz w:val="22"/>
          <w:szCs w:val="22"/>
        </w:rPr>
        <w:t>in a pandemic.</w:t>
      </w:r>
      <w:bookmarkStart w:id="7" w:name="_Ref50713941"/>
      <w:r w:rsidR="001A5773">
        <w:rPr>
          <w:rStyle w:val="EndnoteReference"/>
          <w:sz w:val="22"/>
          <w:szCs w:val="22"/>
        </w:rPr>
        <w:endnoteReference w:id="29"/>
      </w:r>
      <w:bookmarkEnd w:id="7"/>
      <w:r w:rsidR="004D6F7B" w:rsidRPr="004D6F7B">
        <w:rPr>
          <w:sz w:val="22"/>
          <w:szCs w:val="22"/>
          <w:vertAlign w:val="superscript"/>
        </w:rPr>
        <w:t>,</w:t>
      </w:r>
      <w:bookmarkStart w:id="8" w:name="_Ref50715193"/>
      <w:r w:rsidR="004D6F7B">
        <w:rPr>
          <w:rStyle w:val="EndnoteReference"/>
          <w:sz w:val="22"/>
          <w:szCs w:val="22"/>
        </w:rPr>
        <w:endnoteReference w:id="30"/>
      </w:r>
      <w:bookmarkEnd w:id="8"/>
      <w:r w:rsidR="004D6F7B" w:rsidRPr="004D6F7B">
        <w:rPr>
          <w:sz w:val="22"/>
          <w:szCs w:val="22"/>
          <w:vertAlign w:val="superscript"/>
        </w:rPr>
        <w:t>,</w:t>
      </w:r>
      <w:r w:rsidR="004D6F7B">
        <w:rPr>
          <w:rStyle w:val="EndnoteReference"/>
          <w:sz w:val="22"/>
          <w:szCs w:val="22"/>
        </w:rPr>
        <w:endnoteReference w:id="31"/>
      </w:r>
      <w:r>
        <w:rPr>
          <w:sz w:val="22"/>
          <w:szCs w:val="22"/>
        </w:rPr>
        <w:t xml:space="preserve"> </w:t>
      </w:r>
      <w:r w:rsidR="00654CB0">
        <w:rPr>
          <w:sz w:val="22"/>
          <w:szCs w:val="22"/>
        </w:rPr>
        <w:t>Use of explicit criteria fosters consistency</w:t>
      </w:r>
      <w:r w:rsidR="00F12867">
        <w:rPr>
          <w:sz w:val="22"/>
          <w:szCs w:val="22"/>
        </w:rPr>
        <w:t xml:space="preserve"> </w:t>
      </w:r>
      <w:r w:rsidR="00832E7A">
        <w:rPr>
          <w:sz w:val="22"/>
          <w:szCs w:val="22"/>
        </w:rPr>
        <w:t xml:space="preserve">and </w:t>
      </w:r>
      <w:r w:rsidR="00F12867">
        <w:rPr>
          <w:sz w:val="22"/>
          <w:szCs w:val="22"/>
        </w:rPr>
        <w:t>is capable of</w:t>
      </w:r>
      <w:r w:rsidR="00654CB0">
        <w:rPr>
          <w:sz w:val="22"/>
          <w:szCs w:val="22"/>
        </w:rPr>
        <w:t xml:space="preserve"> </w:t>
      </w:r>
      <w:r w:rsidR="00D55D49">
        <w:rPr>
          <w:sz w:val="22"/>
          <w:szCs w:val="22"/>
        </w:rPr>
        <w:t>advanc</w:t>
      </w:r>
      <w:r w:rsidR="00F12867">
        <w:rPr>
          <w:sz w:val="22"/>
          <w:szCs w:val="22"/>
        </w:rPr>
        <w:t xml:space="preserve">ing </w:t>
      </w:r>
      <w:r w:rsidR="00D55D49">
        <w:rPr>
          <w:sz w:val="22"/>
          <w:szCs w:val="22"/>
        </w:rPr>
        <w:t>the aim</w:t>
      </w:r>
      <w:r w:rsidR="00F12867">
        <w:rPr>
          <w:sz w:val="22"/>
          <w:szCs w:val="22"/>
        </w:rPr>
        <w:t>s</w:t>
      </w:r>
      <w:r w:rsidR="00D55D49">
        <w:rPr>
          <w:sz w:val="22"/>
          <w:szCs w:val="22"/>
        </w:rPr>
        <w:t xml:space="preserve"> of saving the most lives, </w:t>
      </w:r>
      <w:r w:rsidR="00F12867">
        <w:rPr>
          <w:sz w:val="22"/>
          <w:szCs w:val="22"/>
        </w:rPr>
        <w:t xml:space="preserve">protecting human rights, </w:t>
      </w:r>
      <w:r w:rsidR="00D55D49" w:rsidRPr="00D55D49">
        <w:rPr>
          <w:sz w:val="22"/>
          <w:szCs w:val="22"/>
        </w:rPr>
        <w:t>enhanc</w:t>
      </w:r>
      <w:r w:rsidR="00F12867">
        <w:rPr>
          <w:sz w:val="22"/>
          <w:szCs w:val="22"/>
        </w:rPr>
        <w:t>ing</w:t>
      </w:r>
      <w:r w:rsidR="00654CB0" w:rsidRPr="00D55D49">
        <w:rPr>
          <w:sz w:val="22"/>
          <w:szCs w:val="22"/>
        </w:rPr>
        <w:t xml:space="preserve"> fairness,</w:t>
      </w:r>
      <w:r w:rsidR="00654CB0">
        <w:rPr>
          <w:sz w:val="22"/>
          <w:szCs w:val="22"/>
        </w:rPr>
        <w:t xml:space="preserve"> and support</w:t>
      </w:r>
      <w:r w:rsidR="00F12867">
        <w:rPr>
          <w:sz w:val="22"/>
          <w:szCs w:val="22"/>
        </w:rPr>
        <w:t>ing</w:t>
      </w:r>
      <w:r w:rsidR="00654CB0">
        <w:rPr>
          <w:sz w:val="22"/>
          <w:szCs w:val="22"/>
        </w:rPr>
        <w:t xml:space="preserve"> accountability. It may </w:t>
      </w:r>
      <w:r w:rsidR="00654CB0" w:rsidRPr="00B8550B">
        <w:rPr>
          <w:sz w:val="22"/>
          <w:szCs w:val="22"/>
        </w:rPr>
        <w:t xml:space="preserve">also alleviate </w:t>
      </w:r>
      <w:r w:rsidRPr="00B8550B">
        <w:rPr>
          <w:sz w:val="22"/>
          <w:szCs w:val="22"/>
        </w:rPr>
        <w:t>clinician</w:t>
      </w:r>
      <w:r w:rsidR="00654CB0" w:rsidRPr="00B8550B">
        <w:rPr>
          <w:sz w:val="22"/>
          <w:szCs w:val="22"/>
        </w:rPr>
        <w:t xml:space="preserve"> burden at a time of high stress.</w:t>
      </w:r>
      <w:bookmarkStart w:id="9" w:name="_Ref50715342"/>
      <w:r w:rsidR="004D6F7B">
        <w:rPr>
          <w:rStyle w:val="EndnoteReference"/>
          <w:sz w:val="22"/>
          <w:szCs w:val="22"/>
        </w:rPr>
        <w:endnoteReference w:id="32"/>
      </w:r>
      <w:bookmarkEnd w:id="9"/>
      <w:r w:rsidR="00654CB0" w:rsidRPr="00B8550B">
        <w:rPr>
          <w:sz w:val="22"/>
          <w:szCs w:val="22"/>
        </w:rPr>
        <w:t xml:space="preserve"> </w:t>
      </w:r>
      <w:r w:rsidR="004B04AD" w:rsidRPr="00B8550B">
        <w:rPr>
          <w:sz w:val="22"/>
          <w:szCs w:val="22"/>
        </w:rPr>
        <w:t>E</w:t>
      </w:r>
      <w:r w:rsidR="00654CB0" w:rsidRPr="00B8550B">
        <w:rPr>
          <w:sz w:val="22"/>
          <w:szCs w:val="22"/>
        </w:rPr>
        <w:t xml:space="preserve">ligibility and </w:t>
      </w:r>
      <w:r w:rsidR="3406760C" w:rsidRPr="00B8550B">
        <w:rPr>
          <w:sz w:val="22"/>
          <w:szCs w:val="22"/>
        </w:rPr>
        <w:t xml:space="preserve">prioritization </w:t>
      </w:r>
      <w:r w:rsidR="00654CB0" w:rsidRPr="00B8550B">
        <w:rPr>
          <w:sz w:val="22"/>
          <w:szCs w:val="22"/>
        </w:rPr>
        <w:t xml:space="preserve">criteria </w:t>
      </w:r>
      <w:r w:rsidR="00DB2FA2">
        <w:rPr>
          <w:sz w:val="22"/>
          <w:szCs w:val="22"/>
        </w:rPr>
        <w:t>as</w:t>
      </w:r>
      <w:r w:rsidR="00654CB0" w:rsidRPr="00B8550B">
        <w:rPr>
          <w:sz w:val="22"/>
          <w:szCs w:val="22"/>
        </w:rPr>
        <w:t xml:space="preserve"> specified </w:t>
      </w:r>
      <w:r w:rsidR="005D0AA4" w:rsidRPr="00B8550B">
        <w:rPr>
          <w:sz w:val="22"/>
          <w:szCs w:val="22"/>
        </w:rPr>
        <w:t xml:space="preserve">below </w:t>
      </w:r>
      <w:r w:rsidR="00DB2FA2">
        <w:rPr>
          <w:sz w:val="22"/>
          <w:szCs w:val="22"/>
        </w:rPr>
        <w:t xml:space="preserve">are </w:t>
      </w:r>
      <w:r w:rsidR="00BB040B" w:rsidRPr="00B8550B">
        <w:rPr>
          <w:sz w:val="22"/>
          <w:szCs w:val="22"/>
        </w:rPr>
        <w:t xml:space="preserve">based on the best available evidence and expert opinion regarding </w:t>
      </w:r>
      <w:r w:rsidR="005F2B52">
        <w:rPr>
          <w:sz w:val="22"/>
          <w:szCs w:val="22"/>
        </w:rPr>
        <w:t xml:space="preserve">predicted </w:t>
      </w:r>
      <w:r w:rsidR="00D55D49" w:rsidRPr="00B8550B">
        <w:rPr>
          <w:sz w:val="22"/>
          <w:szCs w:val="22"/>
        </w:rPr>
        <w:t xml:space="preserve">short-term </w:t>
      </w:r>
      <w:r w:rsidR="00BB040B" w:rsidRPr="00B8550B">
        <w:rPr>
          <w:sz w:val="22"/>
          <w:szCs w:val="22"/>
        </w:rPr>
        <w:t>mortality</w:t>
      </w:r>
      <w:r w:rsidR="79C6CD0A" w:rsidRPr="00B8550B">
        <w:rPr>
          <w:sz w:val="22"/>
          <w:szCs w:val="22"/>
        </w:rPr>
        <w:t xml:space="preserve"> risk</w:t>
      </w:r>
      <w:r w:rsidR="00BB040B" w:rsidRPr="00B8550B">
        <w:rPr>
          <w:sz w:val="22"/>
          <w:szCs w:val="22"/>
        </w:rPr>
        <w:t>.</w:t>
      </w:r>
      <w:r w:rsidR="00654CB0" w:rsidRPr="00B8550B">
        <w:rPr>
          <w:sz w:val="22"/>
          <w:szCs w:val="22"/>
        </w:rPr>
        <w:t xml:space="preserve"> </w:t>
      </w:r>
      <w:r w:rsidR="00D70094" w:rsidRPr="00B8550B">
        <w:rPr>
          <w:sz w:val="22"/>
          <w:szCs w:val="22"/>
        </w:rPr>
        <w:t>A</w:t>
      </w:r>
      <w:r w:rsidR="003740C0" w:rsidRPr="00B8550B">
        <w:rPr>
          <w:sz w:val="22"/>
          <w:szCs w:val="22"/>
        </w:rPr>
        <w:t xml:space="preserve"> patient </w:t>
      </w:r>
      <w:r w:rsidR="009F3EBE" w:rsidRPr="00B8550B">
        <w:rPr>
          <w:sz w:val="22"/>
          <w:szCs w:val="22"/>
        </w:rPr>
        <w:t xml:space="preserve">should </w:t>
      </w:r>
      <w:r w:rsidR="003740C0" w:rsidRPr="00B8550B">
        <w:rPr>
          <w:sz w:val="22"/>
          <w:szCs w:val="22"/>
        </w:rPr>
        <w:t>meet one</w:t>
      </w:r>
      <w:r w:rsidR="13F02730" w:rsidRPr="00B8550B">
        <w:rPr>
          <w:sz w:val="22"/>
          <w:szCs w:val="22"/>
        </w:rPr>
        <w:t xml:space="preserve"> </w:t>
      </w:r>
      <w:r w:rsidR="003740C0" w:rsidRPr="00B8550B">
        <w:rPr>
          <w:sz w:val="22"/>
          <w:szCs w:val="22"/>
        </w:rPr>
        <w:t xml:space="preserve">of the </w:t>
      </w:r>
      <w:r w:rsidR="00A767F4" w:rsidRPr="00B8550B">
        <w:rPr>
          <w:sz w:val="22"/>
          <w:szCs w:val="22"/>
        </w:rPr>
        <w:t xml:space="preserve">eligibility </w:t>
      </w:r>
      <w:r w:rsidR="003740C0" w:rsidRPr="00B8550B">
        <w:rPr>
          <w:sz w:val="22"/>
          <w:szCs w:val="22"/>
        </w:rPr>
        <w:t>criteria</w:t>
      </w:r>
      <w:r w:rsidR="00564CC7" w:rsidRPr="00B8550B">
        <w:rPr>
          <w:sz w:val="22"/>
          <w:szCs w:val="22"/>
        </w:rPr>
        <w:t xml:space="preserve"> </w:t>
      </w:r>
      <w:r w:rsidR="00D55D49" w:rsidRPr="00B8550B">
        <w:rPr>
          <w:sz w:val="22"/>
          <w:szCs w:val="22"/>
        </w:rPr>
        <w:t xml:space="preserve">in order to be considered eligible for critical care. Prioritization criteria should then be applied to determine a patient’s priority to receive critical care. </w:t>
      </w:r>
      <w:r w:rsidR="00AF37CF" w:rsidRPr="00B8550B">
        <w:rPr>
          <w:sz w:val="22"/>
          <w:szCs w:val="22"/>
        </w:rPr>
        <w:t xml:space="preserve">Where there is insufficient evidence </w:t>
      </w:r>
      <w:r w:rsidR="004A01BA" w:rsidRPr="00B8550B">
        <w:rPr>
          <w:sz w:val="22"/>
          <w:szCs w:val="22"/>
        </w:rPr>
        <w:t xml:space="preserve">to </w:t>
      </w:r>
      <w:r w:rsidR="00AF37CF" w:rsidRPr="00B8550B">
        <w:rPr>
          <w:sz w:val="22"/>
          <w:szCs w:val="22"/>
        </w:rPr>
        <w:t xml:space="preserve">support a reasonable clinical judgement regarding </w:t>
      </w:r>
      <w:r w:rsidR="002050C3" w:rsidRPr="00B8550B">
        <w:rPr>
          <w:sz w:val="22"/>
          <w:szCs w:val="22"/>
        </w:rPr>
        <w:t>whether</w:t>
      </w:r>
      <w:r w:rsidR="004A01BA" w:rsidRPr="00B8550B">
        <w:rPr>
          <w:sz w:val="22"/>
          <w:szCs w:val="22"/>
        </w:rPr>
        <w:t xml:space="preserve"> </w:t>
      </w:r>
      <w:r w:rsidR="002050C3" w:rsidRPr="00B8550B">
        <w:rPr>
          <w:sz w:val="22"/>
          <w:szCs w:val="22"/>
        </w:rPr>
        <w:t xml:space="preserve">a </w:t>
      </w:r>
      <w:r w:rsidR="004A01BA" w:rsidRPr="00B8550B">
        <w:rPr>
          <w:sz w:val="22"/>
          <w:szCs w:val="22"/>
        </w:rPr>
        <w:t>patient</w:t>
      </w:r>
      <w:r w:rsidR="002050C3" w:rsidRPr="00B8550B">
        <w:rPr>
          <w:sz w:val="22"/>
          <w:szCs w:val="22"/>
        </w:rPr>
        <w:t xml:space="preserve"> meets</w:t>
      </w:r>
      <w:r w:rsidR="002050C3">
        <w:rPr>
          <w:sz w:val="22"/>
          <w:szCs w:val="22"/>
        </w:rPr>
        <w:t xml:space="preserve"> </w:t>
      </w:r>
      <w:r w:rsidR="00D55D49">
        <w:rPr>
          <w:sz w:val="22"/>
          <w:szCs w:val="22"/>
        </w:rPr>
        <w:t>prioritization</w:t>
      </w:r>
      <w:r w:rsidR="002050C3">
        <w:rPr>
          <w:sz w:val="22"/>
          <w:szCs w:val="22"/>
        </w:rPr>
        <w:t xml:space="preserve"> criteria,</w:t>
      </w:r>
      <w:r w:rsidR="00AF37CF">
        <w:rPr>
          <w:sz w:val="22"/>
          <w:szCs w:val="22"/>
        </w:rPr>
        <w:t xml:space="preserve"> </w:t>
      </w:r>
      <w:r w:rsidR="00B8550B">
        <w:rPr>
          <w:sz w:val="22"/>
          <w:szCs w:val="22"/>
        </w:rPr>
        <w:t xml:space="preserve">a decision to de-prioritize the </w:t>
      </w:r>
      <w:r w:rsidR="00B8550B">
        <w:rPr>
          <w:sz w:val="22"/>
          <w:szCs w:val="22"/>
        </w:rPr>
        <w:lastRenderedPageBreak/>
        <w:t>patient should never be made</w:t>
      </w:r>
      <w:r w:rsidR="00AF37CF">
        <w:rPr>
          <w:sz w:val="22"/>
          <w:szCs w:val="22"/>
        </w:rPr>
        <w:t>.</w:t>
      </w:r>
      <w:r w:rsidR="002050C3">
        <w:rPr>
          <w:sz w:val="22"/>
          <w:szCs w:val="22"/>
        </w:rPr>
        <w:t xml:space="preserve"> </w:t>
      </w:r>
      <w:r w:rsidR="00BB040B">
        <w:rPr>
          <w:sz w:val="22"/>
          <w:szCs w:val="22"/>
        </w:rPr>
        <w:t>In all cases, a</w:t>
      </w:r>
      <w:r w:rsidR="00BB040B" w:rsidRPr="00BB040B">
        <w:rPr>
          <w:sz w:val="22"/>
          <w:szCs w:val="22"/>
        </w:rPr>
        <w:t>n individualized review of each patient’s clinical condition should be performed,</w:t>
      </w:r>
      <w:r w:rsidR="00F55558" w:rsidRPr="00F55558">
        <w:rPr>
          <w:sz w:val="22"/>
          <w:szCs w:val="22"/>
        </w:rPr>
        <w:t xml:space="preserve"> not assuming any specific diagnosis</w:t>
      </w:r>
      <w:r w:rsidR="00BB040B" w:rsidRPr="00BB040B">
        <w:rPr>
          <w:sz w:val="22"/>
          <w:szCs w:val="22"/>
        </w:rPr>
        <w:t xml:space="preserve"> </w:t>
      </w:r>
      <w:r w:rsidR="55B8767F" w:rsidRPr="00BB040B">
        <w:rPr>
          <w:sz w:val="22"/>
          <w:szCs w:val="22"/>
        </w:rPr>
        <w:t xml:space="preserve">or clinical finding </w:t>
      </w:r>
      <w:r w:rsidR="00BB040B" w:rsidRPr="00BB040B">
        <w:rPr>
          <w:sz w:val="22"/>
          <w:szCs w:val="22"/>
        </w:rPr>
        <w:t xml:space="preserve">is determinative of </w:t>
      </w:r>
      <w:r w:rsidR="007E71C4">
        <w:rPr>
          <w:sz w:val="22"/>
          <w:szCs w:val="22"/>
        </w:rPr>
        <w:t xml:space="preserve">predicted </w:t>
      </w:r>
      <w:r w:rsidR="00B8550B">
        <w:rPr>
          <w:sz w:val="22"/>
          <w:szCs w:val="22"/>
        </w:rPr>
        <w:t>short-term mortality</w:t>
      </w:r>
      <w:r w:rsidR="205CEA37">
        <w:rPr>
          <w:sz w:val="22"/>
          <w:szCs w:val="22"/>
        </w:rPr>
        <w:t xml:space="preserve"> risk</w:t>
      </w:r>
      <w:r w:rsidR="00BB040B" w:rsidRPr="00BB040B">
        <w:rPr>
          <w:sz w:val="22"/>
          <w:szCs w:val="22"/>
        </w:rPr>
        <w:t xml:space="preserve"> without an analysis of current and best available evidence and the individual’s ability to respond to treatment.</w:t>
      </w:r>
      <w:r w:rsidR="00F12867">
        <w:rPr>
          <w:sz w:val="22"/>
          <w:szCs w:val="22"/>
        </w:rPr>
        <w:t xml:space="preserve"> </w:t>
      </w:r>
      <w:r w:rsidR="00F12867" w:rsidRPr="60E84F6B">
        <w:rPr>
          <w:sz w:val="22"/>
          <w:szCs w:val="22"/>
        </w:rPr>
        <w:t>Triage decisions apply to all patients who are being considered for critical care, not just those diagnosed with COVID-19, since all patients must share a single pool of resources.</w:t>
      </w:r>
    </w:p>
    <w:p w14:paraId="64BD33ED" w14:textId="77777777" w:rsidR="00B8550B" w:rsidRDefault="00B8550B" w:rsidP="00280A9E">
      <w:pPr>
        <w:contextualSpacing/>
        <w:rPr>
          <w:sz w:val="22"/>
          <w:szCs w:val="22"/>
        </w:rPr>
      </w:pPr>
    </w:p>
    <w:p w14:paraId="3490BEAB" w14:textId="54C6ABE4" w:rsidR="00DC0CD4" w:rsidRDefault="00657024" w:rsidP="00280A9E">
      <w:pPr>
        <w:contextualSpacing/>
        <w:rPr>
          <w:sz w:val="22"/>
          <w:szCs w:val="22"/>
        </w:rPr>
      </w:pPr>
      <w:r>
        <w:rPr>
          <w:sz w:val="22"/>
          <w:szCs w:val="22"/>
        </w:rPr>
        <w:t>Please n</w:t>
      </w:r>
      <w:r w:rsidR="002050C3">
        <w:rPr>
          <w:sz w:val="22"/>
          <w:szCs w:val="22"/>
        </w:rPr>
        <w:t>ote: these criteria apply</w:t>
      </w:r>
      <w:r>
        <w:rPr>
          <w:sz w:val="22"/>
          <w:szCs w:val="22"/>
        </w:rPr>
        <w:t xml:space="preserve"> only</w:t>
      </w:r>
      <w:r w:rsidR="002050C3">
        <w:rPr>
          <w:sz w:val="22"/>
          <w:szCs w:val="22"/>
        </w:rPr>
        <w:t xml:space="preserve"> to patients aged 18 years </w:t>
      </w:r>
      <w:r w:rsidR="009D4C9A" w:rsidRPr="475FEB7E">
        <w:rPr>
          <w:sz w:val="22"/>
          <w:szCs w:val="22"/>
        </w:rPr>
        <w:t xml:space="preserve">or older </w:t>
      </w:r>
      <w:r w:rsidR="002050C3">
        <w:rPr>
          <w:sz w:val="22"/>
          <w:szCs w:val="22"/>
        </w:rPr>
        <w:t xml:space="preserve">and </w:t>
      </w:r>
      <w:r w:rsidR="00193BDF">
        <w:rPr>
          <w:sz w:val="22"/>
          <w:szCs w:val="22"/>
        </w:rPr>
        <w:t>should only be used in the context of a major surge in demand for critical care</w:t>
      </w:r>
      <w:r w:rsidR="002050C3">
        <w:rPr>
          <w:sz w:val="22"/>
          <w:szCs w:val="22"/>
        </w:rPr>
        <w:t>.</w:t>
      </w:r>
    </w:p>
    <w:p w14:paraId="00820B1C" w14:textId="77777777" w:rsidR="00FB547D" w:rsidRDefault="00FB547D" w:rsidP="00280A9E">
      <w:pPr>
        <w:contextualSpacing/>
        <w:rPr>
          <w:sz w:val="22"/>
          <w:szCs w:val="22"/>
        </w:rPr>
      </w:pPr>
    </w:p>
    <w:p w14:paraId="1112BD4B" w14:textId="45815518" w:rsidR="00AF2D84" w:rsidRPr="003740C0" w:rsidRDefault="00A767F4" w:rsidP="00280A9E">
      <w:pPr>
        <w:contextualSpacing/>
        <w:rPr>
          <w:sz w:val="22"/>
          <w:szCs w:val="22"/>
        </w:rPr>
      </w:pPr>
      <w:r w:rsidRPr="4769E595">
        <w:rPr>
          <w:b/>
          <w:bCs/>
          <w:sz w:val="22"/>
          <w:szCs w:val="22"/>
        </w:rPr>
        <w:t xml:space="preserve">Eligibility </w:t>
      </w:r>
      <w:r w:rsidR="00783252" w:rsidRPr="4769E595">
        <w:rPr>
          <w:b/>
          <w:bCs/>
          <w:sz w:val="22"/>
          <w:szCs w:val="22"/>
        </w:rPr>
        <w:t>c</w:t>
      </w:r>
      <w:r w:rsidR="003740C0" w:rsidRPr="4769E595">
        <w:rPr>
          <w:b/>
          <w:bCs/>
          <w:sz w:val="22"/>
          <w:szCs w:val="22"/>
        </w:rPr>
        <w:t>riteria</w:t>
      </w:r>
      <w:r w:rsidR="0033510F" w:rsidRPr="4769E595">
        <w:rPr>
          <w:sz w:val="22"/>
          <w:szCs w:val="22"/>
        </w:rPr>
        <w:t xml:space="preserve"> </w:t>
      </w:r>
      <w:r w:rsidR="0E3FC03D" w:rsidRPr="4769E595">
        <w:rPr>
          <w:sz w:val="22"/>
          <w:szCs w:val="22"/>
        </w:rPr>
        <w:t xml:space="preserve">are used to </w:t>
      </w:r>
      <w:r w:rsidR="0033510F" w:rsidRPr="4769E595">
        <w:rPr>
          <w:sz w:val="22"/>
          <w:szCs w:val="22"/>
        </w:rPr>
        <w:t xml:space="preserve">identify those </w:t>
      </w:r>
      <w:r w:rsidR="00311542" w:rsidRPr="4769E595">
        <w:rPr>
          <w:sz w:val="22"/>
          <w:szCs w:val="22"/>
        </w:rPr>
        <w:t xml:space="preserve">patients </w:t>
      </w:r>
      <w:r w:rsidR="0033510F" w:rsidRPr="4769E595">
        <w:rPr>
          <w:sz w:val="22"/>
          <w:szCs w:val="22"/>
        </w:rPr>
        <w:t xml:space="preserve">who may benefit from admission to critical care. </w:t>
      </w:r>
      <w:r w:rsidR="2BE09526" w:rsidRPr="4769E595">
        <w:rPr>
          <w:sz w:val="22"/>
          <w:szCs w:val="22"/>
        </w:rPr>
        <w:t>The e</w:t>
      </w:r>
      <w:r w:rsidR="0033510F" w:rsidRPr="4769E595">
        <w:rPr>
          <w:sz w:val="22"/>
          <w:szCs w:val="22"/>
        </w:rPr>
        <w:t>ligibility criteria</w:t>
      </w:r>
      <w:r w:rsidR="56136F23" w:rsidRPr="4769E595">
        <w:rPr>
          <w:sz w:val="22"/>
          <w:szCs w:val="22"/>
        </w:rPr>
        <w:t xml:space="preserve"> </w:t>
      </w:r>
      <w:r w:rsidR="45A2D49A" w:rsidRPr="4769E595">
        <w:rPr>
          <w:sz w:val="22"/>
          <w:szCs w:val="22"/>
        </w:rPr>
        <w:t>outlined below were described</w:t>
      </w:r>
      <w:r w:rsidR="39A05906" w:rsidRPr="4769E595">
        <w:rPr>
          <w:sz w:val="22"/>
          <w:szCs w:val="22"/>
        </w:rPr>
        <w:t xml:space="preserve"> </w:t>
      </w:r>
      <w:r w:rsidR="003740C0" w:rsidRPr="4769E595">
        <w:rPr>
          <w:sz w:val="22"/>
          <w:szCs w:val="22"/>
        </w:rPr>
        <w:t>by Christian et al.</w:t>
      </w:r>
      <w:r w:rsidR="004D6F7B" w:rsidRPr="004D6F7B">
        <w:rPr>
          <w:sz w:val="22"/>
          <w:szCs w:val="22"/>
          <w:vertAlign w:val="superscript"/>
        </w:rPr>
        <w:fldChar w:fldCharType="begin"/>
      </w:r>
      <w:r w:rsidR="004D6F7B" w:rsidRPr="004D6F7B">
        <w:rPr>
          <w:sz w:val="22"/>
          <w:szCs w:val="22"/>
          <w:vertAlign w:val="superscript"/>
        </w:rPr>
        <w:instrText xml:space="preserve"> NOTEREF _Ref50713941 \h </w:instrText>
      </w:r>
      <w:r w:rsidR="004D6F7B">
        <w:rPr>
          <w:sz w:val="22"/>
          <w:szCs w:val="22"/>
          <w:vertAlign w:val="superscript"/>
        </w:rPr>
        <w:instrText xml:space="preserve"> \* MERGEFORMAT </w:instrText>
      </w:r>
      <w:r w:rsidR="004D6F7B" w:rsidRPr="004D6F7B">
        <w:rPr>
          <w:sz w:val="22"/>
          <w:szCs w:val="22"/>
          <w:vertAlign w:val="superscript"/>
        </w:rPr>
      </w:r>
      <w:r w:rsidR="004D6F7B" w:rsidRPr="004D6F7B">
        <w:rPr>
          <w:sz w:val="22"/>
          <w:szCs w:val="22"/>
          <w:vertAlign w:val="superscript"/>
        </w:rPr>
        <w:fldChar w:fldCharType="separate"/>
      </w:r>
      <w:r w:rsidR="004D6F7B" w:rsidRPr="004D6F7B">
        <w:rPr>
          <w:sz w:val="22"/>
          <w:szCs w:val="22"/>
          <w:vertAlign w:val="superscript"/>
        </w:rPr>
        <w:t>28</w:t>
      </w:r>
      <w:r w:rsidR="004D6F7B" w:rsidRPr="004D6F7B">
        <w:rPr>
          <w:sz w:val="22"/>
          <w:szCs w:val="22"/>
          <w:vertAlign w:val="superscript"/>
        </w:rPr>
        <w:fldChar w:fldCharType="end"/>
      </w:r>
      <w:r w:rsidR="003740C0" w:rsidRPr="4769E595">
        <w:rPr>
          <w:sz w:val="22"/>
          <w:szCs w:val="22"/>
        </w:rPr>
        <w:t xml:space="preserve"> </w:t>
      </w:r>
      <w:r w:rsidR="0033510F" w:rsidRPr="4769E595">
        <w:rPr>
          <w:sz w:val="22"/>
          <w:szCs w:val="22"/>
        </w:rPr>
        <w:t>and were included in previous iterations of Ontario’s influenza pandemic plan</w:t>
      </w:r>
      <w:r w:rsidR="565AE6A6" w:rsidRPr="4769E595">
        <w:rPr>
          <w:sz w:val="22"/>
          <w:szCs w:val="22"/>
        </w:rPr>
        <w:t>:</w:t>
      </w:r>
    </w:p>
    <w:p w14:paraId="16F4A68A" w14:textId="77777777" w:rsidR="003740C0" w:rsidRPr="003740C0" w:rsidRDefault="003740C0" w:rsidP="003740C0">
      <w:pPr>
        <w:pStyle w:val="ListParagraph"/>
        <w:ind w:left="491"/>
        <w:rPr>
          <w:sz w:val="22"/>
          <w:szCs w:val="22"/>
        </w:rPr>
      </w:pPr>
    </w:p>
    <w:tbl>
      <w:tblPr>
        <w:tblStyle w:val="TableGrid"/>
        <w:tblW w:w="9351" w:type="dxa"/>
        <w:tblLook w:val="04A0" w:firstRow="1" w:lastRow="0" w:firstColumn="1" w:lastColumn="0" w:noHBand="0" w:noVBand="1"/>
        <w:tblCaption w:val="Eligibility Criteria for Critical Care Admission"/>
        <w:tblDescription w:val="Eligibility Criteria for Critical Care Admission"/>
      </w:tblPr>
      <w:tblGrid>
        <w:gridCol w:w="2689"/>
        <w:gridCol w:w="6662"/>
      </w:tblGrid>
      <w:tr w:rsidR="003740C0" w14:paraId="748156E2" w14:textId="77777777" w:rsidTr="005F4F03">
        <w:trPr>
          <w:cantSplit/>
          <w:tblHeader/>
        </w:trPr>
        <w:tc>
          <w:tcPr>
            <w:tcW w:w="2689" w:type="dxa"/>
            <w:shd w:val="clear" w:color="auto" w:fill="BFBFBF" w:themeFill="background1" w:themeFillShade="BF"/>
          </w:tcPr>
          <w:p w14:paraId="42A5A9C4" w14:textId="77777777" w:rsidR="003740C0" w:rsidRPr="00FF5812" w:rsidRDefault="003740C0" w:rsidP="009F3EBE">
            <w:pPr>
              <w:rPr>
                <w:b/>
                <w:bCs/>
                <w:sz w:val="22"/>
                <w:szCs w:val="22"/>
                <w:u w:val="single"/>
              </w:rPr>
            </w:pPr>
            <w:r w:rsidRPr="00FF5812">
              <w:rPr>
                <w:b/>
                <w:bCs/>
                <w:sz w:val="22"/>
                <w:szCs w:val="22"/>
                <w:u w:val="single"/>
              </w:rPr>
              <w:t>Variable</w:t>
            </w:r>
          </w:p>
        </w:tc>
        <w:tc>
          <w:tcPr>
            <w:tcW w:w="6662" w:type="dxa"/>
            <w:shd w:val="clear" w:color="auto" w:fill="BFBFBF" w:themeFill="background1" w:themeFillShade="BF"/>
          </w:tcPr>
          <w:p w14:paraId="686E8F6E" w14:textId="75B92837" w:rsidR="003740C0" w:rsidRPr="00FF5812" w:rsidRDefault="00A767F4" w:rsidP="009F3EBE">
            <w:pPr>
              <w:rPr>
                <w:b/>
                <w:bCs/>
                <w:sz w:val="22"/>
                <w:szCs w:val="22"/>
                <w:u w:val="single"/>
              </w:rPr>
            </w:pPr>
            <w:r>
              <w:rPr>
                <w:b/>
                <w:bCs/>
                <w:sz w:val="22"/>
                <w:szCs w:val="22"/>
                <w:u w:val="single"/>
              </w:rPr>
              <w:t>Eligibility</w:t>
            </w:r>
            <w:r w:rsidRPr="00FF5812">
              <w:rPr>
                <w:b/>
                <w:bCs/>
                <w:sz w:val="22"/>
                <w:szCs w:val="22"/>
                <w:u w:val="single"/>
              </w:rPr>
              <w:t xml:space="preserve"> </w:t>
            </w:r>
            <w:r w:rsidR="003740C0" w:rsidRPr="00FF5812">
              <w:rPr>
                <w:b/>
                <w:bCs/>
                <w:sz w:val="22"/>
                <w:szCs w:val="22"/>
                <w:u w:val="single"/>
              </w:rPr>
              <w:t>Criteria for Critical Care Admission</w:t>
            </w:r>
          </w:p>
        </w:tc>
      </w:tr>
      <w:tr w:rsidR="003740C0" w14:paraId="3699800B" w14:textId="77777777" w:rsidTr="00684D29">
        <w:tc>
          <w:tcPr>
            <w:tcW w:w="2689" w:type="dxa"/>
          </w:tcPr>
          <w:p w14:paraId="20EF19D5" w14:textId="77777777" w:rsidR="003740C0" w:rsidRDefault="003740C0" w:rsidP="009F3EBE">
            <w:pPr>
              <w:rPr>
                <w:sz w:val="22"/>
                <w:szCs w:val="22"/>
              </w:rPr>
            </w:pPr>
            <w:r>
              <w:rPr>
                <w:sz w:val="22"/>
                <w:szCs w:val="22"/>
              </w:rPr>
              <w:t xml:space="preserve">Requirement for invasive </w:t>
            </w:r>
            <w:proofErr w:type="spellStart"/>
            <w:r>
              <w:rPr>
                <w:sz w:val="22"/>
                <w:szCs w:val="22"/>
              </w:rPr>
              <w:t>ventilatory</w:t>
            </w:r>
            <w:proofErr w:type="spellEnd"/>
            <w:r>
              <w:rPr>
                <w:sz w:val="22"/>
                <w:szCs w:val="22"/>
              </w:rPr>
              <w:t xml:space="preserve"> support</w:t>
            </w:r>
          </w:p>
        </w:tc>
        <w:tc>
          <w:tcPr>
            <w:tcW w:w="6662" w:type="dxa"/>
          </w:tcPr>
          <w:p w14:paraId="0FBED26E" w14:textId="77777777" w:rsidR="003740C0" w:rsidRDefault="003740C0" w:rsidP="009F3EBE">
            <w:pPr>
              <w:rPr>
                <w:sz w:val="22"/>
                <w:szCs w:val="22"/>
              </w:rPr>
            </w:pPr>
            <w:r>
              <w:rPr>
                <w:sz w:val="22"/>
                <w:szCs w:val="22"/>
              </w:rPr>
              <w:t>Refractory hypoxemia (SpO</w:t>
            </w:r>
            <w:r>
              <w:rPr>
                <w:sz w:val="22"/>
                <w:szCs w:val="22"/>
                <w:vertAlign w:val="subscript"/>
              </w:rPr>
              <w:t xml:space="preserve">2 </w:t>
            </w:r>
            <w:r>
              <w:rPr>
                <w:sz w:val="22"/>
                <w:szCs w:val="22"/>
              </w:rPr>
              <w:t>&lt;90% on FiO</w:t>
            </w:r>
            <w:r>
              <w:rPr>
                <w:sz w:val="22"/>
                <w:szCs w:val="22"/>
                <w:vertAlign w:val="subscript"/>
              </w:rPr>
              <w:t>2</w:t>
            </w:r>
            <w:r>
              <w:rPr>
                <w:sz w:val="22"/>
                <w:szCs w:val="22"/>
              </w:rPr>
              <w:t xml:space="preserve"> 0.85)</w:t>
            </w:r>
            <w:r w:rsidR="00C34867">
              <w:rPr>
                <w:sz w:val="22"/>
                <w:szCs w:val="22"/>
              </w:rPr>
              <w:t xml:space="preserve"> OR</w:t>
            </w:r>
          </w:p>
          <w:p w14:paraId="269B7578" w14:textId="77777777" w:rsidR="003740C0" w:rsidRDefault="003740C0" w:rsidP="009F3EBE">
            <w:pPr>
              <w:rPr>
                <w:sz w:val="22"/>
                <w:szCs w:val="22"/>
              </w:rPr>
            </w:pPr>
            <w:r>
              <w:rPr>
                <w:sz w:val="22"/>
                <w:szCs w:val="22"/>
              </w:rPr>
              <w:t>Respiratory acidosis with pH &lt;7.2</w:t>
            </w:r>
            <w:r w:rsidR="00C34867">
              <w:rPr>
                <w:sz w:val="22"/>
                <w:szCs w:val="22"/>
              </w:rPr>
              <w:t xml:space="preserve"> OR</w:t>
            </w:r>
          </w:p>
          <w:p w14:paraId="34F63637" w14:textId="77777777" w:rsidR="003740C0" w:rsidRDefault="003740C0" w:rsidP="009F3EBE">
            <w:pPr>
              <w:rPr>
                <w:sz w:val="22"/>
                <w:szCs w:val="22"/>
              </w:rPr>
            </w:pPr>
            <w:r>
              <w:rPr>
                <w:sz w:val="22"/>
                <w:szCs w:val="22"/>
              </w:rPr>
              <w:t>Clinical evidence of respiratory failure</w:t>
            </w:r>
            <w:r w:rsidR="00C34867">
              <w:rPr>
                <w:sz w:val="22"/>
                <w:szCs w:val="22"/>
              </w:rPr>
              <w:t xml:space="preserve"> OR</w:t>
            </w:r>
          </w:p>
          <w:p w14:paraId="648AA99B" w14:textId="77777777" w:rsidR="003740C0" w:rsidRPr="00B51C16" w:rsidRDefault="003740C0" w:rsidP="009F3EBE">
            <w:pPr>
              <w:rPr>
                <w:sz w:val="22"/>
                <w:szCs w:val="22"/>
              </w:rPr>
            </w:pPr>
            <w:r>
              <w:rPr>
                <w:sz w:val="22"/>
                <w:szCs w:val="22"/>
              </w:rPr>
              <w:t>Inability to protect or maintain airway</w:t>
            </w:r>
            <w:r w:rsidR="00C34867">
              <w:rPr>
                <w:sz w:val="22"/>
                <w:szCs w:val="22"/>
              </w:rPr>
              <w:t xml:space="preserve"> </w:t>
            </w:r>
          </w:p>
        </w:tc>
      </w:tr>
      <w:tr w:rsidR="003740C0" w14:paraId="1CEBE6AC" w14:textId="77777777" w:rsidTr="00684D29">
        <w:tc>
          <w:tcPr>
            <w:tcW w:w="2689" w:type="dxa"/>
          </w:tcPr>
          <w:p w14:paraId="39D1EC94" w14:textId="77777777" w:rsidR="003740C0" w:rsidRDefault="003740C0" w:rsidP="009F3EBE">
            <w:pPr>
              <w:rPr>
                <w:sz w:val="22"/>
                <w:szCs w:val="22"/>
              </w:rPr>
            </w:pPr>
            <w:r>
              <w:rPr>
                <w:sz w:val="22"/>
                <w:szCs w:val="22"/>
              </w:rPr>
              <w:t>Hypotension</w:t>
            </w:r>
          </w:p>
        </w:tc>
        <w:tc>
          <w:tcPr>
            <w:tcW w:w="6662" w:type="dxa"/>
          </w:tcPr>
          <w:p w14:paraId="456DC7A7" w14:textId="77777777" w:rsidR="003740C0" w:rsidRDefault="003740C0" w:rsidP="009F3EBE">
            <w:pPr>
              <w:rPr>
                <w:sz w:val="22"/>
                <w:szCs w:val="22"/>
              </w:rPr>
            </w:pPr>
            <w:r>
              <w:rPr>
                <w:sz w:val="22"/>
                <w:szCs w:val="22"/>
              </w:rPr>
              <w:t>Low systolic BP (e.g.</w:t>
            </w:r>
            <w:r w:rsidR="009D1399">
              <w:rPr>
                <w:sz w:val="22"/>
                <w:szCs w:val="22"/>
              </w:rPr>
              <w:t>,</w:t>
            </w:r>
            <w:r>
              <w:rPr>
                <w:sz w:val="22"/>
                <w:szCs w:val="22"/>
              </w:rPr>
              <w:t xml:space="preserve"> SBP &lt;90 mm Hg for most adults) OR</w:t>
            </w:r>
          </w:p>
          <w:p w14:paraId="1F911C00" w14:textId="216060EE" w:rsidR="003740C0" w:rsidRDefault="007E71C4" w:rsidP="009F3EBE">
            <w:pPr>
              <w:rPr>
                <w:sz w:val="22"/>
                <w:szCs w:val="22"/>
              </w:rPr>
            </w:pPr>
            <w:r>
              <w:rPr>
                <w:sz w:val="22"/>
                <w:szCs w:val="22"/>
              </w:rPr>
              <w:t>R</w:t>
            </w:r>
            <w:r w:rsidR="003740C0">
              <w:rPr>
                <w:sz w:val="22"/>
                <w:szCs w:val="22"/>
              </w:rPr>
              <w:t xml:space="preserve">elative hypotension with clinical evidence of shock (altered level of consciousness, decreased urine output, end-organ </w:t>
            </w:r>
            <w:proofErr w:type="spellStart"/>
            <w:r w:rsidR="003740C0">
              <w:rPr>
                <w:sz w:val="22"/>
                <w:szCs w:val="22"/>
              </w:rPr>
              <w:t>hypoperfusion</w:t>
            </w:r>
            <w:proofErr w:type="spellEnd"/>
            <w:r w:rsidR="003740C0">
              <w:rPr>
                <w:sz w:val="22"/>
                <w:szCs w:val="22"/>
              </w:rPr>
              <w:t>), refractory to volume resuscitation requiring vasopressor/inotrope support that cannot be managed on a medical ward</w:t>
            </w:r>
          </w:p>
        </w:tc>
      </w:tr>
    </w:tbl>
    <w:p w14:paraId="20FD1094" w14:textId="006662AC" w:rsidR="003740C0" w:rsidRDefault="003740C0" w:rsidP="003740C0">
      <w:pPr>
        <w:rPr>
          <w:sz w:val="22"/>
          <w:szCs w:val="22"/>
        </w:rPr>
      </w:pPr>
      <w:r w:rsidRPr="003740C0">
        <w:rPr>
          <w:sz w:val="22"/>
          <w:szCs w:val="22"/>
        </w:rPr>
        <w:t>SpO</w:t>
      </w:r>
      <w:r w:rsidRPr="003740C0">
        <w:rPr>
          <w:sz w:val="22"/>
          <w:szCs w:val="22"/>
          <w:vertAlign w:val="subscript"/>
        </w:rPr>
        <w:t>2</w:t>
      </w:r>
      <w:r w:rsidRPr="003740C0">
        <w:rPr>
          <w:sz w:val="22"/>
          <w:szCs w:val="22"/>
        </w:rPr>
        <w:t xml:space="preserve"> = oxygen saturation as measured by pulse oximetry</w:t>
      </w:r>
    </w:p>
    <w:p w14:paraId="72E4215F" w14:textId="34E11EE4" w:rsidR="00560BA1" w:rsidRDefault="00560BA1" w:rsidP="003740C0">
      <w:pPr>
        <w:rPr>
          <w:sz w:val="22"/>
          <w:szCs w:val="22"/>
        </w:rPr>
      </w:pPr>
    </w:p>
    <w:p w14:paraId="1082AABE" w14:textId="77777777" w:rsidR="00560BA1" w:rsidRDefault="00560BA1" w:rsidP="00560BA1">
      <w:pPr>
        <w:rPr>
          <w:sz w:val="22"/>
          <w:szCs w:val="22"/>
        </w:rPr>
      </w:pPr>
      <w:r>
        <w:rPr>
          <w:sz w:val="22"/>
          <w:szCs w:val="22"/>
        </w:rPr>
        <w:t>All patients who are considered eligible for critical care should be considered for access to critical care resources if this aligns with their wishes and values.</w:t>
      </w:r>
    </w:p>
    <w:p w14:paraId="2771CB2B" w14:textId="77777777" w:rsidR="003740C0" w:rsidRPr="003740C0" w:rsidRDefault="003740C0" w:rsidP="003740C0">
      <w:pPr>
        <w:rPr>
          <w:b/>
          <w:bCs/>
          <w:sz w:val="22"/>
          <w:szCs w:val="22"/>
        </w:rPr>
      </w:pPr>
    </w:p>
    <w:p w14:paraId="03822A16" w14:textId="76F05F75" w:rsidR="00311542" w:rsidRDefault="00B8550B" w:rsidP="109A04B4">
      <w:pPr>
        <w:rPr>
          <w:sz w:val="22"/>
          <w:szCs w:val="22"/>
        </w:rPr>
      </w:pPr>
      <w:bookmarkStart w:id="10" w:name="Start"/>
      <w:bookmarkStart w:id="11" w:name="OLE_LINK3"/>
      <w:bookmarkEnd w:id="10"/>
      <w:r w:rsidRPr="4769E595">
        <w:rPr>
          <w:b/>
          <w:bCs/>
          <w:sz w:val="22"/>
          <w:szCs w:val="22"/>
        </w:rPr>
        <w:t xml:space="preserve">Prioritization </w:t>
      </w:r>
      <w:r w:rsidR="0024053A" w:rsidRPr="4769E595">
        <w:rPr>
          <w:b/>
          <w:bCs/>
          <w:sz w:val="22"/>
          <w:szCs w:val="22"/>
        </w:rPr>
        <w:t>criteria</w:t>
      </w:r>
      <w:r w:rsidR="343791A1" w:rsidRPr="4769E595">
        <w:rPr>
          <w:b/>
          <w:bCs/>
          <w:sz w:val="22"/>
          <w:szCs w:val="22"/>
        </w:rPr>
        <w:t xml:space="preserve"> </w:t>
      </w:r>
      <w:r w:rsidR="343791A1" w:rsidRPr="4769E595">
        <w:rPr>
          <w:sz w:val="22"/>
          <w:szCs w:val="22"/>
        </w:rPr>
        <w:t>are used to</w:t>
      </w:r>
      <w:r w:rsidR="0024053A" w:rsidRPr="4769E595">
        <w:rPr>
          <w:sz w:val="22"/>
          <w:szCs w:val="22"/>
        </w:rPr>
        <w:t xml:space="preserve"> </w:t>
      </w:r>
      <w:r w:rsidR="00F12867" w:rsidRPr="4769E595">
        <w:rPr>
          <w:sz w:val="22"/>
          <w:szCs w:val="22"/>
        </w:rPr>
        <w:t xml:space="preserve">identify </w:t>
      </w:r>
      <w:r w:rsidRPr="4769E595">
        <w:rPr>
          <w:sz w:val="22"/>
          <w:szCs w:val="22"/>
        </w:rPr>
        <w:t xml:space="preserve">those patients who </w:t>
      </w:r>
      <w:r w:rsidR="3068D50E" w:rsidRPr="4769E595">
        <w:rPr>
          <w:sz w:val="22"/>
          <w:szCs w:val="22"/>
        </w:rPr>
        <w:t xml:space="preserve">meet eligibility criteria, wish to receive critical care, and </w:t>
      </w:r>
      <w:r w:rsidRPr="4769E595">
        <w:rPr>
          <w:sz w:val="22"/>
          <w:szCs w:val="22"/>
        </w:rPr>
        <w:t>have the greatest likelihood of surviving their episode of critical illness</w:t>
      </w:r>
      <w:r w:rsidR="00560BA1" w:rsidRPr="4769E595">
        <w:rPr>
          <w:sz w:val="22"/>
          <w:szCs w:val="22"/>
        </w:rPr>
        <w:t xml:space="preserve"> (understood as </w:t>
      </w:r>
      <w:r w:rsidR="2648D18F" w:rsidRPr="4769E595">
        <w:rPr>
          <w:sz w:val="22"/>
          <w:szCs w:val="22"/>
        </w:rPr>
        <w:t xml:space="preserve">likelihood of </w:t>
      </w:r>
      <w:r w:rsidR="00560BA1" w:rsidRPr="4769E595">
        <w:rPr>
          <w:sz w:val="22"/>
          <w:szCs w:val="22"/>
        </w:rPr>
        <w:t xml:space="preserve">survival twelve months </w:t>
      </w:r>
      <w:r w:rsidR="55716128" w:rsidRPr="4769E595">
        <w:rPr>
          <w:sz w:val="22"/>
          <w:szCs w:val="22"/>
        </w:rPr>
        <w:t>from the onset of critical illness based on an evaluation of their clinical presentation at the point of triage</w:t>
      </w:r>
      <w:r w:rsidR="00560BA1" w:rsidRPr="4769E595">
        <w:rPr>
          <w:sz w:val="22"/>
          <w:szCs w:val="22"/>
        </w:rPr>
        <w:t>)</w:t>
      </w:r>
      <w:r w:rsidRPr="4769E595">
        <w:rPr>
          <w:sz w:val="22"/>
          <w:szCs w:val="22"/>
        </w:rPr>
        <w:t>. Patients who</w:t>
      </w:r>
      <w:r w:rsidR="7BBEAB07" w:rsidRPr="4769E595">
        <w:rPr>
          <w:sz w:val="22"/>
          <w:szCs w:val="22"/>
        </w:rPr>
        <w:t xml:space="preserve"> meet eligibility criteria, wish to receive critical care, but</w:t>
      </w:r>
      <w:r w:rsidRPr="4769E595">
        <w:rPr>
          <w:sz w:val="22"/>
          <w:szCs w:val="22"/>
        </w:rPr>
        <w:t xml:space="preserve"> have a high likelihood of dying during or within </w:t>
      </w:r>
      <w:r w:rsidR="00560BA1" w:rsidRPr="4769E595">
        <w:rPr>
          <w:sz w:val="22"/>
          <w:szCs w:val="22"/>
        </w:rPr>
        <w:t xml:space="preserve">twelve months </w:t>
      </w:r>
      <w:r w:rsidR="505FAAA9" w:rsidRPr="4769E595">
        <w:rPr>
          <w:sz w:val="22"/>
          <w:szCs w:val="22"/>
        </w:rPr>
        <w:t>from the onset of critical illness based on an evaluation of their clinical presentation at the point of triage</w:t>
      </w:r>
      <w:r w:rsidRPr="4769E595">
        <w:rPr>
          <w:sz w:val="22"/>
          <w:szCs w:val="22"/>
        </w:rPr>
        <w:t xml:space="preserve"> would have a lower priority for critical care resources.</w:t>
      </w:r>
      <w:r w:rsidR="00E8149F" w:rsidRPr="4769E595">
        <w:rPr>
          <w:sz w:val="22"/>
          <w:szCs w:val="22"/>
        </w:rPr>
        <w:t xml:space="preserve"> </w:t>
      </w:r>
    </w:p>
    <w:p w14:paraId="12909BB6" w14:textId="4EAB041A" w:rsidR="00311542" w:rsidRDefault="00311542" w:rsidP="4769E595">
      <w:pPr>
        <w:rPr>
          <w:sz w:val="22"/>
          <w:szCs w:val="22"/>
        </w:rPr>
      </w:pPr>
    </w:p>
    <w:p w14:paraId="48D58336" w14:textId="2073F0FA" w:rsidR="6B66504B" w:rsidRDefault="09AB314E" w:rsidP="4769E595">
      <w:pPr>
        <w:rPr>
          <w:sz w:val="22"/>
          <w:szCs w:val="22"/>
        </w:rPr>
      </w:pPr>
      <w:r w:rsidRPr="4769E595">
        <w:rPr>
          <w:sz w:val="22"/>
          <w:szCs w:val="22"/>
        </w:rPr>
        <w:t>P</w:t>
      </w:r>
      <w:r w:rsidR="6B66504B" w:rsidRPr="4769E595">
        <w:rPr>
          <w:sz w:val="22"/>
          <w:szCs w:val="22"/>
        </w:rPr>
        <w:t xml:space="preserve">atients who meet eligibility criteria and who wish to receive critical care should be assigned one of four colours </w:t>
      </w:r>
      <w:r w:rsidR="6C7D1C44" w:rsidRPr="4769E595">
        <w:rPr>
          <w:sz w:val="22"/>
          <w:szCs w:val="22"/>
        </w:rPr>
        <w:t>that identifies</w:t>
      </w:r>
      <w:r w:rsidR="6B66504B" w:rsidRPr="4769E595">
        <w:rPr>
          <w:sz w:val="22"/>
          <w:szCs w:val="22"/>
        </w:rPr>
        <w:t xml:space="preserve"> their predicted short-term mortality risk: </w:t>
      </w:r>
      <w:bookmarkStart w:id="12" w:name="Complete"/>
      <w:bookmarkEnd w:id="11"/>
      <w:bookmarkEnd w:id="12"/>
      <w:r w:rsidR="6B66504B" w:rsidRPr="4769E595">
        <w:rPr>
          <w:sz w:val="22"/>
          <w:szCs w:val="22"/>
        </w:rPr>
        <w:t xml:space="preserve"> </w:t>
      </w:r>
    </w:p>
    <w:tbl>
      <w:tblPr>
        <w:tblStyle w:val="TableGrid"/>
        <w:tblW w:w="0" w:type="auto"/>
        <w:jc w:val="center"/>
        <w:tblLayout w:type="fixed"/>
        <w:tblLook w:val="06A0" w:firstRow="1" w:lastRow="0" w:firstColumn="1" w:lastColumn="0" w:noHBand="1" w:noVBand="1"/>
        <w:tblDescription w:val="This table identifies the four colours that identifies patients' predicted short-term mortality risk."/>
      </w:tblPr>
      <w:tblGrid>
        <w:gridCol w:w="4680"/>
        <w:gridCol w:w="4680"/>
      </w:tblGrid>
      <w:tr w:rsidR="00361DD6" w14:paraId="1C3DFF09" w14:textId="77777777" w:rsidTr="00F31448">
        <w:trPr>
          <w:cantSplit/>
          <w:tblHeader/>
          <w:jc w:val="center"/>
        </w:trPr>
        <w:tc>
          <w:tcPr>
            <w:tcW w:w="4680" w:type="dxa"/>
            <w:shd w:val="clear" w:color="auto" w:fill="auto"/>
            <w:vAlign w:val="center"/>
          </w:tcPr>
          <w:p w14:paraId="613F05CF" w14:textId="2751D795" w:rsidR="00361DD6" w:rsidRPr="00361DD6" w:rsidRDefault="00361DD6" w:rsidP="4769E595">
            <w:pPr>
              <w:jc w:val="center"/>
              <w:rPr>
                <w:b/>
                <w:color w:val="000000" w:themeColor="text1"/>
                <w:sz w:val="22"/>
                <w:szCs w:val="22"/>
              </w:rPr>
            </w:pPr>
            <w:r w:rsidRPr="00361DD6">
              <w:rPr>
                <w:b/>
                <w:color w:val="000000" w:themeColor="text1"/>
                <w:sz w:val="22"/>
                <w:szCs w:val="22"/>
              </w:rPr>
              <w:t>Colour</w:t>
            </w:r>
          </w:p>
        </w:tc>
        <w:tc>
          <w:tcPr>
            <w:tcW w:w="4680" w:type="dxa"/>
            <w:shd w:val="clear" w:color="auto" w:fill="auto"/>
            <w:vAlign w:val="center"/>
          </w:tcPr>
          <w:p w14:paraId="49CEC3E5" w14:textId="674F516E" w:rsidR="00361DD6" w:rsidRPr="00361DD6" w:rsidRDefault="00361DD6" w:rsidP="4769E595">
            <w:pPr>
              <w:jc w:val="center"/>
              <w:rPr>
                <w:b/>
                <w:sz w:val="22"/>
                <w:szCs w:val="22"/>
              </w:rPr>
            </w:pPr>
            <w:r w:rsidRPr="00361DD6">
              <w:rPr>
                <w:b/>
                <w:sz w:val="22"/>
                <w:szCs w:val="22"/>
              </w:rPr>
              <w:t>Short-Term Mortality Risk</w:t>
            </w:r>
          </w:p>
        </w:tc>
      </w:tr>
      <w:tr w:rsidR="4769E595" w14:paraId="6D32C516" w14:textId="77777777" w:rsidTr="00205590">
        <w:trPr>
          <w:jc w:val="center"/>
        </w:trPr>
        <w:tc>
          <w:tcPr>
            <w:tcW w:w="4680" w:type="dxa"/>
            <w:shd w:val="clear" w:color="auto" w:fill="FF0000"/>
            <w:vAlign w:val="center"/>
          </w:tcPr>
          <w:p w14:paraId="21195EAC" w14:textId="161A613C" w:rsidR="6B66504B" w:rsidRPr="00DD53AE" w:rsidRDefault="6B66504B" w:rsidP="4769E595">
            <w:pPr>
              <w:jc w:val="center"/>
              <w:rPr>
                <w:color w:val="000000" w:themeColor="text1"/>
                <w:sz w:val="22"/>
                <w:szCs w:val="22"/>
              </w:rPr>
            </w:pPr>
            <w:r w:rsidRPr="00DD53AE">
              <w:rPr>
                <w:color w:val="000000" w:themeColor="text1"/>
                <w:sz w:val="22"/>
                <w:szCs w:val="22"/>
              </w:rPr>
              <w:t>Red</w:t>
            </w:r>
          </w:p>
        </w:tc>
        <w:tc>
          <w:tcPr>
            <w:tcW w:w="4680" w:type="dxa"/>
            <w:vAlign w:val="center"/>
          </w:tcPr>
          <w:p w14:paraId="2D78CCDF" w14:textId="5B209F41" w:rsidR="6B66504B" w:rsidRDefault="6B66504B" w:rsidP="4769E595">
            <w:pPr>
              <w:jc w:val="center"/>
              <w:rPr>
                <w:sz w:val="22"/>
                <w:szCs w:val="22"/>
              </w:rPr>
            </w:pPr>
            <w:r w:rsidRPr="4769E595">
              <w:rPr>
                <w:sz w:val="22"/>
                <w:szCs w:val="22"/>
              </w:rPr>
              <w:t>80-99% predicted short-term mortality risk</w:t>
            </w:r>
          </w:p>
        </w:tc>
      </w:tr>
      <w:tr w:rsidR="4769E595" w14:paraId="5D2AE0A1" w14:textId="77777777" w:rsidTr="00BA2F66">
        <w:trPr>
          <w:jc w:val="center"/>
        </w:trPr>
        <w:tc>
          <w:tcPr>
            <w:tcW w:w="4680" w:type="dxa"/>
            <w:shd w:val="clear" w:color="auto" w:fill="BC8FDD"/>
            <w:vAlign w:val="center"/>
          </w:tcPr>
          <w:p w14:paraId="6DF00C1B" w14:textId="29F4B572" w:rsidR="6B66504B" w:rsidRPr="00DD53AE" w:rsidRDefault="00C90468" w:rsidP="4769E595">
            <w:pPr>
              <w:jc w:val="center"/>
              <w:rPr>
                <w:color w:val="000000" w:themeColor="text1"/>
                <w:sz w:val="22"/>
                <w:szCs w:val="22"/>
              </w:rPr>
            </w:pPr>
            <w:r w:rsidRPr="00DD53AE">
              <w:rPr>
                <w:color w:val="000000" w:themeColor="text1"/>
                <w:sz w:val="22"/>
                <w:szCs w:val="22"/>
              </w:rPr>
              <w:t>Purple</w:t>
            </w:r>
          </w:p>
        </w:tc>
        <w:tc>
          <w:tcPr>
            <w:tcW w:w="4680" w:type="dxa"/>
            <w:vAlign w:val="center"/>
          </w:tcPr>
          <w:p w14:paraId="37EA2886" w14:textId="6FA8DDED" w:rsidR="6B66504B" w:rsidRDefault="6B66504B" w:rsidP="4769E595">
            <w:pPr>
              <w:jc w:val="center"/>
              <w:rPr>
                <w:sz w:val="22"/>
                <w:szCs w:val="22"/>
              </w:rPr>
            </w:pPr>
            <w:r w:rsidRPr="4769E595">
              <w:rPr>
                <w:sz w:val="22"/>
                <w:szCs w:val="22"/>
              </w:rPr>
              <w:t>50-79% predicted short-term mortality risk</w:t>
            </w:r>
          </w:p>
        </w:tc>
      </w:tr>
      <w:tr w:rsidR="4769E595" w14:paraId="2AE30C36" w14:textId="77777777" w:rsidTr="00205590">
        <w:trPr>
          <w:jc w:val="center"/>
        </w:trPr>
        <w:tc>
          <w:tcPr>
            <w:tcW w:w="4680" w:type="dxa"/>
            <w:shd w:val="clear" w:color="auto" w:fill="FFFF00"/>
            <w:vAlign w:val="center"/>
          </w:tcPr>
          <w:p w14:paraId="63CC8673" w14:textId="759ECDC4" w:rsidR="6B66504B" w:rsidRPr="00DD53AE" w:rsidRDefault="6B66504B" w:rsidP="4769E595">
            <w:pPr>
              <w:jc w:val="center"/>
              <w:rPr>
                <w:color w:val="000000" w:themeColor="text1"/>
                <w:sz w:val="22"/>
                <w:szCs w:val="22"/>
              </w:rPr>
            </w:pPr>
            <w:r w:rsidRPr="00DD53AE">
              <w:rPr>
                <w:color w:val="000000" w:themeColor="text1"/>
                <w:sz w:val="22"/>
                <w:szCs w:val="22"/>
              </w:rPr>
              <w:t>Yellow</w:t>
            </w:r>
          </w:p>
        </w:tc>
        <w:tc>
          <w:tcPr>
            <w:tcW w:w="4680" w:type="dxa"/>
            <w:vAlign w:val="center"/>
          </w:tcPr>
          <w:p w14:paraId="0229E0AD" w14:textId="1C0B0C19" w:rsidR="6B66504B" w:rsidRDefault="6B66504B" w:rsidP="4769E595">
            <w:pPr>
              <w:jc w:val="center"/>
              <w:rPr>
                <w:sz w:val="22"/>
                <w:szCs w:val="22"/>
              </w:rPr>
            </w:pPr>
            <w:r w:rsidRPr="4769E595">
              <w:rPr>
                <w:sz w:val="22"/>
                <w:szCs w:val="22"/>
              </w:rPr>
              <w:t>30-49% predicted short-term mortality risk</w:t>
            </w:r>
          </w:p>
        </w:tc>
      </w:tr>
      <w:tr w:rsidR="4769E595" w14:paraId="5E077753" w14:textId="77777777" w:rsidTr="00205590">
        <w:trPr>
          <w:jc w:val="center"/>
        </w:trPr>
        <w:tc>
          <w:tcPr>
            <w:tcW w:w="4680" w:type="dxa"/>
            <w:shd w:val="clear" w:color="auto" w:fill="00B050"/>
            <w:vAlign w:val="center"/>
          </w:tcPr>
          <w:p w14:paraId="11BCCAE1" w14:textId="752FC25F" w:rsidR="6B66504B" w:rsidRPr="00DD53AE" w:rsidRDefault="6B66504B" w:rsidP="4769E595">
            <w:pPr>
              <w:jc w:val="center"/>
              <w:rPr>
                <w:color w:val="000000" w:themeColor="text1"/>
                <w:sz w:val="22"/>
                <w:szCs w:val="22"/>
              </w:rPr>
            </w:pPr>
            <w:r w:rsidRPr="00DD53AE">
              <w:rPr>
                <w:color w:val="000000" w:themeColor="text1"/>
                <w:sz w:val="22"/>
                <w:szCs w:val="22"/>
              </w:rPr>
              <w:t>Green</w:t>
            </w:r>
          </w:p>
        </w:tc>
        <w:tc>
          <w:tcPr>
            <w:tcW w:w="4680" w:type="dxa"/>
            <w:vAlign w:val="center"/>
          </w:tcPr>
          <w:p w14:paraId="78A342D6" w14:textId="6A278795" w:rsidR="6B66504B" w:rsidRDefault="6B66504B" w:rsidP="4769E595">
            <w:pPr>
              <w:jc w:val="center"/>
              <w:rPr>
                <w:sz w:val="22"/>
                <w:szCs w:val="22"/>
              </w:rPr>
            </w:pPr>
            <w:r w:rsidRPr="4769E595">
              <w:rPr>
                <w:sz w:val="22"/>
                <w:szCs w:val="22"/>
              </w:rPr>
              <w:t>1-29% predicted short-term mortality risk</w:t>
            </w:r>
          </w:p>
        </w:tc>
      </w:tr>
    </w:tbl>
    <w:p w14:paraId="782528A3" w14:textId="206EC2F8" w:rsidR="4769E595" w:rsidRDefault="4769E595" w:rsidP="4769E595">
      <w:pPr>
        <w:rPr>
          <w:sz w:val="22"/>
          <w:szCs w:val="22"/>
        </w:rPr>
      </w:pPr>
    </w:p>
    <w:p w14:paraId="7EA78CE7" w14:textId="44793D9A" w:rsidR="653E2F6B" w:rsidRDefault="653E2F6B" w:rsidP="00DA3370">
      <w:pPr>
        <w:contextualSpacing/>
        <w:rPr>
          <w:sz w:val="22"/>
          <w:szCs w:val="22"/>
        </w:rPr>
      </w:pPr>
      <w:r w:rsidRPr="4769E595">
        <w:rPr>
          <w:sz w:val="22"/>
          <w:szCs w:val="22"/>
        </w:rPr>
        <w:t xml:space="preserve">The </w:t>
      </w:r>
      <w:r w:rsidR="0E28CF1A" w:rsidRPr="4769E595">
        <w:rPr>
          <w:sz w:val="22"/>
          <w:szCs w:val="22"/>
        </w:rPr>
        <w:t xml:space="preserve">level </w:t>
      </w:r>
      <w:r w:rsidRPr="4769E595">
        <w:rPr>
          <w:sz w:val="22"/>
          <w:szCs w:val="22"/>
        </w:rPr>
        <w:t xml:space="preserve">of triage should be calibrated to the degree of demand and availability of critical care resources in order to limit the possibility that a patient will be denied critical care resources </w:t>
      </w:r>
      <w:r w:rsidRPr="4769E595">
        <w:rPr>
          <w:sz w:val="22"/>
          <w:szCs w:val="22"/>
        </w:rPr>
        <w:lastRenderedPageBreak/>
        <w:t xml:space="preserve">unnecessarily. </w:t>
      </w:r>
      <w:r w:rsidR="00C90468">
        <w:rPr>
          <w:sz w:val="22"/>
          <w:szCs w:val="22"/>
        </w:rPr>
        <w:t>Consequently, a three-level</w:t>
      </w:r>
      <w:r w:rsidR="00C90468" w:rsidRPr="00C90468">
        <w:rPr>
          <w:sz w:val="22"/>
          <w:szCs w:val="22"/>
        </w:rPr>
        <w:t xml:space="preserve"> approach to triage is proposed (see Section D). </w:t>
      </w:r>
      <w:r w:rsidRPr="4769E595">
        <w:rPr>
          <w:sz w:val="22"/>
          <w:szCs w:val="22"/>
        </w:rPr>
        <w:t xml:space="preserve">As system pressures increase, </w:t>
      </w:r>
      <w:r w:rsidR="27DE3083" w:rsidRPr="4769E595">
        <w:rPr>
          <w:sz w:val="22"/>
          <w:szCs w:val="22"/>
        </w:rPr>
        <w:t xml:space="preserve">the </w:t>
      </w:r>
      <w:r w:rsidR="005F2B52">
        <w:rPr>
          <w:sz w:val="22"/>
          <w:szCs w:val="22"/>
        </w:rPr>
        <w:t xml:space="preserve">range of </w:t>
      </w:r>
      <w:r w:rsidR="07088273" w:rsidRPr="4769E595">
        <w:rPr>
          <w:sz w:val="22"/>
          <w:szCs w:val="22"/>
        </w:rPr>
        <w:t xml:space="preserve">predicted short-term </w:t>
      </w:r>
      <w:r w:rsidR="27DE3083" w:rsidRPr="4769E595">
        <w:rPr>
          <w:sz w:val="22"/>
          <w:szCs w:val="22"/>
        </w:rPr>
        <w:t>mortality risk</w:t>
      </w:r>
      <w:r w:rsidR="005F2B52">
        <w:rPr>
          <w:sz w:val="22"/>
          <w:szCs w:val="22"/>
        </w:rPr>
        <w:t xml:space="preserve"> used </w:t>
      </w:r>
      <w:r w:rsidR="00361523">
        <w:rPr>
          <w:sz w:val="22"/>
          <w:szCs w:val="22"/>
        </w:rPr>
        <w:t xml:space="preserve">for prioritization </w:t>
      </w:r>
      <w:r w:rsidRPr="4769E595">
        <w:rPr>
          <w:sz w:val="22"/>
          <w:szCs w:val="22"/>
        </w:rPr>
        <w:t>become</w:t>
      </w:r>
      <w:r w:rsidR="64AE97C4" w:rsidRPr="4769E595">
        <w:rPr>
          <w:sz w:val="22"/>
          <w:szCs w:val="22"/>
        </w:rPr>
        <w:t>s</w:t>
      </w:r>
      <w:r w:rsidRPr="4769E595">
        <w:rPr>
          <w:sz w:val="22"/>
          <w:szCs w:val="22"/>
        </w:rPr>
        <w:t xml:space="preserve"> proportionately more stringent:</w:t>
      </w:r>
    </w:p>
    <w:p w14:paraId="454AF2C9" w14:textId="34C1F941" w:rsidR="4769E595" w:rsidRDefault="4769E595" w:rsidP="00DA3370">
      <w:pPr>
        <w:contextualSpacing/>
        <w:rPr>
          <w:sz w:val="22"/>
          <w:szCs w:val="22"/>
        </w:rPr>
      </w:pPr>
    </w:p>
    <w:p w14:paraId="20FAEC7B" w14:textId="51891FF5" w:rsidR="00452E36" w:rsidRDefault="00311542" w:rsidP="00DA3370">
      <w:pPr>
        <w:pStyle w:val="ListParagraph"/>
        <w:numPr>
          <w:ilvl w:val="0"/>
          <w:numId w:val="22"/>
        </w:numPr>
        <w:rPr>
          <w:rFonts w:eastAsiaTheme="minorEastAsia"/>
          <w:sz w:val="22"/>
          <w:szCs w:val="22"/>
        </w:rPr>
      </w:pPr>
      <w:r w:rsidRPr="4769E595">
        <w:rPr>
          <w:sz w:val="22"/>
          <w:szCs w:val="22"/>
        </w:rPr>
        <w:t xml:space="preserve">In a level 1 triage scenario, patients </w:t>
      </w:r>
      <w:r w:rsidR="46941AC5" w:rsidRPr="4769E595">
        <w:rPr>
          <w:sz w:val="22"/>
          <w:szCs w:val="22"/>
        </w:rPr>
        <w:t>who</w:t>
      </w:r>
      <w:r w:rsidR="2E0E2022" w:rsidRPr="4769E595">
        <w:rPr>
          <w:sz w:val="22"/>
          <w:szCs w:val="22"/>
        </w:rPr>
        <w:t xml:space="preserve"> have a greater than 20% chance of surviving </w:t>
      </w:r>
      <w:r w:rsidR="38ED879C" w:rsidRPr="4769E595">
        <w:rPr>
          <w:sz w:val="22"/>
          <w:szCs w:val="22"/>
        </w:rPr>
        <w:t>twelve months from the onset of critical illness</w:t>
      </w:r>
      <w:r w:rsidR="7C0087B3" w:rsidRPr="4769E595">
        <w:rPr>
          <w:sz w:val="22"/>
          <w:szCs w:val="22"/>
        </w:rPr>
        <w:t xml:space="preserve"> (</w:t>
      </w:r>
      <w:r w:rsidR="38ED879C" w:rsidRPr="4769E595">
        <w:rPr>
          <w:sz w:val="22"/>
          <w:szCs w:val="22"/>
        </w:rPr>
        <w:t>based on an evaluation of their clinical presentation at the point of triage</w:t>
      </w:r>
      <w:r w:rsidR="6DF1F92A" w:rsidRPr="4769E595">
        <w:rPr>
          <w:sz w:val="22"/>
          <w:szCs w:val="22"/>
        </w:rPr>
        <w:t>)</w:t>
      </w:r>
      <w:r w:rsidR="0061004A" w:rsidRPr="4769E595">
        <w:rPr>
          <w:sz w:val="22"/>
          <w:szCs w:val="22"/>
        </w:rPr>
        <w:t xml:space="preserve"> </w:t>
      </w:r>
      <w:r w:rsidRPr="4769E595">
        <w:rPr>
          <w:sz w:val="22"/>
          <w:szCs w:val="22"/>
        </w:rPr>
        <w:t>should be prioritized.</w:t>
      </w:r>
      <w:r w:rsidR="59A0F37D" w:rsidRPr="4769E595">
        <w:rPr>
          <w:sz w:val="22"/>
          <w:szCs w:val="22"/>
        </w:rPr>
        <w:t xml:space="preserve"> </w:t>
      </w:r>
      <w:r w:rsidR="76248E22" w:rsidRPr="4769E595">
        <w:rPr>
          <w:sz w:val="22"/>
          <w:szCs w:val="22"/>
        </w:rPr>
        <w:t>This</w:t>
      </w:r>
      <w:r w:rsidR="59A0F37D" w:rsidRPr="4769E595">
        <w:rPr>
          <w:sz w:val="22"/>
          <w:szCs w:val="22"/>
        </w:rPr>
        <w:t xml:space="preserve"> include</w:t>
      </w:r>
      <w:r w:rsidR="36F17C4F" w:rsidRPr="4769E595">
        <w:rPr>
          <w:sz w:val="22"/>
          <w:szCs w:val="22"/>
        </w:rPr>
        <w:t>s</w:t>
      </w:r>
      <w:r w:rsidR="59A0F37D" w:rsidRPr="4769E595">
        <w:rPr>
          <w:sz w:val="22"/>
          <w:szCs w:val="22"/>
        </w:rPr>
        <w:t xml:space="preserve"> those </w:t>
      </w:r>
      <w:r w:rsidR="015D8079" w:rsidRPr="4769E595">
        <w:rPr>
          <w:sz w:val="22"/>
          <w:szCs w:val="22"/>
        </w:rPr>
        <w:t xml:space="preserve">with colour codes of green, yellow, and </w:t>
      </w:r>
      <w:r w:rsidR="00C90468">
        <w:rPr>
          <w:sz w:val="22"/>
          <w:szCs w:val="22"/>
        </w:rPr>
        <w:t>purple</w:t>
      </w:r>
      <w:r w:rsidR="015D8079" w:rsidRPr="4769E595">
        <w:rPr>
          <w:sz w:val="22"/>
          <w:szCs w:val="22"/>
        </w:rPr>
        <w:t>.</w:t>
      </w:r>
    </w:p>
    <w:p w14:paraId="3A2D6457" w14:textId="297D281E" w:rsidR="00311542" w:rsidRDefault="00311542" w:rsidP="00DA3370">
      <w:pPr>
        <w:pStyle w:val="ListParagraph"/>
        <w:numPr>
          <w:ilvl w:val="0"/>
          <w:numId w:val="22"/>
        </w:numPr>
        <w:rPr>
          <w:rFonts w:eastAsiaTheme="minorEastAsia"/>
          <w:sz w:val="22"/>
          <w:szCs w:val="22"/>
        </w:rPr>
      </w:pPr>
      <w:r w:rsidRPr="4769E595">
        <w:rPr>
          <w:sz w:val="22"/>
          <w:szCs w:val="22"/>
        </w:rPr>
        <w:t xml:space="preserve">In a level 2 triage scenario, patients </w:t>
      </w:r>
      <w:r w:rsidR="00F670C9" w:rsidRPr="4769E595">
        <w:rPr>
          <w:sz w:val="22"/>
          <w:szCs w:val="22"/>
        </w:rPr>
        <w:t>who</w:t>
      </w:r>
      <w:r w:rsidR="3A5D91D0" w:rsidRPr="4769E595">
        <w:rPr>
          <w:sz w:val="22"/>
          <w:szCs w:val="22"/>
        </w:rPr>
        <w:t xml:space="preserve"> have a greater than 50% chance of </w:t>
      </w:r>
      <w:r w:rsidR="0061004A" w:rsidRPr="4769E595">
        <w:rPr>
          <w:sz w:val="22"/>
          <w:szCs w:val="22"/>
        </w:rPr>
        <w:t xml:space="preserve">surviving </w:t>
      </w:r>
      <w:r w:rsidR="65CB35DD" w:rsidRPr="4769E595">
        <w:rPr>
          <w:sz w:val="22"/>
          <w:szCs w:val="22"/>
        </w:rPr>
        <w:t xml:space="preserve">twelve months from the onset of critical illness </w:t>
      </w:r>
      <w:r w:rsidR="153396E7" w:rsidRPr="4769E595">
        <w:rPr>
          <w:sz w:val="22"/>
          <w:szCs w:val="22"/>
        </w:rPr>
        <w:t>(</w:t>
      </w:r>
      <w:r w:rsidR="65CB35DD" w:rsidRPr="4769E595">
        <w:rPr>
          <w:sz w:val="22"/>
          <w:szCs w:val="22"/>
        </w:rPr>
        <w:t>based on an evaluation of their clinical presentation at the point of triage</w:t>
      </w:r>
      <w:r w:rsidR="1AEDD0D2" w:rsidRPr="4769E595">
        <w:rPr>
          <w:sz w:val="22"/>
          <w:szCs w:val="22"/>
        </w:rPr>
        <w:t>)</w:t>
      </w:r>
      <w:r w:rsidR="65CB35DD" w:rsidRPr="4769E595">
        <w:rPr>
          <w:sz w:val="22"/>
          <w:szCs w:val="22"/>
        </w:rPr>
        <w:t xml:space="preserve"> should be prioritized.</w:t>
      </w:r>
      <w:r w:rsidR="1603F9F2" w:rsidRPr="4769E595">
        <w:rPr>
          <w:sz w:val="22"/>
          <w:szCs w:val="22"/>
        </w:rPr>
        <w:t xml:space="preserve"> </w:t>
      </w:r>
      <w:r w:rsidR="27D2E995" w:rsidRPr="4769E595">
        <w:rPr>
          <w:sz w:val="22"/>
          <w:szCs w:val="22"/>
        </w:rPr>
        <w:t>This</w:t>
      </w:r>
      <w:r w:rsidR="1603F9F2" w:rsidRPr="4769E595">
        <w:rPr>
          <w:sz w:val="22"/>
          <w:szCs w:val="22"/>
        </w:rPr>
        <w:t xml:space="preserve"> include</w:t>
      </w:r>
      <w:r w:rsidR="3A1A8CDB" w:rsidRPr="4769E595">
        <w:rPr>
          <w:sz w:val="22"/>
          <w:szCs w:val="22"/>
        </w:rPr>
        <w:t>s</w:t>
      </w:r>
      <w:r w:rsidR="1603F9F2" w:rsidRPr="4769E595">
        <w:rPr>
          <w:sz w:val="22"/>
          <w:szCs w:val="22"/>
        </w:rPr>
        <w:t xml:space="preserve"> those with colour codes of green and yellow.</w:t>
      </w:r>
    </w:p>
    <w:p w14:paraId="24D3B1B6" w14:textId="2CD8864C" w:rsidR="00311542" w:rsidRDefault="00311542" w:rsidP="00DA3370">
      <w:pPr>
        <w:pStyle w:val="ListParagraph"/>
        <w:numPr>
          <w:ilvl w:val="0"/>
          <w:numId w:val="22"/>
        </w:numPr>
        <w:rPr>
          <w:rFonts w:eastAsiaTheme="minorEastAsia"/>
          <w:sz w:val="22"/>
          <w:szCs w:val="22"/>
        </w:rPr>
      </w:pPr>
      <w:r w:rsidRPr="4769E595">
        <w:rPr>
          <w:sz w:val="22"/>
          <w:szCs w:val="22"/>
        </w:rPr>
        <w:t xml:space="preserve">In a level 3 triage scenario, patients </w:t>
      </w:r>
      <w:r w:rsidR="476CA56B" w:rsidRPr="4769E595">
        <w:rPr>
          <w:sz w:val="22"/>
          <w:szCs w:val="22"/>
        </w:rPr>
        <w:t>who</w:t>
      </w:r>
      <w:r w:rsidR="24317D3C" w:rsidRPr="4769E595">
        <w:rPr>
          <w:sz w:val="22"/>
          <w:szCs w:val="22"/>
        </w:rPr>
        <w:t xml:space="preserve"> have a greater than </w:t>
      </w:r>
      <w:r w:rsidR="722978C2" w:rsidRPr="4769E595">
        <w:rPr>
          <w:sz w:val="22"/>
          <w:szCs w:val="22"/>
        </w:rPr>
        <w:t>7</w:t>
      </w:r>
      <w:r w:rsidR="24317D3C" w:rsidRPr="4769E595">
        <w:rPr>
          <w:sz w:val="22"/>
          <w:szCs w:val="22"/>
        </w:rPr>
        <w:t>0% chance of surviving</w:t>
      </w:r>
      <w:r w:rsidR="63C49992" w:rsidRPr="4769E595">
        <w:rPr>
          <w:sz w:val="22"/>
          <w:szCs w:val="22"/>
        </w:rPr>
        <w:t xml:space="preserve"> twelve months from the onset of critical illness </w:t>
      </w:r>
      <w:r w:rsidR="301670F7" w:rsidRPr="4769E595">
        <w:rPr>
          <w:sz w:val="22"/>
          <w:szCs w:val="22"/>
        </w:rPr>
        <w:t>(</w:t>
      </w:r>
      <w:r w:rsidR="63C49992" w:rsidRPr="4769E595">
        <w:rPr>
          <w:sz w:val="22"/>
          <w:szCs w:val="22"/>
        </w:rPr>
        <w:t>based on an evaluation of their clinical presentation at the point of triage</w:t>
      </w:r>
      <w:r w:rsidR="59DD4591" w:rsidRPr="4769E595">
        <w:rPr>
          <w:sz w:val="22"/>
          <w:szCs w:val="22"/>
        </w:rPr>
        <w:t>)</w:t>
      </w:r>
      <w:r w:rsidR="63C49992" w:rsidRPr="4769E595">
        <w:rPr>
          <w:sz w:val="22"/>
          <w:szCs w:val="22"/>
        </w:rPr>
        <w:t xml:space="preserve"> should be prioritized.</w:t>
      </w:r>
      <w:r w:rsidR="3E25BF4A" w:rsidRPr="4769E595">
        <w:rPr>
          <w:sz w:val="22"/>
          <w:szCs w:val="22"/>
        </w:rPr>
        <w:t xml:space="preserve"> </w:t>
      </w:r>
      <w:r w:rsidRPr="4769E595">
        <w:rPr>
          <w:sz w:val="22"/>
          <w:szCs w:val="22"/>
        </w:rPr>
        <w:t>Priority groups</w:t>
      </w:r>
      <w:r w:rsidR="3E25BF4A" w:rsidRPr="4769E595">
        <w:rPr>
          <w:sz w:val="22"/>
          <w:szCs w:val="22"/>
        </w:rPr>
        <w:t xml:space="preserve"> include those with the colour code of green.</w:t>
      </w:r>
    </w:p>
    <w:p w14:paraId="55B1183F" w14:textId="028C7F32" w:rsidR="0061004A" w:rsidRDefault="0061004A" w:rsidP="00DA3370">
      <w:pPr>
        <w:contextualSpacing/>
        <w:rPr>
          <w:sz w:val="22"/>
          <w:szCs w:val="22"/>
        </w:rPr>
      </w:pPr>
    </w:p>
    <w:p w14:paraId="00F90C1F" w14:textId="6312E1AD" w:rsidR="4DA70536" w:rsidRDefault="4AD12E3A" w:rsidP="00DA3370">
      <w:pPr>
        <w:contextualSpacing/>
        <w:rPr>
          <w:sz w:val="22"/>
          <w:szCs w:val="22"/>
        </w:rPr>
      </w:pPr>
      <w:r w:rsidRPr="28E960E0">
        <w:rPr>
          <w:i/>
          <w:iCs/>
          <w:sz w:val="22"/>
          <w:szCs w:val="22"/>
        </w:rPr>
        <w:t>Clinical Assessment of Patients</w:t>
      </w:r>
    </w:p>
    <w:p w14:paraId="4E8D44D3" w14:textId="77777777" w:rsidR="00930EC5" w:rsidRDefault="7E782F44" w:rsidP="00DA3370">
      <w:pPr>
        <w:contextualSpacing/>
        <w:rPr>
          <w:sz w:val="22"/>
          <w:szCs w:val="22"/>
        </w:rPr>
      </w:pPr>
      <w:r w:rsidRPr="4769E595">
        <w:rPr>
          <w:sz w:val="22"/>
          <w:szCs w:val="22"/>
        </w:rPr>
        <w:t xml:space="preserve">Physicians will be responsible for </w:t>
      </w:r>
      <w:r w:rsidR="322CE39D" w:rsidRPr="4769E595">
        <w:rPr>
          <w:sz w:val="22"/>
          <w:szCs w:val="22"/>
        </w:rPr>
        <w:t>conduc</w:t>
      </w:r>
      <w:r w:rsidR="7D0BD434" w:rsidRPr="4769E595">
        <w:rPr>
          <w:sz w:val="22"/>
          <w:szCs w:val="22"/>
        </w:rPr>
        <w:t>ting</w:t>
      </w:r>
      <w:r w:rsidR="322CE39D" w:rsidRPr="4769E595">
        <w:rPr>
          <w:sz w:val="22"/>
          <w:szCs w:val="22"/>
        </w:rPr>
        <w:t xml:space="preserve"> an </w:t>
      </w:r>
      <w:r w:rsidR="09374D51" w:rsidRPr="4769E595">
        <w:rPr>
          <w:sz w:val="22"/>
          <w:szCs w:val="22"/>
        </w:rPr>
        <w:t>individualized assessment</w:t>
      </w:r>
      <w:r w:rsidR="004D6F7B">
        <w:rPr>
          <w:rStyle w:val="EndnoteReference"/>
          <w:sz w:val="22"/>
          <w:szCs w:val="22"/>
        </w:rPr>
        <w:endnoteReference w:id="33"/>
      </w:r>
      <w:r w:rsidR="000D3F1A" w:rsidRPr="000D3F1A">
        <w:rPr>
          <w:sz w:val="22"/>
          <w:szCs w:val="22"/>
          <w:vertAlign w:val="superscript"/>
        </w:rPr>
        <w:t>,</w:t>
      </w:r>
      <w:r w:rsidR="006A7F4F">
        <w:rPr>
          <w:rStyle w:val="EndnoteReference"/>
          <w:sz w:val="22"/>
          <w:szCs w:val="22"/>
        </w:rPr>
        <w:endnoteReference w:id="34"/>
      </w:r>
      <w:r w:rsidR="000D3F1A" w:rsidRPr="000D3F1A">
        <w:rPr>
          <w:sz w:val="22"/>
          <w:szCs w:val="22"/>
          <w:vertAlign w:val="superscript"/>
        </w:rPr>
        <w:t>,</w:t>
      </w:r>
      <w:r w:rsidR="006A7F4F">
        <w:rPr>
          <w:rStyle w:val="EndnoteReference"/>
          <w:sz w:val="22"/>
          <w:szCs w:val="22"/>
        </w:rPr>
        <w:endnoteReference w:id="35"/>
      </w:r>
      <w:r w:rsidR="000D3F1A" w:rsidRPr="000D3F1A">
        <w:rPr>
          <w:sz w:val="22"/>
          <w:szCs w:val="22"/>
          <w:vertAlign w:val="superscript"/>
        </w:rPr>
        <w:t>,</w:t>
      </w:r>
      <w:r w:rsidR="006A7F4F">
        <w:rPr>
          <w:rStyle w:val="EndnoteReference"/>
          <w:sz w:val="22"/>
          <w:szCs w:val="22"/>
        </w:rPr>
        <w:endnoteReference w:id="36"/>
      </w:r>
      <w:r w:rsidR="09374D51" w:rsidRPr="4769E595">
        <w:rPr>
          <w:sz w:val="22"/>
          <w:szCs w:val="22"/>
        </w:rPr>
        <w:t xml:space="preserve"> of each patient</w:t>
      </w:r>
      <w:r w:rsidR="322CE39D" w:rsidRPr="4769E595">
        <w:rPr>
          <w:sz w:val="22"/>
          <w:szCs w:val="22"/>
        </w:rPr>
        <w:t xml:space="preserve"> in order to determine </w:t>
      </w:r>
      <w:r w:rsidRPr="4769E595">
        <w:rPr>
          <w:sz w:val="22"/>
          <w:szCs w:val="22"/>
        </w:rPr>
        <w:t xml:space="preserve">whether </w:t>
      </w:r>
      <w:r w:rsidR="567791A4" w:rsidRPr="4769E595">
        <w:rPr>
          <w:sz w:val="22"/>
          <w:szCs w:val="22"/>
        </w:rPr>
        <w:t>the patient</w:t>
      </w:r>
      <w:r w:rsidRPr="4769E595">
        <w:rPr>
          <w:sz w:val="22"/>
          <w:szCs w:val="22"/>
        </w:rPr>
        <w:t xml:space="preserve"> meet</w:t>
      </w:r>
      <w:r w:rsidR="13411FF8" w:rsidRPr="4769E595">
        <w:rPr>
          <w:sz w:val="22"/>
          <w:szCs w:val="22"/>
        </w:rPr>
        <w:t>s</w:t>
      </w:r>
      <w:r w:rsidRPr="4769E595">
        <w:rPr>
          <w:sz w:val="22"/>
          <w:szCs w:val="22"/>
        </w:rPr>
        <w:t xml:space="preserve"> or do</w:t>
      </w:r>
      <w:r w:rsidR="5C58C93C" w:rsidRPr="4769E595">
        <w:rPr>
          <w:sz w:val="22"/>
          <w:szCs w:val="22"/>
        </w:rPr>
        <w:t>es</w:t>
      </w:r>
      <w:r w:rsidRPr="4769E595">
        <w:rPr>
          <w:sz w:val="22"/>
          <w:szCs w:val="22"/>
        </w:rPr>
        <w:t xml:space="preserve"> not meet eligibility and prioritization criteria.</w:t>
      </w:r>
      <w:r w:rsidR="007E71C4">
        <w:rPr>
          <w:sz w:val="22"/>
          <w:szCs w:val="22"/>
        </w:rPr>
        <w:t xml:space="preserve"> Physicians should consult with other </w:t>
      </w:r>
      <w:r w:rsidR="007E71C4" w:rsidRPr="007E71C4">
        <w:rPr>
          <w:sz w:val="22"/>
          <w:szCs w:val="22"/>
        </w:rPr>
        <w:t>clinical expert</w:t>
      </w:r>
      <w:r w:rsidR="003069CD">
        <w:rPr>
          <w:sz w:val="22"/>
          <w:szCs w:val="22"/>
        </w:rPr>
        <w:t>s</w:t>
      </w:r>
      <w:r w:rsidR="007E71C4" w:rsidRPr="007E71C4">
        <w:rPr>
          <w:sz w:val="22"/>
          <w:szCs w:val="22"/>
        </w:rPr>
        <w:t xml:space="preserve"> with relevant experience to inform clinical assessment</w:t>
      </w:r>
      <w:r w:rsidR="007E71C4">
        <w:rPr>
          <w:sz w:val="22"/>
          <w:szCs w:val="22"/>
        </w:rPr>
        <w:t>s</w:t>
      </w:r>
      <w:r w:rsidR="00DB2FA2">
        <w:rPr>
          <w:sz w:val="22"/>
          <w:szCs w:val="22"/>
        </w:rPr>
        <w:t xml:space="preserve"> as needed</w:t>
      </w:r>
      <w:r w:rsidR="007E71C4">
        <w:rPr>
          <w:sz w:val="22"/>
          <w:szCs w:val="22"/>
        </w:rPr>
        <w:t xml:space="preserve">. </w:t>
      </w:r>
      <w:r w:rsidR="198B508F" w:rsidRPr="4769E595">
        <w:rPr>
          <w:sz w:val="22"/>
          <w:szCs w:val="22"/>
        </w:rPr>
        <w:t xml:space="preserve">Ideally, </w:t>
      </w:r>
      <w:r w:rsidR="007E71C4">
        <w:rPr>
          <w:sz w:val="22"/>
          <w:szCs w:val="22"/>
        </w:rPr>
        <w:t>physicians</w:t>
      </w:r>
      <w:r w:rsidR="2C12D9AF" w:rsidRPr="4769E595">
        <w:rPr>
          <w:sz w:val="22"/>
          <w:szCs w:val="22"/>
        </w:rPr>
        <w:t xml:space="preserve"> should use </w:t>
      </w:r>
      <w:r w:rsidR="2D7CBF12" w:rsidRPr="4769E595">
        <w:rPr>
          <w:sz w:val="22"/>
          <w:szCs w:val="22"/>
        </w:rPr>
        <w:t>c</w:t>
      </w:r>
      <w:r w:rsidR="63351164" w:rsidRPr="4769E595">
        <w:rPr>
          <w:sz w:val="22"/>
          <w:szCs w:val="22"/>
        </w:rPr>
        <w:t xml:space="preserve">linical </w:t>
      </w:r>
      <w:r w:rsidR="007E71C4">
        <w:rPr>
          <w:sz w:val="22"/>
          <w:szCs w:val="22"/>
        </w:rPr>
        <w:t xml:space="preserve">assessment </w:t>
      </w:r>
      <w:r w:rsidR="56E7F0A4" w:rsidRPr="4769E595">
        <w:rPr>
          <w:sz w:val="22"/>
          <w:szCs w:val="22"/>
        </w:rPr>
        <w:t xml:space="preserve">guidelines </w:t>
      </w:r>
      <w:r w:rsidR="7F35153D" w:rsidRPr="4769E595">
        <w:rPr>
          <w:sz w:val="22"/>
          <w:szCs w:val="22"/>
        </w:rPr>
        <w:t xml:space="preserve">or published evidence </w:t>
      </w:r>
      <w:r w:rsidR="77EEFE60" w:rsidRPr="4769E595">
        <w:rPr>
          <w:sz w:val="22"/>
          <w:szCs w:val="22"/>
        </w:rPr>
        <w:t>to</w:t>
      </w:r>
      <w:r w:rsidR="70D92A87" w:rsidRPr="4769E595">
        <w:rPr>
          <w:sz w:val="22"/>
          <w:szCs w:val="22"/>
        </w:rPr>
        <w:t xml:space="preserve"> identify clinical conditions </w:t>
      </w:r>
      <w:r w:rsidR="220E1A5F" w:rsidRPr="4769E595">
        <w:rPr>
          <w:sz w:val="22"/>
          <w:szCs w:val="22"/>
        </w:rPr>
        <w:t xml:space="preserve">or findings </w:t>
      </w:r>
      <w:r w:rsidR="70D92A87" w:rsidRPr="4769E595">
        <w:rPr>
          <w:sz w:val="22"/>
          <w:szCs w:val="22"/>
        </w:rPr>
        <w:t xml:space="preserve">that are </w:t>
      </w:r>
      <w:r w:rsidR="0666F883" w:rsidRPr="4769E595">
        <w:rPr>
          <w:sz w:val="22"/>
          <w:szCs w:val="22"/>
        </w:rPr>
        <w:t>predictive of</w:t>
      </w:r>
      <w:r w:rsidR="70D92A87" w:rsidRPr="4769E595">
        <w:rPr>
          <w:sz w:val="22"/>
          <w:szCs w:val="22"/>
        </w:rPr>
        <w:t xml:space="preserve"> short-term mortality</w:t>
      </w:r>
      <w:r w:rsidR="4C9398DB" w:rsidRPr="4769E595">
        <w:rPr>
          <w:sz w:val="22"/>
          <w:szCs w:val="22"/>
        </w:rPr>
        <w:t xml:space="preserve"> risk</w:t>
      </w:r>
      <w:r w:rsidR="003069CD">
        <w:rPr>
          <w:sz w:val="22"/>
          <w:szCs w:val="22"/>
        </w:rPr>
        <w:t xml:space="preserve"> in order</w:t>
      </w:r>
      <w:r w:rsidR="70D92A87" w:rsidRPr="4769E595">
        <w:rPr>
          <w:sz w:val="22"/>
          <w:szCs w:val="22"/>
        </w:rPr>
        <w:t xml:space="preserve"> </w:t>
      </w:r>
      <w:r w:rsidR="01A3138A" w:rsidRPr="4769E595">
        <w:rPr>
          <w:sz w:val="22"/>
          <w:szCs w:val="22"/>
        </w:rPr>
        <w:t>t</w:t>
      </w:r>
      <w:r w:rsidR="56E7F0A4" w:rsidRPr="4769E595">
        <w:rPr>
          <w:sz w:val="22"/>
          <w:szCs w:val="22"/>
        </w:rPr>
        <w:t>o</w:t>
      </w:r>
      <w:r w:rsidR="502569AF" w:rsidRPr="4769E595">
        <w:rPr>
          <w:sz w:val="22"/>
          <w:szCs w:val="22"/>
        </w:rPr>
        <w:t xml:space="preserve"> </w:t>
      </w:r>
      <w:r w:rsidR="000D3F1A">
        <w:rPr>
          <w:sz w:val="22"/>
          <w:szCs w:val="22"/>
        </w:rPr>
        <w:t xml:space="preserve">enhance consistency, </w:t>
      </w:r>
      <w:r w:rsidR="502569AF" w:rsidRPr="4769E595">
        <w:rPr>
          <w:sz w:val="22"/>
          <w:szCs w:val="22"/>
        </w:rPr>
        <w:t>mitigate bias</w:t>
      </w:r>
      <w:r w:rsidR="003069CD">
        <w:rPr>
          <w:sz w:val="22"/>
          <w:szCs w:val="22"/>
        </w:rPr>
        <w:t>, or which are themselves capable of mitigating bias</w:t>
      </w:r>
      <w:r w:rsidR="4BC75D96" w:rsidRPr="4769E595">
        <w:rPr>
          <w:sz w:val="22"/>
          <w:szCs w:val="22"/>
        </w:rPr>
        <w:t>.</w:t>
      </w:r>
      <w:r w:rsidR="52393364" w:rsidRPr="4769E595">
        <w:rPr>
          <w:sz w:val="22"/>
          <w:szCs w:val="22"/>
        </w:rPr>
        <w:t xml:space="preserve"> </w:t>
      </w:r>
      <w:r w:rsidR="4D1A2CAC" w:rsidRPr="4769E595">
        <w:rPr>
          <w:sz w:val="22"/>
          <w:szCs w:val="22"/>
        </w:rPr>
        <w:t xml:space="preserve">Such </w:t>
      </w:r>
      <w:r w:rsidR="52393364" w:rsidRPr="4769E595">
        <w:rPr>
          <w:sz w:val="22"/>
          <w:szCs w:val="22"/>
        </w:rPr>
        <w:t xml:space="preserve">clinical </w:t>
      </w:r>
      <w:r w:rsidR="007E71C4">
        <w:rPr>
          <w:sz w:val="22"/>
          <w:szCs w:val="22"/>
        </w:rPr>
        <w:t xml:space="preserve">assessment </w:t>
      </w:r>
      <w:r w:rsidR="52393364" w:rsidRPr="4769E595">
        <w:rPr>
          <w:sz w:val="22"/>
          <w:szCs w:val="22"/>
        </w:rPr>
        <w:t xml:space="preserve">guidelines </w:t>
      </w:r>
      <w:r w:rsidR="39C7615E" w:rsidRPr="4769E595">
        <w:rPr>
          <w:sz w:val="22"/>
          <w:szCs w:val="22"/>
        </w:rPr>
        <w:t xml:space="preserve">should </w:t>
      </w:r>
      <w:r w:rsidR="5FBD54C7" w:rsidRPr="4769E595">
        <w:rPr>
          <w:sz w:val="22"/>
          <w:szCs w:val="22"/>
        </w:rPr>
        <w:t xml:space="preserve">reflect </w:t>
      </w:r>
      <w:r w:rsidR="52393364" w:rsidRPr="4769E595">
        <w:rPr>
          <w:sz w:val="22"/>
          <w:szCs w:val="22"/>
        </w:rPr>
        <w:t>the best available evidence</w:t>
      </w:r>
      <w:r w:rsidR="1C1580B1" w:rsidRPr="4769E595">
        <w:rPr>
          <w:sz w:val="22"/>
          <w:szCs w:val="22"/>
        </w:rPr>
        <w:t xml:space="preserve"> or expert opinion</w:t>
      </w:r>
      <w:r w:rsidR="52393364" w:rsidRPr="4769E595">
        <w:rPr>
          <w:sz w:val="22"/>
          <w:szCs w:val="22"/>
        </w:rPr>
        <w:t xml:space="preserve"> </w:t>
      </w:r>
      <w:r w:rsidR="285F344B" w:rsidRPr="4769E595">
        <w:rPr>
          <w:sz w:val="22"/>
          <w:szCs w:val="22"/>
        </w:rPr>
        <w:t>as well as</w:t>
      </w:r>
      <w:r w:rsidR="04DB2A11" w:rsidRPr="4769E595">
        <w:rPr>
          <w:sz w:val="22"/>
          <w:szCs w:val="22"/>
        </w:rPr>
        <w:t xml:space="preserve"> ethical and human rights </w:t>
      </w:r>
      <w:r w:rsidR="5FC89B2E" w:rsidRPr="4769E595">
        <w:rPr>
          <w:sz w:val="22"/>
          <w:szCs w:val="22"/>
        </w:rPr>
        <w:t>considerations</w:t>
      </w:r>
      <w:r w:rsidR="52393364" w:rsidRPr="4769E595">
        <w:rPr>
          <w:sz w:val="22"/>
          <w:szCs w:val="22"/>
        </w:rPr>
        <w:t xml:space="preserve"> and be</w:t>
      </w:r>
      <w:r w:rsidR="210E5C02" w:rsidRPr="4769E595">
        <w:rPr>
          <w:sz w:val="22"/>
          <w:szCs w:val="22"/>
        </w:rPr>
        <w:t xml:space="preserve"> usable at the bedside in the setting of a major surge.</w:t>
      </w:r>
      <w:r w:rsidR="007E71C4">
        <w:rPr>
          <w:sz w:val="22"/>
          <w:szCs w:val="22"/>
        </w:rPr>
        <w:t xml:space="preserve"> </w:t>
      </w:r>
      <w:r w:rsidR="14980DE9" w:rsidRPr="4769E595">
        <w:rPr>
          <w:sz w:val="22"/>
          <w:szCs w:val="22"/>
        </w:rPr>
        <w:t xml:space="preserve">To </w:t>
      </w:r>
      <w:r w:rsidR="3F7805CD" w:rsidRPr="4769E595">
        <w:rPr>
          <w:sz w:val="22"/>
          <w:szCs w:val="22"/>
        </w:rPr>
        <w:t>ensure that these parameters are met</w:t>
      </w:r>
      <w:r w:rsidR="14980DE9" w:rsidRPr="4769E595">
        <w:rPr>
          <w:sz w:val="22"/>
          <w:szCs w:val="22"/>
        </w:rPr>
        <w:t>, we recommend that a multidisciplinary consensus panel be established for the purposes of developing and refining the</w:t>
      </w:r>
      <w:r w:rsidR="5D32613D" w:rsidRPr="4769E595">
        <w:rPr>
          <w:sz w:val="22"/>
          <w:szCs w:val="22"/>
        </w:rPr>
        <w:t xml:space="preserve"> clinical factors and tools that should be included in such</w:t>
      </w:r>
      <w:r w:rsidR="14980DE9" w:rsidRPr="4769E595">
        <w:rPr>
          <w:sz w:val="22"/>
          <w:szCs w:val="22"/>
        </w:rPr>
        <w:t xml:space="preserve"> clinical </w:t>
      </w:r>
      <w:r w:rsidR="007E71C4">
        <w:rPr>
          <w:sz w:val="22"/>
          <w:szCs w:val="22"/>
        </w:rPr>
        <w:t xml:space="preserve">assessment </w:t>
      </w:r>
      <w:r w:rsidR="14980DE9" w:rsidRPr="4769E595">
        <w:rPr>
          <w:sz w:val="22"/>
          <w:szCs w:val="22"/>
        </w:rPr>
        <w:t xml:space="preserve">guidelines. </w:t>
      </w:r>
      <w:r w:rsidR="00A10B44" w:rsidRPr="00A10B44">
        <w:rPr>
          <w:sz w:val="22"/>
          <w:szCs w:val="22"/>
        </w:rPr>
        <w:t>Such a panel should include and engage the input of experts in critical care, other clinical disciplines, ethics, human rights and law, and the perspectives of those whose voices are usually not heard but may be disproportionately affected by critical care triage.</w:t>
      </w:r>
      <w:r w:rsidR="00A10B44">
        <w:rPr>
          <w:sz w:val="22"/>
          <w:szCs w:val="22"/>
        </w:rPr>
        <w:t xml:space="preserve"> </w:t>
      </w:r>
      <w:r w:rsidR="14980DE9" w:rsidRPr="4769E595">
        <w:rPr>
          <w:sz w:val="22"/>
          <w:szCs w:val="22"/>
        </w:rPr>
        <w:t>Based on our extensive consulta</w:t>
      </w:r>
      <w:r w:rsidR="34557607" w:rsidRPr="4769E595">
        <w:rPr>
          <w:sz w:val="22"/>
          <w:szCs w:val="22"/>
        </w:rPr>
        <w:t>tion, we suggest</w:t>
      </w:r>
      <w:r w:rsidR="6D7E955E" w:rsidRPr="4769E595">
        <w:rPr>
          <w:sz w:val="22"/>
          <w:szCs w:val="22"/>
        </w:rPr>
        <w:t xml:space="preserve"> that</w:t>
      </w:r>
      <w:r w:rsidR="34557607" w:rsidRPr="4769E595">
        <w:rPr>
          <w:sz w:val="22"/>
          <w:szCs w:val="22"/>
        </w:rPr>
        <w:t xml:space="preserve"> the clinical </w:t>
      </w:r>
      <w:r w:rsidR="67822F58" w:rsidRPr="4769E595">
        <w:rPr>
          <w:sz w:val="22"/>
          <w:szCs w:val="22"/>
        </w:rPr>
        <w:t xml:space="preserve">findings </w:t>
      </w:r>
      <w:r w:rsidR="34557607" w:rsidRPr="4769E595">
        <w:rPr>
          <w:sz w:val="22"/>
          <w:szCs w:val="22"/>
        </w:rPr>
        <w:t xml:space="preserve">and tools identified in Appendix C </w:t>
      </w:r>
      <w:r w:rsidR="2F09E353" w:rsidRPr="4769E595">
        <w:rPr>
          <w:sz w:val="22"/>
          <w:szCs w:val="22"/>
        </w:rPr>
        <w:t xml:space="preserve">could serve </w:t>
      </w:r>
      <w:r w:rsidR="34557607" w:rsidRPr="4769E595">
        <w:rPr>
          <w:sz w:val="22"/>
          <w:szCs w:val="22"/>
        </w:rPr>
        <w:t>as a starting point.</w:t>
      </w:r>
      <w:r w:rsidR="003069CD" w:rsidRPr="003069CD">
        <w:t xml:space="preserve"> </w:t>
      </w:r>
      <w:r w:rsidR="003069CD">
        <w:t>H</w:t>
      </w:r>
      <w:r w:rsidR="003069CD" w:rsidRPr="003069CD">
        <w:rPr>
          <w:sz w:val="22"/>
          <w:szCs w:val="22"/>
        </w:rPr>
        <w:t>owever</w:t>
      </w:r>
      <w:r w:rsidR="003069CD">
        <w:rPr>
          <w:sz w:val="22"/>
          <w:szCs w:val="22"/>
        </w:rPr>
        <w:t>,</w:t>
      </w:r>
      <w:r w:rsidR="003069CD" w:rsidRPr="003069CD">
        <w:rPr>
          <w:sz w:val="22"/>
          <w:szCs w:val="22"/>
        </w:rPr>
        <w:t xml:space="preserve"> it should be noted that no tool has been designed and validated for ethical triage decision-making of this sort, and tools that are normally used may be problematic when applied for this purpose.</w:t>
      </w:r>
    </w:p>
    <w:p w14:paraId="45307639" w14:textId="77777777" w:rsidR="00930EC5" w:rsidRDefault="00930EC5" w:rsidP="00DA3370">
      <w:pPr>
        <w:contextualSpacing/>
        <w:rPr>
          <w:sz w:val="22"/>
          <w:szCs w:val="22"/>
        </w:rPr>
      </w:pPr>
    </w:p>
    <w:p w14:paraId="37BE8590" w14:textId="6EA4D947" w:rsidR="15F09DB1" w:rsidRPr="00930EC5" w:rsidRDefault="6D175DA4" w:rsidP="00DA3370">
      <w:pPr>
        <w:contextualSpacing/>
        <w:rPr>
          <w:sz w:val="22"/>
          <w:szCs w:val="22"/>
        </w:rPr>
      </w:pPr>
      <w:r w:rsidRPr="500AFCFA">
        <w:rPr>
          <w:i/>
          <w:iCs/>
          <w:sz w:val="22"/>
          <w:szCs w:val="22"/>
        </w:rPr>
        <w:t xml:space="preserve">Definition of </w:t>
      </w:r>
      <w:r w:rsidR="4BD7C8A2" w:rsidRPr="500AFCFA">
        <w:rPr>
          <w:i/>
          <w:iCs/>
          <w:sz w:val="22"/>
          <w:szCs w:val="22"/>
        </w:rPr>
        <w:t xml:space="preserve">Predicted </w:t>
      </w:r>
      <w:r w:rsidR="4C15F056" w:rsidRPr="500AFCFA">
        <w:rPr>
          <w:i/>
          <w:iCs/>
          <w:sz w:val="22"/>
          <w:szCs w:val="22"/>
        </w:rPr>
        <w:t>S</w:t>
      </w:r>
      <w:r w:rsidR="0061004A" w:rsidRPr="500AFCFA">
        <w:rPr>
          <w:i/>
          <w:iCs/>
          <w:sz w:val="22"/>
          <w:szCs w:val="22"/>
        </w:rPr>
        <w:t>hort-</w:t>
      </w:r>
      <w:r w:rsidR="13F9E891" w:rsidRPr="500AFCFA">
        <w:rPr>
          <w:i/>
          <w:iCs/>
          <w:sz w:val="22"/>
          <w:szCs w:val="22"/>
        </w:rPr>
        <w:t>T</w:t>
      </w:r>
      <w:r w:rsidR="0061004A" w:rsidRPr="500AFCFA">
        <w:rPr>
          <w:i/>
          <w:iCs/>
          <w:sz w:val="22"/>
          <w:szCs w:val="22"/>
        </w:rPr>
        <w:t xml:space="preserve">erm </w:t>
      </w:r>
      <w:r w:rsidR="0A6E17DA" w:rsidRPr="500AFCFA">
        <w:rPr>
          <w:i/>
          <w:iCs/>
          <w:sz w:val="22"/>
          <w:szCs w:val="22"/>
        </w:rPr>
        <w:t>M</w:t>
      </w:r>
      <w:r w:rsidR="0061004A" w:rsidRPr="500AFCFA">
        <w:rPr>
          <w:i/>
          <w:iCs/>
          <w:sz w:val="22"/>
          <w:szCs w:val="22"/>
        </w:rPr>
        <w:t>ortality</w:t>
      </w:r>
      <w:r w:rsidR="19E0FDEB" w:rsidRPr="500AFCFA">
        <w:rPr>
          <w:i/>
          <w:iCs/>
          <w:sz w:val="22"/>
          <w:szCs w:val="22"/>
        </w:rPr>
        <w:t xml:space="preserve"> </w:t>
      </w:r>
      <w:r w:rsidR="72AF1595" w:rsidRPr="500AFCFA">
        <w:rPr>
          <w:i/>
          <w:iCs/>
          <w:sz w:val="22"/>
          <w:szCs w:val="22"/>
        </w:rPr>
        <w:t>R</w:t>
      </w:r>
      <w:r w:rsidR="19E0FDEB" w:rsidRPr="500AFCFA">
        <w:rPr>
          <w:i/>
          <w:iCs/>
          <w:sz w:val="22"/>
          <w:szCs w:val="22"/>
        </w:rPr>
        <w:t>isk</w:t>
      </w:r>
    </w:p>
    <w:p w14:paraId="2C74FD7A" w14:textId="3049C3ED" w:rsidR="15F09DB1" w:rsidRDefault="55DA74FF" w:rsidP="00DA3370">
      <w:pPr>
        <w:contextualSpacing/>
        <w:rPr>
          <w:sz w:val="22"/>
          <w:szCs w:val="22"/>
        </w:rPr>
      </w:pPr>
      <w:r w:rsidRPr="109A04B4">
        <w:rPr>
          <w:sz w:val="22"/>
          <w:szCs w:val="22"/>
        </w:rPr>
        <w:t xml:space="preserve">For the purpose of this triage document, we have defined </w:t>
      </w:r>
      <w:r w:rsidR="00361523">
        <w:rPr>
          <w:sz w:val="22"/>
          <w:szCs w:val="22"/>
        </w:rPr>
        <w:t xml:space="preserve">predicted </w:t>
      </w:r>
      <w:r w:rsidRPr="109A04B4">
        <w:rPr>
          <w:sz w:val="22"/>
          <w:szCs w:val="22"/>
        </w:rPr>
        <w:t xml:space="preserve">short-term mortality risk </w:t>
      </w:r>
      <w:r w:rsidR="007E71C4">
        <w:rPr>
          <w:sz w:val="22"/>
          <w:szCs w:val="22"/>
        </w:rPr>
        <w:t>as</w:t>
      </w:r>
      <w:r w:rsidRPr="109A04B4">
        <w:rPr>
          <w:sz w:val="22"/>
          <w:szCs w:val="22"/>
        </w:rPr>
        <w:t xml:space="preserve"> the predicted risk of death in the </w:t>
      </w:r>
      <w:r w:rsidR="1BB125DA" w:rsidRPr="109A04B4">
        <w:rPr>
          <w:sz w:val="22"/>
          <w:szCs w:val="22"/>
        </w:rPr>
        <w:t>twelve</w:t>
      </w:r>
      <w:r w:rsidRPr="109A04B4">
        <w:rPr>
          <w:sz w:val="22"/>
          <w:szCs w:val="22"/>
        </w:rPr>
        <w:t xml:space="preserve"> months following the onset of critical illness</w:t>
      </w:r>
      <w:r w:rsidR="00361523">
        <w:rPr>
          <w:sz w:val="22"/>
          <w:szCs w:val="22"/>
        </w:rPr>
        <w:t>, which is to be based on</w:t>
      </w:r>
      <w:r w:rsidR="00361523">
        <w:rPr>
          <w:rFonts w:eastAsiaTheme="minorEastAsia"/>
          <w:sz w:val="22"/>
          <w:szCs w:val="22"/>
        </w:rPr>
        <w:t xml:space="preserve"> </w:t>
      </w:r>
      <w:r w:rsidR="00361523" w:rsidRPr="109A04B4">
        <w:rPr>
          <w:rFonts w:eastAsiaTheme="minorEastAsia"/>
          <w:sz w:val="22"/>
          <w:szCs w:val="22"/>
        </w:rPr>
        <w:t xml:space="preserve">an evaluation of </w:t>
      </w:r>
      <w:r w:rsidR="00361523">
        <w:rPr>
          <w:rFonts w:eastAsiaTheme="minorEastAsia"/>
          <w:sz w:val="22"/>
          <w:szCs w:val="22"/>
        </w:rPr>
        <w:t>a patient’s</w:t>
      </w:r>
      <w:r w:rsidR="00361523" w:rsidRPr="109A04B4">
        <w:rPr>
          <w:rFonts w:eastAsiaTheme="minorEastAsia"/>
          <w:sz w:val="22"/>
          <w:szCs w:val="22"/>
        </w:rPr>
        <w:t xml:space="preserve"> clinical presentation at the point of triag</w:t>
      </w:r>
      <w:r w:rsidR="00361523">
        <w:rPr>
          <w:rFonts w:eastAsiaTheme="minorEastAsia"/>
          <w:sz w:val="22"/>
          <w:szCs w:val="22"/>
        </w:rPr>
        <w:t>e</w:t>
      </w:r>
      <w:r w:rsidRPr="109A04B4">
        <w:rPr>
          <w:sz w:val="22"/>
          <w:szCs w:val="22"/>
        </w:rPr>
        <w:t xml:space="preserve">. </w:t>
      </w:r>
      <w:r w:rsidR="2051AA7C" w:rsidRPr="109A04B4">
        <w:rPr>
          <w:sz w:val="22"/>
          <w:szCs w:val="22"/>
        </w:rPr>
        <w:t>We have chosen this definition for several reasons:</w:t>
      </w:r>
    </w:p>
    <w:p w14:paraId="522B598F" w14:textId="5E8B59DF" w:rsidR="15F09DB1" w:rsidRDefault="45095F29" w:rsidP="00DA3370">
      <w:pPr>
        <w:pStyle w:val="ListParagraph"/>
        <w:numPr>
          <w:ilvl w:val="0"/>
          <w:numId w:val="5"/>
        </w:numPr>
        <w:rPr>
          <w:rFonts w:eastAsiaTheme="minorEastAsia"/>
          <w:sz w:val="22"/>
          <w:szCs w:val="22"/>
        </w:rPr>
      </w:pPr>
      <w:r w:rsidRPr="109A04B4">
        <w:rPr>
          <w:sz w:val="22"/>
          <w:szCs w:val="22"/>
        </w:rPr>
        <w:t xml:space="preserve">Critical care is often able to sustain vital organ function for even the most </w:t>
      </w:r>
      <w:r w:rsidR="14D975C5" w:rsidRPr="109A04B4">
        <w:rPr>
          <w:sz w:val="22"/>
          <w:szCs w:val="22"/>
        </w:rPr>
        <w:t xml:space="preserve">catastrophic illness for </w:t>
      </w:r>
      <w:r w:rsidR="76F00EA0" w:rsidRPr="109A04B4">
        <w:rPr>
          <w:sz w:val="22"/>
          <w:szCs w:val="22"/>
        </w:rPr>
        <w:t>weeks or months</w:t>
      </w:r>
      <w:r w:rsidR="17A8C821" w:rsidRPr="109A04B4">
        <w:rPr>
          <w:sz w:val="22"/>
          <w:szCs w:val="22"/>
        </w:rPr>
        <w:t xml:space="preserve">, </w:t>
      </w:r>
      <w:r w:rsidR="021A220C" w:rsidRPr="109A04B4">
        <w:rPr>
          <w:sz w:val="22"/>
          <w:szCs w:val="22"/>
        </w:rPr>
        <w:t xml:space="preserve">even if </w:t>
      </w:r>
      <w:r w:rsidR="17A8C821" w:rsidRPr="109A04B4">
        <w:rPr>
          <w:sz w:val="22"/>
          <w:szCs w:val="22"/>
        </w:rPr>
        <w:t>recovery</w:t>
      </w:r>
      <w:r w:rsidR="704E738A" w:rsidRPr="109A04B4">
        <w:rPr>
          <w:sz w:val="22"/>
          <w:szCs w:val="22"/>
        </w:rPr>
        <w:t xml:space="preserve"> is not realistically possible</w:t>
      </w:r>
      <w:r w:rsidR="14D975C5" w:rsidRPr="109A04B4">
        <w:rPr>
          <w:sz w:val="22"/>
          <w:szCs w:val="22"/>
        </w:rPr>
        <w:t xml:space="preserve">. </w:t>
      </w:r>
      <w:r w:rsidR="5DB24197" w:rsidRPr="109A04B4">
        <w:rPr>
          <w:sz w:val="22"/>
          <w:szCs w:val="22"/>
        </w:rPr>
        <w:t xml:space="preserve">In addition, critical illness </w:t>
      </w:r>
      <w:r w:rsidR="17E308A0" w:rsidRPr="109A04B4">
        <w:rPr>
          <w:sz w:val="22"/>
          <w:szCs w:val="22"/>
        </w:rPr>
        <w:t xml:space="preserve">is </w:t>
      </w:r>
      <w:r w:rsidR="5DB24197" w:rsidRPr="109A04B4">
        <w:rPr>
          <w:sz w:val="22"/>
          <w:szCs w:val="22"/>
        </w:rPr>
        <w:t>often a marker of terminal illness</w:t>
      </w:r>
      <w:r w:rsidR="48365295" w:rsidRPr="109A04B4">
        <w:rPr>
          <w:sz w:val="22"/>
          <w:szCs w:val="22"/>
        </w:rPr>
        <w:t xml:space="preserve">, so people </w:t>
      </w:r>
      <w:r w:rsidR="401A4159" w:rsidRPr="109A04B4">
        <w:rPr>
          <w:sz w:val="22"/>
          <w:szCs w:val="22"/>
        </w:rPr>
        <w:t xml:space="preserve">often </w:t>
      </w:r>
      <w:r w:rsidR="48365295" w:rsidRPr="109A04B4">
        <w:rPr>
          <w:sz w:val="22"/>
          <w:szCs w:val="22"/>
        </w:rPr>
        <w:t xml:space="preserve">survive </w:t>
      </w:r>
      <w:r w:rsidR="59CFEB24" w:rsidRPr="109A04B4">
        <w:rPr>
          <w:sz w:val="22"/>
          <w:szCs w:val="22"/>
        </w:rPr>
        <w:t xml:space="preserve">long enough to leave the ICU but die within days or </w:t>
      </w:r>
      <w:r w:rsidR="59CFEB24" w:rsidRPr="00361523">
        <w:rPr>
          <w:sz w:val="22"/>
          <w:szCs w:val="22"/>
        </w:rPr>
        <w:t>weeks</w:t>
      </w:r>
      <w:r w:rsidR="4BB2AAB5" w:rsidRPr="00361523">
        <w:rPr>
          <w:sz w:val="22"/>
          <w:szCs w:val="22"/>
        </w:rPr>
        <w:t xml:space="preserve"> </w:t>
      </w:r>
      <w:r w:rsidR="007E71C4">
        <w:rPr>
          <w:sz w:val="22"/>
          <w:szCs w:val="22"/>
        </w:rPr>
        <w:t>following discharge</w:t>
      </w:r>
      <w:r w:rsidR="59CFEB24" w:rsidRPr="00361523">
        <w:rPr>
          <w:sz w:val="22"/>
          <w:szCs w:val="22"/>
        </w:rPr>
        <w:t>.</w:t>
      </w:r>
      <w:r w:rsidR="004D6F7B">
        <w:rPr>
          <w:rStyle w:val="EndnoteReference"/>
          <w:sz w:val="22"/>
          <w:szCs w:val="22"/>
        </w:rPr>
        <w:endnoteReference w:id="37"/>
      </w:r>
      <w:r w:rsidR="59CFEB24" w:rsidRPr="109A04B4">
        <w:rPr>
          <w:sz w:val="22"/>
          <w:szCs w:val="22"/>
        </w:rPr>
        <w:t xml:space="preserve"> </w:t>
      </w:r>
      <w:r w:rsidR="007E71C4">
        <w:rPr>
          <w:sz w:val="22"/>
          <w:szCs w:val="22"/>
        </w:rPr>
        <w:t xml:space="preserve">We felt that prioritizing survival as understood in either of these scenarios </w:t>
      </w:r>
      <w:r w:rsidR="26899873" w:rsidRPr="109A04B4">
        <w:rPr>
          <w:sz w:val="22"/>
          <w:szCs w:val="22"/>
        </w:rPr>
        <w:t xml:space="preserve">would be inconsistent with the </w:t>
      </w:r>
      <w:r w:rsidR="000D3F1A">
        <w:rPr>
          <w:sz w:val="22"/>
          <w:szCs w:val="22"/>
        </w:rPr>
        <w:t xml:space="preserve">principle of prioritizing those with the greatest likelihood of survival, </w:t>
      </w:r>
      <w:r w:rsidR="30039595" w:rsidRPr="109A04B4">
        <w:rPr>
          <w:sz w:val="22"/>
          <w:szCs w:val="22"/>
        </w:rPr>
        <w:t>as explained in Section B above.</w:t>
      </w:r>
    </w:p>
    <w:p w14:paraId="2512358A" w14:textId="0B0F1279" w:rsidR="15F09DB1" w:rsidRDefault="3FC31C5E" w:rsidP="00DA3370">
      <w:pPr>
        <w:pStyle w:val="ListParagraph"/>
        <w:numPr>
          <w:ilvl w:val="0"/>
          <w:numId w:val="5"/>
        </w:numPr>
        <w:rPr>
          <w:rFonts w:eastAsiaTheme="minorEastAsia"/>
          <w:sz w:val="22"/>
          <w:szCs w:val="22"/>
        </w:rPr>
      </w:pPr>
      <w:r w:rsidRPr="4769E595">
        <w:rPr>
          <w:sz w:val="22"/>
          <w:szCs w:val="22"/>
        </w:rPr>
        <w:lastRenderedPageBreak/>
        <w:t>When studying a cohort of people who develop critical illness, most of the mortality</w:t>
      </w:r>
      <w:r w:rsidR="007E71C4">
        <w:rPr>
          <w:sz w:val="22"/>
          <w:szCs w:val="22"/>
        </w:rPr>
        <w:t xml:space="preserve"> tends to</w:t>
      </w:r>
      <w:r w:rsidRPr="4769E595">
        <w:rPr>
          <w:sz w:val="22"/>
          <w:szCs w:val="22"/>
        </w:rPr>
        <w:t xml:space="preserve"> take place in the initial weeks and months, with relatively little mortality occurring between </w:t>
      </w:r>
      <w:r w:rsidR="64FA467C" w:rsidRPr="4769E595">
        <w:rPr>
          <w:sz w:val="22"/>
          <w:szCs w:val="22"/>
        </w:rPr>
        <w:t>six</w:t>
      </w:r>
      <w:r w:rsidRPr="4769E595">
        <w:rPr>
          <w:sz w:val="22"/>
          <w:szCs w:val="22"/>
        </w:rPr>
        <w:t xml:space="preserve"> and </w:t>
      </w:r>
      <w:r w:rsidR="33693F74" w:rsidRPr="4769E595">
        <w:rPr>
          <w:sz w:val="22"/>
          <w:szCs w:val="22"/>
        </w:rPr>
        <w:t xml:space="preserve">twelve </w:t>
      </w:r>
      <w:r w:rsidRPr="4769E595">
        <w:rPr>
          <w:sz w:val="22"/>
          <w:szCs w:val="22"/>
        </w:rPr>
        <w:t>months after the onset of critical illness.</w:t>
      </w:r>
      <w:r w:rsidR="004D6F7B">
        <w:rPr>
          <w:rStyle w:val="EndnoteReference"/>
          <w:sz w:val="22"/>
          <w:szCs w:val="22"/>
        </w:rPr>
        <w:endnoteReference w:id="38"/>
      </w:r>
      <w:r w:rsidR="004D6F7B" w:rsidRPr="004D6F7B">
        <w:rPr>
          <w:sz w:val="22"/>
          <w:szCs w:val="22"/>
          <w:vertAlign w:val="superscript"/>
        </w:rPr>
        <w:t>,</w:t>
      </w:r>
      <w:r w:rsidR="004D6F7B">
        <w:rPr>
          <w:rStyle w:val="EndnoteReference"/>
          <w:sz w:val="22"/>
          <w:szCs w:val="22"/>
        </w:rPr>
        <w:endnoteReference w:id="39"/>
      </w:r>
      <w:r w:rsidRPr="4769E595">
        <w:rPr>
          <w:sz w:val="22"/>
          <w:szCs w:val="22"/>
        </w:rPr>
        <w:t xml:space="preserve"> </w:t>
      </w:r>
      <w:r w:rsidR="76431CFE" w:rsidRPr="4769E595">
        <w:rPr>
          <w:sz w:val="22"/>
          <w:szCs w:val="22"/>
        </w:rPr>
        <w:t>W</w:t>
      </w:r>
      <w:r w:rsidR="1996FEE5" w:rsidRPr="4769E595">
        <w:rPr>
          <w:sz w:val="22"/>
          <w:szCs w:val="22"/>
        </w:rPr>
        <w:t xml:space="preserve">e </w:t>
      </w:r>
      <w:r w:rsidR="1175DF0C" w:rsidRPr="4769E595">
        <w:rPr>
          <w:sz w:val="22"/>
          <w:szCs w:val="22"/>
        </w:rPr>
        <w:t xml:space="preserve">believe </w:t>
      </w:r>
      <w:r w:rsidR="1996FEE5" w:rsidRPr="4769E595">
        <w:rPr>
          <w:sz w:val="22"/>
          <w:szCs w:val="22"/>
        </w:rPr>
        <w:t xml:space="preserve">that a survival duration of </w:t>
      </w:r>
      <w:r w:rsidR="76F50BDD" w:rsidRPr="4769E595">
        <w:rPr>
          <w:sz w:val="22"/>
          <w:szCs w:val="22"/>
        </w:rPr>
        <w:t>six to twelve</w:t>
      </w:r>
      <w:r w:rsidR="1996FEE5" w:rsidRPr="4769E595">
        <w:rPr>
          <w:sz w:val="22"/>
          <w:szCs w:val="22"/>
        </w:rPr>
        <w:t xml:space="preserve"> months </w:t>
      </w:r>
      <w:r w:rsidR="248B448B" w:rsidRPr="4769E595">
        <w:rPr>
          <w:sz w:val="22"/>
          <w:szCs w:val="22"/>
        </w:rPr>
        <w:t>achieves</w:t>
      </w:r>
      <w:r w:rsidR="1996FEE5" w:rsidRPr="4769E595">
        <w:rPr>
          <w:sz w:val="22"/>
          <w:szCs w:val="22"/>
        </w:rPr>
        <w:t xml:space="preserve"> the best balance of </w:t>
      </w:r>
      <w:r w:rsidR="22501146" w:rsidRPr="4769E595">
        <w:rPr>
          <w:sz w:val="22"/>
          <w:szCs w:val="22"/>
        </w:rPr>
        <w:t>saving the most lives</w:t>
      </w:r>
      <w:r w:rsidR="5EF84385" w:rsidRPr="4769E595">
        <w:rPr>
          <w:sz w:val="22"/>
          <w:szCs w:val="22"/>
        </w:rPr>
        <w:t xml:space="preserve"> without unjustifiably prioritizing </w:t>
      </w:r>
      <w:r w:rsidR="0C6F16FB" w:rsidRPr="4769E595">
        <w:rPr>
          <w:sz w:val="22"/>
          <w:szCs w:val="22"/>
        </w:rPr>
        <w:t>younger individuals</w:t>
      </w:r>
      <w:r w:rsidR="2D8D1BF9" w:rsidRPr="4769E595">
        <w:rPr>
          <w:sz w:val="22"/>
          <w:szCs w:val="22"/>
        </w:rPr>
        <w:t xml:space="preserve"> or those with longer life expectancies.</w:t>
      </w:r>
    </w:p>
    <w:p w14:paraId="41D3E112" w14:textId="351F04C1" w:rsidR="15F09DB1" w:rsidRDefault="0BCFB752" w:rsidP="00DA3370">
      <w:pPr>
        <w:pStyle w:val="ListParagraph"/>
        <w:numPr>
          <w:ilvl w:val="0"/>
          <w:numId w:val="5"/>
        </w:numPr>
        <w:rPr>
          <w:rFonts w:eastAsiaTheme="minorEastAsia"/>
          <w:sz w:val="22"/>
          <w:szCs w:val="22"/>
        </w:rPr>
      </w:pPr>
      <w:r w:rsidRPr="4769E595">
        <w:rPr>
          <w:sz w:val="22"/>
          <w:szCs w:val="22"/>
        </w:rPr>
        <w:t>The focus of the proposed triage framework is the categorization of individuals into one of four mortality risk strata</w:t>
      </w:r>
      <w:r w:rsidR="4C85EDC3" w:rsidRPr="4769E595">
        <w:rPr>
          <w:sz w:val="22"/>
          <w:szCs w:val="22"/>
        </w:rPr>
        <w:t xml:space="preserve"> based </w:t>
      </w:r>
      <w:r w:rsidR="31864A8B" w:rsidRPr="4769E595">
        <w:rPr>
          <w:sz w:val="22"/>
          <w:szCs w:val="22"/>
        </w:rPr>
        <w:t xml:space="preserve">on </w:t>
      </w:r>
      <w:r w:rsidR="4C85EDC3" w:rsidRPr="4769E595">
        <w:rPr>
          <w:sz w:val="22"/>
          <w:szCs w:val="22"/>
        </w:rPr>
        <w:t>twelve-month survival.</w:t>
      </w:r>
      <w:r w:rsidRPr="4769E595">
        <w:rPr>
          <w:sz w:val="22"/>
          <w:szCs w:val="22"/>
        </w:rPr>
        <w:t xml:space="preserve"> </w:t>
      </w:r>
      <w:r w:rsidR="71E59E63" w:rsidRPr="4769E595">
        <w:rPr>
          <w:sz w:val="22"/>
          <w:szCs w:val="22"/>
        </w:rPr>
        <w:t xml:space="preserve">As stated above, mortality does not increase significantly between </w:t>
      </w:r>
      <w:r w:rsidR="3759ED6E" w:rsidRPr="4769E595">
        <w:rPr>
          <w:sz w:val="22"/>
          <w:szCs w:val="22"/>
        </w:rPr>
        <w:t>six and twelve months post critical illness</w:t>
      </w:r>
      <w:r w:rsidR="70B3DA48" w:rsidRPr="4769E595">
        <w:rPr>
          <w:sz w:val="22"/>
          <w:szCs w:val="22"/>
        </w:rPr>
        <w:t xml:space="preserve">. </w:t>
      </w:r>
      <w:r w:rsidR="27589CBD" w:rsidRPr="4769E595">
        <w:rPr>
          <w:sz w:val="22"/>
          <w:szCs w:val="22"/>
        </w:rPr>
        <w:t>T</w:t>
      </w:r>
      <w:r w:rsidR="5E3621A1" w:rsidRPr="4769E595">
        <w:rPr>
          <w:sz w:val="22"/>
          <w:szCs w:val="22"/>
        </w:rPr>
        <w:t>welve</w:t>
      </w:r>
      <w:r w:rsidR="25652735" w:rsidRPr="4769E595">
        <w:rPr>
          <w:sz w:val="22"/>
          <w:szCs w:val="22"/>
        </w:rPr>
        <w:t xml:space="preserve">-month survival </w:t>
      </w:r>
      <w:r w:rsidR="54148B2D" w:rsidRPr="4769E595">
        <w:rPr>
          <w:sz w:val="22"/>
          <w:szCs w:val="22"/>
        </w:rPr>
        <w:t>is a more common prognostic duration used in clinical practice</w:t>
      </w:r>
      <w:r w:rsidR="00361523">
        <w:rPr>
          <w:sz w:val="22"/>
          <w:szCs w:val="22"/>
        </w:rPr>
        <w:t xml:space="preserve"> </w:t>
      </w:r>
      <w:r w:rsidR="54148B2D" w:rsidRPr="4769E595">
        <w:rPr>
          <w:sz w:val="22"/>
          <w:szCs w:val="22"/>
        </w:rPr>
        <w:t xml:space="preserve">and </w:t>
      </w:r>
      <w:r w:rsidR="79F91524" w:rsidRPr="4769E595">
        <w:rPr>
          <w:sz w:val="22"/>
          <w:szCs w:val="22"/>
        </w:rPr>
        <w:t xml:space="preserve">reported </w:t>
      </w:r>
      <w:r w:rsidR="54148B2D" w:rsidRPr="4769E595">
        <w:rPr>
          <w:sz w:val="22"/>
          <w:szCs w:val="22"/>
        </w:rPr>
        <w:t>in the published literature</w:t>
      </w:r>
      <w:r w:rsidR="49136EF8" w:rsidRPr="4769E595">
        <w:rPr>
          <w:sz w:val="22"/>
          <w:szCs w:val="22"/>
        </w:rPr>
        <w:t>.</w:t>
      </w:r>
      <w:r w:rsidR="001C0973">
        <w:rPr>
          <w:rStyle w:val="EndnoteReference"/>
          <w:sz w:val="22"/>
          <w:szCs w:val="22"/>
        </w:rPr>
        <w:endnoteReference w:id="40"/>
      </w:r>
      <w:r w:rsidR="49136EF8" w:rsidRPr="4769E595">
        <w:rPr>
          <w:sz w:val="22"/>
          <w:szCs w:val="22"/>
        </w:rPr>
        <w:t xml:space="preserve"> </w:t>
      </w:r>
      <w:r w:rsidR="4BEB8AF4" w:rsidRPr="4769E595">
        <w:rPr>
          <w:sz w:val="22"/>
          <w:szCs w:val="22"/>
        </w:rPr>
        <w:t>It</w:t>
      </w:r>
      <w:r w:rsidR="42B3F53E" w:rsidRPr="4769E595">
        <w:rPr>
          <w:sz w:val="22"/>
          <w:szCs w:val="22"/>
        </w:rPr>
        <w:t xml:space="preserve"> is not a judgment about the</w:t>
      </w:r>
      <w:r w:rsidR="0147822B" w:rsidRPr="4769E595">
        <w:rPr>
          <w:sz w:val="22"/>
          <w:szCs w:val="22"/>
        </w:rPr>
        <w:t xml:space="preserve"> relative value of </w:t>
      </w:r>
      <w:r w:rsidR="10CA0079" w:rsidRPr="4769E595">
        <w:rPr>
          <w:sz w:val="22"/>
          <w:szCs w:val="22"/>
        </w:rPr>
        <w:t>six</w:t>
      </w:r>
      <w:r w:rsidR="0147822B" w:rsidRPr="4769E595">
        <w:rPr>
          <w:sz w:val="22"/>
          <w:szCs w:val="22"/>
        </w:rPr>
        <w:t xml:space="preserve"> or </w:t>
      </w:r>
      <w:r w:rsidR="171E4287" w:rsidRPr="4769E595">
        <w:rPr>
          <w:sz w:val="22"/>
          <w:szCs w:val="22"/>
        </w:rPr>
        <w:t>twelve</w:t>
      </w:r>
      <w:r w:rsidR="0147822B" w:rsidRPr="4769E595">
        <w:rPr>
          <w:sz w:val="22"/>
          <w:szCs w:val="22"/>
        </w:rPr>
        <w:t xml:space="preserve"> months of life. </w:t>
      </w:r>
    </w:p>
    <w:p w14:paraId="0C280097" w14:textId="36E0D910" w:rsidR="00832E7A" w:rsidRDefault="00832E7A" w:rsidP="00DA3370">
      <w:pPr>
        <w:contextualSpacing/>
        <w:rPr>
          <w:sz w:val="22"/>
          <w:szCs w:val="22"/>
          <w:highlight w:val="yellow"/>
        </w:rPr>
      </w:pPr>
    </w:p>
    <w:p w14:paraId="168075B7" w14:textId="5FBD9637" w:rsidR="004A2F6C" w:rsidRPr="003666B9" w:rsidRDefault="00FF070D" w:rsidP="00DA3370">
      <w:pPr>
        <w:contextualSpacing/>
        <w:rPr>
          <w:i/>
          <w:iCs/>
          <w:sz w:val="22"/>
          <w:szCs w:val="22"/>
        </w:rPr>
      </w:pPr>
      <w:r w:rsidRPr="4769E595">
        <w:rPr>
          <w:i/>
          <w:iCs/>
          <w:sz w:val="22"/>
          <w:szCs w:val="22"/>
        </w:rPr>
        <w:t>Additional Considerations</w:t>
      </w:r>
      <w:r w:rsidR="004A2F6C" w:rsidRPr="4769E595">
        <w:rPr>
          <w:i/>
          <w:iCs/>
          <w:sz w:val="22"/>
          <w:szCs w:val="22"/>
        </w:rPr>
        <w:t xml:space="preserve"> </w:t>
      </w:r>
      <w:r w:rsidR="4055F17A" w:rsidRPr="4769E595">
        <w:rPr>
          <w:i/>
          <w:iCs/>
          <w:sz w:val="22"/>
          <w:szCs w:val="22"/>
        </w:rPr>
        <w:t>F</w:t>
      </w:r>
      <w:r w:rsidR="00832E7A" w:rsidRPr="4769E595">
        <w:rPr>
          <w:i/>
          <w:iCs/>
          <w:sz w:val="22"/>
          <w:szCs w:val="22"/>
        </w:rPr>
        <w:t xml:space="preserve">ollowing </w:t>
      </w:r>
      <w:r w:rsidR="004A2F6C" w:rsidRPr="4769E595">
        <w:rPr>
          <w:i/>
          <w:iCs/>
          <w:sz w:val="22"/>
          <w:szCs w:val="22"/>
        </w:rPr>
        <w:t>Level 3</w:t>
      </w:r>
      <w:r w:rsidR="7BEDFCDB" w:rsidRPr="4769E595">
        <w:rPr>
          <w:i/>
          <w:iCs/>
          <w:sz w:val="22"/>
          <w:szCs w:val="22"/>
        </w:rPr>
        <w:t xml:space="preserve"> Triage</w:t>
      </w:r>
    </w:p>
    <w:p w14:paraId="597B7075" w14:textId="5D740934" w:rsidR="00004B9E" w:rsidRDefault="007F1965" w:rsidP="00DA3370">
      <w:pPr>
        <w:contextualSpacing/>
        <w:rPr>
          <w:sz w:val="22"/>
          <w:szCs w:val="22"/>
        </w:rPr>
      </w:pPr>
      <w:r>
        <w:rPr>
          <w:sz w:val="22"/>
          <w:szCs w:val="22"/>
        </w:rPr>
        <w:t>At Level 3</w:t>
      </w:r>
      <w:r w:rsidR="00E5133C">
        <w:rPr>
          <w:sz w:val="22"/>
          <w:szCs w:val="22"/>
        </w:rPr>
        <w:t xml:space="preserve"> triage</w:t>
      </w:r>
      <w:r w:rsidR="004A2F6C">
        <w:rPr>
          <w:sz w:val="22"/>
          <w:szCs w:val="22"/>
        </w:rPr>
        <w:t xml:space="preserve">, only </w:t>
      </w:r>
      <w:r>
        <w:rPr>
          <w:sz w:val="22"/>
          <w:szCs w:val="22"/>
        </w:rPr>
        <w:t xml:space="preserve">patients </w:t>
      </w:r>
      <w:r w:rsidR="004A2F6C">
        <w:rPr>
          <w:sz w:val="22"/>
          <w:szCs w:val="22"/>
        </w:rPr>
        <w:t xml:space="preserve">with the lowest risk of </w:t>
      </w:r>
      <w:r w:rsidR="75AC1E7A" w:rsidRPr="00147253">
        <w:rPr>
          <w:sz w:val="22"/>
          <w:szCs w:val="22"/>
        </w:rPr>
        <w:t xml:space="preserve">dying during or within </w:t>
      </w:r>
      <w:r w:rsidR="75AC1E7A" w:rsidRPr="109A04B4">
        <w:rPr>
          <w:sz w:val="22"/>
          <w:szCs w:val="22"/>
        </w:rPr>
        <w:t xml:space="preserve">twelve months from the onset of critical illness </w:t>
      </w:r>
      <w:r w:rsidR="004A2F6C">
        <w:rPr>
          <w:sz w:val="22"/>
          <w:szCs w:val="22"/>
        </w:rPr>
        <w:t xml:space="preserve">would </w:t>
      </w:r>
      <w:r>
        <w:rPr>
          <w:sz w:val="22"/>
          <w:szCs w:val="22"/>
        </w:rPr>
        <w:t xml:space="preserve">be eligible for </w:t>
      </w:r>
      <w:r w:rsidR="00FF070D">
        <w:rPr>
          <w:sz w:val="22"/>
          <w:szCs w:val="22"/>
        </w:rPr>
        <w:t xml:space="preserve">critical </w:t>
      </w:r>
      <w:r w:rsidR="004A2F6C">
        <w:rPr>
          <w:sz w:val="22"/>
          <w:szCs w:val="22"/>
        </w:rPr>
        <w:t xml:space="preserve">care. </w:t>
      </w:r>
      <w:r>
        <w:rPr>
          <w:sz w:val="22"/>
          <w:szCs w:val="22"/>
        </w:rPr>
        <w:t>However</w:t>
      </w:r>
      <w:r w:rsidR="004A2F6C">
        <w:rPr>
          <w:sz w:val="22"/>
          <w:szCs w:val="22"/>
        </w:rPr>
        <w:t xml:space="preserve">, </w:t>
      </w:r>
      <w:r>
        <w:rPr>
          <w:sz w:val="22"/>
          <w:szCs w:val="22"/>
        </w:rPr>
        <w:t xml:space="preserve">if </w:t>
      </w:r>
      <w:r w:rsidR="004A2F6C">
        <w:rPr>
          <w:sz w:val="22"/>
          <w:szCs w:val="22"/>
        </w:rPr>
        <w:t xml:space="preserve">demand </w:t>
      </w:r>
      <w:r>
        <w:rPr>
          <w:sz w:val="22"/>
          <w:szCs w:val="22"/>
        </w:rPr>
        <w:t xml:space="preserve">for critical care </w:t>
      </w:r>
      <w:r w:rsidR="004A2F6C">
        <w:rPr>
          <w:sz w:val="22"/>
          <w:szCs w:val="22"/>
        </w:rPr>
        <w:t>continue</w:t>
      </w:r>
      <w:r>
        <w:rPr>
          <w:sz w:val="22"/>
          <w:szCs w:val="22"/>
        </w:rPr>
        <w:t>s</w:t>
      </w:r>
      <w:r w:rsidR="004A2F6C">
        <w:rPr>
          <w:sz w:val="22"/>
          <w:szCs w:val="22"/>
        </w:rPr>
        <w:t xml:space="preserve"> to exceed </w:t>
      </w:r>
      <w:r>
        <w:rPr>
          <w:sz w:val="22"/>
          <w:szCs w:val="22"/>
        </w:rPr>
        <w:t>available resources</w:t>
      </w:r>
      <w:r w:rsidR="00FF070D">
        <w:rPr>
          <w:sz w:val="22"/>
          <w:szCs w:val="22"/>
        </w:rPr>
        <w:t>,</w:t>
      </w:r>
      <w:r w:rsidR="004A2F6C">
        <w:rPr>
          <w:sz w:val="22"/>
          <w:szCs w:val="22"/>
        </w:rPr>
        <w:t xml:space="preserve"> there </w:t>
      </w:r>
      <w:r>
        <w:rPr>
          <w:sz w:val="22"/>
          <w:szCs w:val="22"/>
        </w:rPr>
        <w:t>may come a point where there may be</w:t>
      </w:r>
      <w:r w:rsidR="004A2F6C">
        <w:rPr>
          <w:sz w:val="22"/>
          <w:szCs w:val="22"/>
        </w:rPr>
        <w:t xml:space="preserve"> little </w:t>
      </w:r>
      <w:r>
        <w:rPr>
          <w:sz w:val="22"/>
          <w:szCs w:val="22"/>
        </w:rPr>
        <w:t xml:space="preserve">clinical </w:t>
      </w:r>
      <w:r w:rsidR="004A2F6C">
        <w:rPr>
          <w:sz w:val="22"/>
          <w:szCs w:val="22"/>
        </w:rPr>
        <w:t xml:space="preserve">evidence to guide triage </w:t>
      </w:r>
      <w:r>
        <w:rPr>
          <w:sz w:val="22"/>
          <w:szCs w:val="22"/>
        </w:rPr>
        <w:t xml:space="preserve">decisions </w:t>
      </w:r>
      <w:r w:rsidR="004A2F6C">
        <w:rPr>
          <w:sz w:val="22"/>
          <w:szCs w:val="22"/>
        </w:rPr>
        <w:t xml:space="preserve">on the basis of </w:t>
      </w:r>
      <w:r w:rsidR="7616A444" w:rsidRPr="4769E595">
        <w:rPr>
          <w:i/>
          <w:iCs/>
          <w:sz w:val="22"/>
          <w:szCs w:val="22"/>
        </w:rPr>
        <w:t xml:space="preserve">predicted </w:t>
      </w:r>
      <w:r w:rsidR="00497C23" w:rsidRPr="4769E595">
        <w:rPr>
          <w:i/>
          <w:iCs/>
          <w:sz w:val="22"/>
          <w:szCs w:val="22"/>
        </w:rPr>
        <w:t>short-term mortality</w:t>
      </w:r>
      <w:r w:rsidR="004A2F6C">
        <w:rPr>
          <w:sz w:val="22"/>
          <w:szCs w:val="22"/>
        </w:rPr>
        <w:t>.</w:t>
      </w:r>
      <w:r w:rsidR="001C0973">
        <w:rPr>
          <w:rStyle w:val="FootnoteReference"/>
          <w:sz w:val="22"/>
          <w:szCs w:val="22"/>
        </w:rPr>
        <w:footnoteReference w:id="9"/>
      </w:r>
      <w:r w:rsidR="00215765">
        <w:rPr>
          <w:sz w:val="22"/>
          <w:szCs w:val="22"/>
        </w:rPr>
        <w:t xml:space="preserve"> </w:t>
      </w:r>
      <w:r>
        <w:rPr>
          <w:sz w:val="22"/>
          <w:szCs w:val="22"/>
        </w:rPr>
        <w:t xml:space="preserve">As a result, triage decisions must appeal to </w:t>
      </w:r>
      <w:r w:rsidR="08906A37">
        <w:rPr>
          <w:sz w:val="22"/>
          <w:szCs w:val="22"/>
        </w:rPr>
        <w:t xml:space="preserve">procedural </w:t>
      </w:r>
      <w:r>
        <w:rPr>
          <w:sz w:val="22"/>
          <w:szCs w:val="22"/>
        </w:rPr>
        <w:t>fairness.</w:t>
      </w:r>
      <w:r w:rsidR="009E1527">
        <w:rPr>
          <w:sz w:val="22"/>
          <w:szCs w:val="22"/>
        </w:rPr>
        <w:t xml:space="preserve"> </w:t>
      </w:r>
    </w:p>
    <w:p w14:paraId="40463EEB" w14:textId="77777777" w:rsidR="00004B9E" w:rsidRDefault="00004B9E" w:rsidP="00DA3370">
      <w:pPr>
        <w:contextualSpacing/>
        <w:rPr>
          <w:sz w:val="22"/>
          <w:szCs w:val="22"/>
        </w:rPr>
      </w:pPr>
    </w:p>
    <w:p w14:paraId="7EB8B48A" w14:textId="59233C97" w:rsidR="007968E9" w:rsidRDefault="137B6192" w:rsidP="00DA3370">
      <w:pPr>
        <w:contextualSpacing/>
        <w:rPr>
          <w:sz w:val="22"/>
          <w:szCs w:val="22"/>
        </w:rPr>
      </w:pPr>
      <w:r w:rsidRPr="4769E595">
        <w:rPr>
          <w:sz w:val="22"/>
          <w:szCs w:val="22"/>
        </w:rPr>
        <w:t>Fairness would suggest that those patients who are already receiving critical care and are</w:t>
      </w:r>
      <w:r w:rsidR="00E5133C">
        <w:rPr>
          <w:sz w:val="22"/>
          <w:szCs w:val="22"/>
        </w:rPr>
        <w:t xml:space="preserve"> stable or</w:t>
      </w:r>
      <w:r w:rsidRPr="4769E595">
        <w:rPr>
          <w:sz w:val="22"/>
          <w:szCs w:val="22"/>
        </w:rPr>
        <w:t xml:space="preserve"> benefiting from it should continue to receive it. In other words, </w:t>
      </w:r>
      <w:r w:rsidR="004A2F6C" w:rsidRPr="4769E595">
        <w:rPr>
          <w:sz w:val="22"/>
          <w:szCs w:val="22"/>
        </w:rPr>
        <w:t xml:space="preserve">demand for </w:t>
      </w:r>
      <w:r w:rsidR="71634809" w:rsidRPr="4769E595">
        <w:rPr>
          <w:sz w:val="22"/>
          <w:szCs w:val="22"/>
        </w:rPr>
        <w:t xml:space="preserve">critical </w:t>
      </w:r>
      <w:r w:rsidR="004A2F6C" w:rsidRPr="4769E595">
        <w:rPr>
          <w:sz w:val="22"/>
          <w:szCs w:val="22"/>
        </w:rPr>
        <w:t xml:space="preserve">care from new patients does not justify withdrawing life-sustaining measures from </w:t>
      </w:r>
      <w:r w:rsidR="578261BF" w:rsidRPr="4769E595">
        <w:rPr>
          <w:sz w:val="22"/>
          <w:szCs w:val="22"/>
        </w:rPr>
        <w:t>admitted patients</w:t>
      </w:r>
      <w:r w:rsidR="004A2F6C" w:rsidRPr="4769E595">
        <w:rPr>
          <w:sz w:val="22"/>
          <w:szCs w:val="22"/>
        </w:rPr>
        <w:t xml:space="preserve"> </w:t>
      </w:r>
      <w:r w:rsidR="00E5133C">
        <w:rPr>
          <w:sz w:val="22"/>
          <w:szCs w:val="22"/>
        </w:rPr>
        <w:t>who have</w:t>
      </w:r>
      <w:r w:rsidR="004A2F6C" w:rsidRPr="4769E595">
        <w:rPr>
          <w:sz w:val="22"/>
          <w:szCs w:val="22"/>
        </w:rPr>
        <w:t xml:space="preserve"> a similar prospect of benefitting from them. </w:t>
      </w:r>
      <w:r w:rsidR="00E5133C">
        <w:rPr>
          <w:sz w:val="22"/>
          <w:szCs w:val="22"/>
        </w:rPr>
        <w:t>Rather, d</w:t>
      </w:r>
      <w:r w:rsidR="004A2F6C" w:rsidRPr="4769E595">
        <w:rPr>
          <w:sz w:val="22"/>
          <w:szCs w:val="22"/>
        </w:rPr>
        <w:t xml:space="preserve">ecisions to withdraw life-sustaining measures from </w:t>
      </w:r>
      <w:r w:rsidR="00E5133C">
        <w:rPr>
          <w:sz w:val="22"/>
          <w:szCs w:val="22"/>
        </w:rPr>
        <w:t>patients</w:t>
      </w:r>
      <w:r w:rsidR="004A2F6C" w:rsidRPr="4769E595">
        <w:rPr>
          <w:sz w:val="22"/>
          <w:szCs w:val="22"/>
        </w:rPr>
        <w:t xml:space="preserve"> already admitted to </w:t>
      </w:r>
      <w:r w:rsidR="7F41C585" w:rsidRPr="4769E595">
        <w:rPr>
          <w:sz w:val="22"/>
          <w:szCs w:val="22"/>
        </w:rPr>
        <w:t xml:space="preserve">critical </w:t>
      </w:r>
      <w:r w:rsidR="004A2F6C" w:rsidRPr="4769E595">
        <w:rPr>
          <w:sz w:val="22"/>
          <w:szCs w:val="22"/>
        </w:rPr>
        <w:t>care should be driven by</w:t>
      </w:r>
      <w:r w:rsidR="00E5133C">
        <w:rPr>
          <w:sz w:val="22"/>
          <w:szCs w:val="22"/>
        </w:rPr>
        <w:t xml:space="preserve"> eligibility and</w:t>
      </w:r>
      <w:r w:rsidR="004A2F6C" w:rsidRPr="4769E595">
        <w:rPr>
          <w:sz w:val="22"/>
          <w:szCs w:val="22"/>
        </w:rPr>
        <w:t xml:space="preserve"> </w:t>
      </w:r>
      <w:r w:rsidR="3E0D4B15" w:rsidRPr="4769E595">
        <w:rPr>
          <w:sz w:val="22"/>
          <w:szCs w:val="22"/>
        </w:rPr>
        <w:t>prioritization criteria</w:t>
      </w:r>
      <w:r w:rsidR="004A2F6C" w:rsidRPr="4769E595">
        <w:rPr>
          <w:sz w:val="22"/>
          <w:szCs w:val="22"/>
        </w:rPr>
        <w:t>. In practice, this would involve a frequent</w:t>
      </w:r>
      <w:r w:rsidR="578261BF" w:rsidRPr="4769E595">
        <w:rPr>
          <w:sz w:val="22"/>
          <w:szCs w:val="22"/>
        </w:rPr>
        <w:t xml:space="preserve"> </w:t>
      </w:r>
      <w:r w:rsidR="004A2F6C" w:rsidRPr="4769E595">
        <w:rPr>
          <w:sz w:val="22"/>
          <w:szCs w:val="22"/>
        </w:rPr>
        <w:t xml:space="preserve">reassessment of admitted patients </w:t>
      </w:r>
      <w:r w:rsidR="578261BF" w:rsidRPr="4769E595">
        <w:rPr>
          <w:sz w:val="22"/>
          <w:szCs w:val="22"/>
        </w:rPr>
        <w:t xml:space="preserve">by the clinical team </w:t>
      </w:r>
      <w:r w:rsidR="004A2F6C" w:rsidRPr="4769E595">
        <w:rPr>
          <w:sz w:val="22"/>
          <w:szCs w:val="22"/>
        </w:rPr>
        <w:t xml:space="preserve">for any indication that </w:t>
      </w:r>
      <w:r w:rsidR="1F271606" w:rsidRPr="4769E595">
        <w:rPr>
          <w:sz w:val="22"/>
          <w:szCs w:val="22"/>
        </w:rPr>
        <w:t xml:space="preserve">the patient is </w:t>
      </w:r>
      <w:r w:rsidR="004A2F6C" w:rsidRPr="4769E595">
        <w:rPr>
          <w:sz w:val="22"/>
          <w:szCs w:val="22"/>
        </w:rPr>
        <w:t xml:space="preserve">no longer responding to treatment, or </w:t>
      </w:r>
      <w:r w:rsidR="71634809" w:rsidRPr="4769E595">
        <w:rPr>
          <w:sz w:val="22"/>
          <w:szCs w:val="22"/>
        </w:rPr>
        <w:t xml:space="preserve">where </w:t>
      </w:r>
      <w:r w:rsidR="1F271606" w:rsidRPr="4769E595">
        <w:rPr>
          <w:sz w:val="22"/>
          <w:szCs w:val="22"/>
        </w:rPr>
        <w:t xml:space="preserve">the patient’s </w:t>
      </w:r>
      <w:r w:rsidR="004A2F6C" w:rsidRPr="4769E595">
        <w:rPr>
          <w:sz w:val="22"/>
          <w:szCs w:val="22"/>
        </w:rPr>
        <w:t xml:space="preserve">clinical trajectory suggests that their </w:t>
      </w:r>
      <w:r w:rsidR="00361523">
        <w:rPr>
          <w:sz w:val="22"/>
          <w:szCs w:val="22"/>
        </w:rPr>
        <w:t>predicted short-term mortality</w:t>
      </w:r>
      <w:r w:rsidR="004A2F6C" w:rsidRPr="4769E595">
        <w:rPr>
          <w:sz w:val="22"/>
          <w:szCs w:val="22"/>
        </w:rPr>
        <w:t xml:space="preserve"> </w:t>
      </w:r>
      <w:r w:rsidR="00361523">
        <w:rPr>
          <w:sz w:val="22"/>
          <w:szCs w:val="22"/>
        </w:rPr>
        <w:t>has</w:t>
      </w:r>
      <w:r w:rsidR="004A2F6C" w:rsidRPr="4769E595">
        <w:rPr>
          <w:sz w:val="22"/>
          <w:szCs w:val="22"/>
        </w:rPr>
        <w:t xml:space="preserve"> substantially worsened from when they were admitted</w:t>
      </w:r>
      <w:r w:rsidR="00361523">
        <w:rPr>
          <w:sz w:val="22"/>
          <w:szCs w:val="22"/>
        </w:rPr>
        <w:t xml:space="preserve"> such that they no longer meet prioritization criteria</w:t>
      </w:r>
      <w:r w:rsidR="00E5133C">
        <w:rPr>
          <w:sz w:val="22"/>
          <w:szCs w:val="22"/>
        </w:rPr>
        <w:t xml:space="preserve"> at the level of triage currently experienced</w:t>
      </w:r>
      <w:r w:rsidR="004A2F6C" w:rsidRPr="4769E595">
        <w:rPr>
          <w:sz w:val="22"/>
          <w:szCs w:val="22"/>
        </w:rPr>
        <w:t xml:space="preserve">. </w:t>
      </w:r>
      <w:r w:rsidR="619F679C" w:rsidRPr="4769E595">
        <w:rPr>
          <w:sz w:val="22"/>
          <w:szCs w:val="22"/>
        </w:rPr>
        <w:t xml:space="preserve">It is important to </w:t>
      </w:r>
      <w:r w:rsidR="008A03E9" w:rsidRPr="4769E595">
        <w:rPr>
          <w:sz w:val="22"/>
          <w:szCs w:val="22"/>
        </w:rPr>
        <w:t>reiterate</w:t>
      </w:r>
      <w:r w:rsidR="619F679C" w:rsidRPr="4769E595">
        <w:rPr>
          <w:sz w:val="22"/>
          <w:szCs w:val="22"/>
        </w:rPr>
        <w:t xml:space="preserve"> that</w:t>
      </w:r>
      <w:r w:rsidR="004A2F6C" w:rsidRPr="4769E595">
        <w:rPr>
          <w:sz w:val="22"/>
          <w:szCs w:val="22"/>
        </w:rPr>
        <w:t xml:space="preserve"> </w:t>
      </w:r>
      <w:r w:rsidR="578261BF" w:rsidRPr="4769E595">
        <w:rPr>
          <w:sz w:val="22"/>
          <w:szCs w:val="22"/>
        </w:rPr>
        <w:t>a</w:t>
      </w:r>
      <w:r w:rsidR="004A2F6C" w:rsidRPr="4769E595">
        <w:rPr>
          <w:sz w:val="22"/>
          <w:szCs w:val="22"/>
        </w:rPr>
        <w:t xml:space="preserve"> decision </w:t>
      </w:r>
      <w:r w:rsidR="578261BF" w:rsidRPr="4769E595">
        <w:rPr>
          <w:sz w:val="22"/>
          <w:szCs w:val="22"/>
        </w:rPr>
        <w:t xml:space="preserve">to withdraw critical care </w:t>
      </w:r>
      <w:r w:rsidR="004A2F6C" w:rsidRPr="4769E595">
        <w:rPr>
          <w:sz w:val="22"/>
          <w:szCs w:val="22"/>
        </w:rPr>
        <w:t xml:space="preserve">should be based </w:t>
      </w:r>
      <w:r w:rsidR="5872F9F5" w:rsidRPr="4769E595">
        <w:rPr>
          <w:sz w:val="22"/>
          <w:szCs w:val="22"/>
        </w:rPr>
        <w:t xml:space="preserve">solely </w:t>
      </w:r>
      <w:r w:rsidR="004A2F6C" w:rsidRPr="4769E595">
        <w:rPr>
          <w:sz w:val="22"/>
          <w:szCs w:val="22"/>
        </w:rPr>
        <w:t xml:space="preserve">on </w:t>
      </w:r>
      <w:r w:rsidR="00361523">
        <w:rPr>
          <w:sz w:val="22"/>
          <w:szCs w:val="22"/>
        </w:rPr>
        <w:t>eligibility and prioritization criteria</w:t>
      </w:r>
      <w:r w:rsidR="004A2F6C" w:rsidRPr="4769E595">
        <w:rPr>
          <w:sz w:val="22"/>
          <w:szCs w:val="22"/>
        </w:rPr>
        <w:t xml:space="preserve">, integrating all relevant information, and not on any </w:t>
      </w:r>
      <w:r w:rsidR="2DD55FC4" w:rsidRPr="4769E595">
        <w:rPr>
          <w:sz w:val="22"/>
          <w:szCs w:val="22"/>
        </w:rPr>
        <w:t>demograph</w:t>
      </w:r>
      <w:r w:rsidR="00E5133C">
        <w:rPr>
          <w:sz w:val="22"/>
          <w:szCs w:val="22"/>
        </w:rPr>
        <w:t>ic factors</w:t>
      </w:r>
      <w:r w:rsidR="5872F9F5" w:rsidRPr="4769E595">
        <w:rPr>
          <w:sz w:val="22"/>
          <w:szCs w:val="22"/>
        </w:rPr>
        <w:t>,</w:t>
      </w:r>
      <w:r w:rsidR="004A2F6C" w:rsidRPr="4769E595">
        <w:rPr>
          <w:sz w:val="22"/>
          <w:szCs w:val="22"/>
        </w:rPr>
        <w:t xml:space="preserve"> </w:t>
      </w:r>
      <w:r w:rsidR="578261BF" w:rsidRPr="4769E595">
        <w:rPr>
          <w:sz w:val="22"/>
          <w:szCs w:val="22"/>
        </w:rPr>
        <w:t>disease</w:t>
      </w:r>
      <w:r w:rsidR="5872F9F5" w:rsidRPr="4769E595">
        <w:rPr>
          <w:sz w:val="22"/>
          <w:szCs w:val="22"/>
        </w:rPr>
        <w:t xml:space="preserve">, </w:t>
      </w:r>
      <w:r w:rsidR="2DD55FC4" w:rsidRPr="4769E595">
        <w:rPr>
          <w:sz w:val="22"/>
          <w:szCs w:val="22"/>
        </w:rPr>
        <w:t xml:space="preserve">disability, </w:t>
      </w:r>
      <w:r w:rsidR="5872F9F5" w:rsidRPr="4769E595">
        <w:rPr>
          <w:sz w:val="22"/>
          <w:szCs w:val="22"/>
        </w:rPr>
        <w:t>or other</w:t>
      </w:r>
      <w:r w:rsidR="004A2F6C" w:rsidRPr="4769E595">
        <w:rPr>
          <w:sz w:val="22"/>
          <w:szCs w:val="22"/>
        </w:rPr>
        <w:t xml:space="preserve"> factor</w:t>
      </w:r>
      <w:r w:rsidR="619F679C" w:rsidRPr="4769E595">
        <w:rPr>
          <w:sz w:val="22"/>
          <w:szCs w:val="22"/>
        </w:rPr>
        <w:t>s</w:t>
      </w:r>
      <w:r w:rsidR="004A2F6C" w:rsidRPr="4769E595">
        <w:rPr>
          <w:sz w:val="22"/>
          <w:szCs w:val="22"/>
        </w:rPr>
        <w:t xml:space="preserve">. As with all triage decisions, </w:t>
      </w:r>
      <w:r w:rsidR="71634809" w:rsidRPr="4769E595">
        <w:rPr>
          <w:sz w:val="22"/>
          <w:szCs w:val="22"/>
        </w:rPr>
        <w:t xml:space="preserve">such patients </w:t>
      </w:r>
      <w:r w:rsidR="004A2F6C" w:rsidRPr="4769E595">
        <w:rPr>
          <w:sz w:val="22"/>
          <w:szCs w:val="22"/>
        </w:rPr>
        <w:t xml:space="preserve">should be referred for a second opinion to confirm the assessment </w:t>
      </w:r>
      <w:r w:rsidR="619F679C" w:rsidRPr="4769E595">
        <w:rPr>
          <w:sz w:val="22"/>
          <w:szCs w:val="22"/>
        </w:rPr>
        <w:t>(</w:t>
      </w:r>
      <w:r w:rsidR="00BF7B05" w:rsidRPr="4769E595">
        <w:rPr>
          <w:sz w:val="22"/>
          <w:szCs w:val="22"/>
        </w:rPr>
        <w:t xml:space="preserve">i.e., that </w:t>
      </w:r>
      <w:r w:rsidR="004A2F6C" w:rsidRPr="4769E595">
        <w:rPr>
          <w:sz w:val="22"/>
          <w:szCs w:val="22"/>
        </w:rPr>
        <w:t xml:space="preserve">the person’s chance of </w:t>
      </w:r>
      <w:r w:rsidR="00BF7B05" w:rsidRPr="4769E595">
        <w:rPr>
          <w:sz w:val="22"/>
          <w:szCs w:val="22"/>
        </w:rPr>
        <w:t>survival is poor</w:t>
      </w:r>
      <w:r w:rsidR="619F679C" w:rsidRPr="4769E595">
        <w:rPr>
          <w:sz w:val="22"/>
          <w:szCs w:val="22"/>
        </w:rPr>
        <w:t>)</w:t>
      </w:r>
      <w:r w:rsidR="00E5133C">
        <w:rPr>
          <w:sz w:val="22"/>
          <w:szCs w:val="22"/>
        </w:rPr>
        <w:t xml:space="preserve"> (see Section E for more on this process)</w:t>
      </w:r>
      <w:r w:rsidR="004A2F6C" w:rsidRPr="4769E595">
        <w:rPr>
          <w:sz w:val="22"/>
          <w:szCs w:val="22"/>
        </w:rPr>
        <w:t>.</w:t>
      </w:r>
      <w:r w:rsidR="6D7256A4" w:rsidRPr="4769E595">
        <w:rPr>
          <w:sz w:val="22"/>
          <w:szCs w:val="22"/>
        </w:rPr>
        <w:t xml:space="preserve"> </w:t>
      </w:r>
      <w:r w:rsidR="1CE4DED4" w:rsidRPr="4769E595">
        <w:rPr>
          <w:sz w:val="22"/>
          <w:szCs w:val="22"/>
        </w:rPr>
        <w:t xml:space="preserve">Withdrawal of critical care </w:t>
      </w:r>
      <w:r w:rsidR="00E5133C">
        <w:rPr>
          <w:sz w:val="22"/>
          <w:szCs w:val="22"/>
        </w:rPr>
        <w:t>resources</w:t>
      </w:r>
      <w:r w:rsidR="1CE4DED4" w:rsidRPr="4769E595">
        <w:rPr>
          <w:sz w:val="22"/>
          <w:szCs w:val="22"/>
        </w:rPr>
        <w:t xml:space="preserve"> from a non-consenting patient or </w:t>
      </w:r>
      <w:r w:rsidR="00361523">
        <w:rPr>
          <w:sz w:val="22"/>
          <w:szCs w:val="22"/>
        </w:rPr>
        <w:t xml:space="preserve">their </w:t>
      </w:r>
      <w:r w:rsidR="1CE4DED4" w:rsidRPr="4769E595">
        <w:rPr>
          <w:sz w:val="22"/>
          <w:szCs w:val="22"/>
        </w:rPr>
        <w:t>substitute decision</w:t>
      </w:r>
      <w:r w:rsidR="00361523">
        <w:rPr>
          <w:sz w:val="22"/>
          <w:szCs w:val="22"/>
        </w:rPr>
        <w:t>-</w:t>
      </w:r>
      <w:r w:rsidR="1CE4DED4" w:rsidRPr="4769E595">
        <w:rPr>
          <w:sz w:val="22"/>
          <w:szCs w:val="22"/>
        </w:rPr>
        <w:t>maker would require an</w:t>
      </w:r>
      <w:r w:rsidR="6D7256A4" w:rsidRPr="4769E595">
        <w:rPr>
          <w:sz w:val="22"/>
          <w:szCs w:val="22"/>
        </w:rPr>
        <w:t xml:space="preserve"> emergency order </w:t>
      </w:r>
      <w:r w:rsidR="7D6973DC" w:rsidRPr="4769E595">
        <w:rPr>
          <w:sz w:val="22"/>
          <w:szCs w:val="22"/>
        </w:rPr>
        <w:t xml:space="preserve">or other legal mechanism </w:t>
      </w:r>
      <w:r w:rsidR="3CA509BA" w:rsidRPr="4769E595">
        <w:rPr>
          <w:sz w:val="22"/>
          <w:szCs w:val="22"/>
        </w:rPr>
        <w:t xml:space="preserve">prior to implementation </w:t>
      </w:r>
      <w:r w:rsidR="5794E398" w:rsidRPr="4769E595">
        <w:rPr>
          <w:sz w:val="22"/>
          <w:szCs w:val="22"/>
        </w:rPr>
        <w:t xml:space="preserve">of </w:t>
      </w:r>
      <w:r w:rsidR="3CA509BA" w:rsidRPr="4769E595">
        <w:rPr>
          <w:sz w:val="22"/>
          <w:szCs w:val="22"/>
        </w:rPr>
        <w:t xml:space="preserve">this aspect of the </w:t>
      </w:r>
      <w:r w:rsidR="6D7256A4" w:rsidRPr="4769E595">
        <w:rPr>
          <w:i/>
          <w:iCs/>
          <w:sz w:val="22"/>
          <w:szCs w:val="22"/>
        </w:rPr>
        <w:t>Proposed Framework</w:t>
      </w:r>
      <w:r w:rsidR="29A12D39" w:rsidRPr="4769E595">
        <w:rPr>
          <w:i/>
          <w:iCs/>
          <w:sz w:val="22"/>
          <w:szCs w:val="22"/>
        </w:rPr>
        <w:t>.</w:t>
      </w:r>
    </w:p>
    <w:p w14:paraId="0747D392" w14:textId="72FF0ADD" w:rsidR="007968E9" w:rsidRDefault="007968E9" w:rsidP="00DA3370">
      <w:pPr>
        <w:contextualSpacing/>
        <w:rPr>
          <w:sz w:val="22"/>
          <w:szCs w:val="22"/>
        </w:rPr>
      </w:pPr>
    </w:p>
    <w:p w14:paraId="1DB265D4" w14:textId="219F6FD0" w:rsidR="00FA30BE" w:rsidRDefault="1D00FD8A" w:rsidP="00DA3370">
      <w:pPr>
        <w:pStyle w:val="Body"/>
        <w:spacing w:after="0" w:line="240" w:lineRule="auto"/>
        <w:contextualSpacing/>
        <w:rPr>
          <w:rFonts w:asciiTheme="minorHAnsi" w:hAnsiTheme="minorHAnsi"/>
          <w:color w:val="000000" w:themeColor="text1"/>
        </w:rPr>
      </w:pPr>
      <w:r w:rsidRPr="000706AA">
        <w:t xml:space="preserve">Fairness would also suggest that, </w:t>
      </w:r>
      <w:r>
        <w:t>w</w:t>
      </w:r>
      <w:r w:rsidR="57125E79">
        <w:t xml:space="preserve">hen an opportunity emerges to admit a new patient into critical care and a triage decision must be made between multiple patients who cannot be distinguished on the basis of </w:t>
      </w:r>
      <w:r w:rsidR="0369C867">
        <w:t>predicted short-term mortality</w:t>
      </w:r>
      <w:r w:rsidR="57125E79">
        <w:t xml:space="preserve">, </w:t>
      </w:r>
      <w:r w:rsidR="0FEBC1E8">
        <w:t xml:space="preserve">a system of random </w:t>
      </w:r>
      <w:r>
        <w:t>selection</w:t>
      </w:r>
      <w:r w:rsidR="0FEBC1E8">
        <w:t xml:space="preserve"> </w:t>
      </w:r>
      <w:r w:rsidR="57125E79">
        <w:t>among eligible</w:t>
      </w:r>
      <w:r w:rsidR="1AD35512">
        <w:t xml:space="preserve"> and</w:t>
      </w:r>
      <w:r w:rsidR="70747736">
        <w:t xml:space="preserve"> not-yet-admitted</w:t>
      </w:r>
      <w:r w:rsidR="57125E79">
        <w:t xml:space="preserve"> </w:t>
      </w:r>
      <w:r w:rsidR="57125E79">
        <w:lastRenderedPageBreak/>
        <w:t>patients</w:t>
      </w:r>
      <w:r w:rsidR="0FEBC1E8">
        <w:t xml:space="preserve"> should be implemented</w:t>
      </w:r>
      <w:r w:rsidR="57125E79">
        <w:t>.</w:t>
      </w:r>
      <w:r w:rsidR="00C84B0F">
        <w:rPr>
          <w:rStyle w:val="FootnoteReference"/>
        </w:rPr>
        <w:footnoteReference w:id="10"/>
      </w:r>
      <w:r w:rsidRPr="00121B91">
        <w:t xml:space="preserve"> </w:t>
      </w:r>
      <w:r w:rsidR="4A2D8D12" w:rsidRPr="007D3160">
        <w:t xml:space="preserve">Random </w:t>
      </w:r>
      <w:r w:rsidRPr="007D3160">
        <w:t>selection</w:t>
      </w:r>
      <w:r w:rsidR="0FEBC1E8" w:rsidRPr="007D3160">
        <w:t xml:space="preserve"> </w:t>
      </w:r>
      <w:r w:rsidR="4A2D8D12" w:rsidRPr="007D3160">
        <w:t xml:space="preserve">upholds the principle of fairness in situations where it is not possible to rely on </w:t>
      </w:r>
      <w:r w:rsidR="26BC28C2">
        <w:t xml:space="preserve">short-term </w:t>
      </w:r>
      <w:r w:rsidR="67832B2A">
        <w:t>mortality prediction</w:t>
      </w:r>
      <w:r w:rsidR="7C826B7A" w:rsidRPr="007D3160">
        <w:t xml:space="preserve"> to make clinical decisions.</w:t>
      </w:r>
      <w:r w:rsidR="005D7B4E" w:rsidRPr="005D7B4E">
        <w:rPr>
          <w:vertAlign w:val="superscript"/>
        </w:rPr>
        <w:fldChar w:fldCharType="begin"/>
      </w:r>
      <w:r w:rsidR="005D7B4E" w:rsidRPr="005D7B4E">
        <w:rPr>
          <w:vertAlign w:val="superscript"/>
        </w:rPr>
        <w:instrText xml:space="preserve"> NOTEREF _Ref50715193 \h </w:instrText>
      </w:r>
      <w:r w:rsidR="005D7B4E">
        <w:rPr>
          <w:vertAlign w:val="superscript"/>
        </w:rPr>
        <w:instrText xml:space="preserve"> \* MERGEFORMAT </w:instrText>
      </w:r>
      <w:r w:rsidR="005D7B4E" w:rsidRPr="005D7B4E">
        <w:rPr>
          <w:vertAlign w:val="superscript"/>
        </w:rPr>
      </w:r>
      <w:r w:rsidR="005D7B4E" w:rsidRPr="005D7B4E">
        <w:rPr>
          <w:vertAlign w:val="superscript"/>
        </w:rPr>
        <w:fldChar w:fldCharType="separate"/>
      </w:r>
      <w:r w:rsidR="005D7B4E" w:rsidRPr="005D7B4E">
        <w:rPr>
          <w:vertAlign w:val="superscript"/>
        </w:rPr>
        <w:t>29</w:t>
      </w:r>
      <w:r w:rsidR="005D7B4E" w:rsidRPr="005D7B4E">
        <w:rPr>
          <w:vertAlign w:val="superscript"/>
        </w:rPr>
        <w:fldChar w:fldCharType="end"/>
      </w:r>
      <w:r w:rsidR="7C826B7A" w:rsidRPr="007D3160">
        <w:t xml:space="preserve"> It</w:t>
      </w:r>
      <w:r w:rsidR="7C826B7A" w:rsidRPr="007D3160">
        <w:rPr>
          <w:color w:val="000000" w:themeColor="text1"/>
        </w:rPr>
        <w:t xml:space="preserve"> mitigates against the potential of explicit or unconscious bias in decision-making and demonstrates the value of humility when uncertainty is high. Random</w:t>
      </w:r>
      <w:r w:rsidR="0FEBC1E8" w:rsidRPr="007D3160">
        <w:rPr>
          <w:color w:val="000000" w:themeColor="text1"/>
        </w:rPr>
        <w:t xml:space="preserve"> </w:t>
      </w:r>
      <w:r w:rsidRPr="007D3160">
        <w:rPr>
          <w:color w:val="000000" w:themeColor="text1"/>
        </w:rPr>
        <w:t>selection</w:t>
      </w:r>
      <w:r w:rsidR="0FEBC1E8" w:rsidRPr="007D3160">
        <w:rPr>
          <w:color w:val="000000" w:themeColor="text1"/>
        </w:rPr>
        <w:t xml:space="preserve"> </w:t>
      </w:r>
      <w:r w:rsidR="7C826B7A" w:rsidRPr="007D3160">
        <w:rPr>
          <w:color w:val="000000" w:themeColor="text1"/>
        </w:rPr>
        <w:t>also has other advantages as a decision-making strategy in the context of an overwhelming surge of critically ill patient</w:t>
      </w:r>
      <w:r w:rsidR="53D9F554">
        <w:rPr>
          <w:color w:val="000000" w:themeColor="text1"/>
        </w:rPr>
        <w:t>s: it</w:t>
      </w:r>
      <w:r>
        <w:rPr>
          <w:color w:val="000000" w:themeColor="text1"/>
        </w:rPr>
        <w:t xml:space="preserve"> </w:t>
      </w:r>
      <w:r w:rsidR="7C826B7A" w:rsidRPr="00290188">
        <w:t xml:space="preserve">is already a well-established practice for making decisions in situations of uncertainty </w:t>
      </w:r>
      <w:r w:rsidR="26519995" w:rsidRPr="00290188">
        <w:t xml:space="preserve">or </w:t>
      </w:r>
      <w:r w:rsidR="7C826B7A" w:rsidRPr="00290188">
        <w:t>equipoise in medicine (e</w:t>
      </w:r>
      <w:r w:rsidR="26519995" w:rsidRPr="00290188">
        <w:t>.</w:t>
      </w:r>
      <w:r w:rsidR="7C826B7A" w:rsidRPr="00290188">
        <w:t>g.</w:t>
      </w:r>
      <w:r w:rsidR="535812BC" w:rsidRPr="00290188">
        <w:t>,</w:t>
      </w:r>
      <w:r w:rsidR="7C826B7A" w:rsidRPr="00290188">
        <w:t xml:space="preserve"> randomized controlled trials)</w:t>
      </w:r>
      <w:r>
        <w:t xml:space="preserve">; it </w:t>
      </w:r>
      <w:r w:rsidR="7C826B7A" w:rsidRPr="00290188">
        <w:t>reduces the moral and psychological burden of deciding who receives life-saving treatment, which can lead to moral injury and burnout after repeated cases</w:t>
      </w:r>
      <w:r>
        <w:t xml:space="preserve">; it is </w:t>
      </w:r>
      <w:r w:rsidR="7C826B7A" w:rsidRPr="00290188">
        <w:t>efficient when decisions need to be made rapidly</w:t>
      </w:r>
      <w:r>
        <w:t xml:space="preserve">; and it </w:t>
      </w:r>
      <w:r w:rsidR="7C826B7A" w:rsidRPr="109A04B4">
        <w:rPr>
          <w:rFonts w:asciiTheme="minorHAnsi" w:hAnsiTheme="minorHAnsi"/>
          <w:color w:val="000000" w:themeColor="text1"/>
        </w:rPr>
        <w:t>allows for procedural transparency and accountability.</w:t>
      </w:r>
      <w:r>
        <w:rPr>
          <w:color w:val="000000" w:themeColor="text1"/>
        </w:rPr>
        <w:t xml:space="preserve"> </w:t>
      </w:r>
    </w:p>
    <w:p w14:paraId="79F054A3" w14:textId="6B4A1278" w:rsidR="00FA30BE" w:rsidRDefault="00FA30BE" w:rsidP="00DA3370">
      <w:pPr>
        <w:pStyle w:val="Body"/>
        <w:spacing w:after="0" w:line="240" w:lineRule="auto"/>
        <w:contextualSpacing/>
        <w:rPr>
          <w:rFonts w:asciiTheme="minorHAnsi" w:hAnsiTheme="minorHAnsi"/>
          <w:color w:val="000000" w:themeColor="text1"/>
        </w:rPr>
      </w:pPr>
    </w:p>
    <w:p w14:paraId="4636AB7A" w14:textId="042D9AF5" w:rsidR="00AD0913" w:rsidRPr="00E5133C" w:rsidRDefault="536E17FB" w:rsidP="00DA3370">
      <w:pPr>
        <w:pStyle w:val="Body"/>
        <w:spacing w:after="0" w:line="240" w:lineRule="auto"/>
        <w:contextualSpacing/>
        <w:rPr>
          <w:rFonts w:asciiTheme="minorHAnsi" w:hAnsiTheme="minorHAnsi"/>
          <w:color w:val="000000" w:themeColor="text1"/>
        </w:rPr>
      </w:pPr>
      <w:r w:rsidRPr="4769E595">
        <w:rPr>
          <w:rFonts w:asciiTheme="minorHAnsi" w:hAnsiTheme="minorHAnsi"/>
          <w:color w:val="000000" w:themeColor="text1"/>
        </w:rPr>
        <w:t xml:space="preserve">If </w:t>
      </w:r>
      <w:r w:rsidR="1666BA32" w:rsidRPr="4769E595">
        <w:rPr>
          <w:rFonts w:asciiTheme="minorHAnsi" w:hAnsiTheme="minorHAnsi"/>
          <w:color w:val="000000" w:themeColor="text1"/>
        </w:rPr>
        <w:t xml:space="preserve">and when </w:t>
      </w:r>
      <w:r w:rsidRPr="4769E595">
        <w:rPr>
          <w:rFonts w:asciiTheme="minorHAnsi" w:hAnsiTheme="minorHAnsi"/>
          <w:color w:val="000000" w:themeColor="text1"/>
        </w:rPr>
        <w:t>patients are randomized</w:t>
      </w:r>
      <w:r w:rsidR="0FEBC1E8" w:rsidRPr="4769E595">
        <w:rPr>
          <w:rFonts w:asciiTheme="minorHAnsi" w:hAnsiTheme="minorHAnsi"/>
          <w:color w:val="000000" w:themeColor="text1"/>
        </w:rPr>
        <w:t xml:space="preserve"> </w:t>
      </w:r>
      <w:r w:rsidR="232384EE" w:rsidRPr="4769E595">
        <w:rPr>
          <w:rFonts w:asciiTheme="minorHAnsi" w:hAnsiTheme="minorHAnsi"/>
          <w:color w:val="000000" w:themeColor="text1"/>
        </w:rPr>
        <w:t>for admission</w:t>
      </w:r>
      <w:r w:rsidR="535812BC" w:rsidRPr="4769E595">
        <w:rPr>
          <w:rFonts w:asciiTheme="minorHAnsi" w:hAnsiTheme="minorHAnsi"/>
          <w:color w:val="000000" w:themeColor="text1"/>
        </w:rPr>
        <w:t>,</w:t>
      </w:r>
      <w:r w:rsidR="7C826B7A" w:rsidRPr="4769E595">
        <w:rPr>
          <w:rFonts w:asciiTheme="minorHAnsi" w:hAnsiTheme="minorHAnsi"/>
          <w:color w:val="000000" w:themeColor="text1"/>
        </w:rPr>
        <w:t xml:space="preserve"> </w:t>
      </w:r>
      <w:r w:rsidR="7347EE9A" w:rsidRPr="4769E595">
        <w:rPr>
          <w:rFonts w:asciiTheme="minorHAnsi" w:hAnsiTheme="minorHAnsi"/>
          <w:color w:val="000000" w:themeColor="text1"/>
        </w:rPr>
        <w:t>safeguards should be in place to ensure the integrity</w:t>
      </w:r>
      <w:r w:rsidR="77B07465" w:rsidRPr="4769E595">
        <w:rPr>
          <w:rFonts w:asciiTheme="minorHAnsi" w:hAnsiTheme="minorHAnsi"/>
          <w:color w:val="000000" w:themeColor="text1"/>
        </w:rPr>
        <w:t xml:space="preserve"> and fairness</w:t>
      </w:r>
      <w:r w:rsidR="7347EE9A" w:rsidRPr="4769E595">
        <w:rPr>
          <w:rFonts w:asciiTheme="minorHAnsi" w:hAnsiTheme="minorHAnsi"/>
          <w:color w:val="000000" w:themeColor="text1"/>
        </w:rPr>
        <w:t xml:space="preserve"> of the</w:t>
      </w:r>
      <w:r w:rsidR="2FC42D69" w:rsidRPr="4769E595">
        <w:rPr>
          <w:rFonts w:asciiTheme="minorHAnsi" w:hAnsiTheme="minorHAnsi"/>
          <w:color w:val="000000" w:themeColor="text1"/>
        </w:rPr>
        <w:t xml:space="preserve"> randomization</w:t>
      </w:r>
      <w:r w:rsidR="7347EE9A" w:rsidRPr="4769E595">
        <w:rPr>
          <w:rFonts w:asciiTheme="minorHAnsi" w:hAnsiTheme="minorHAnsi"/>
          <w:color w:val="000000" w:themeColor="text1"/>
        </w:rPr>
        <w:t xml:space="preserve"> process. Randomization should be </w:t>
      </w:r>
      <w:r w:rsidR="542B3D92" w:rsidRPr="4769E595">
        <w:rPr>
          <w:rFonts w:asciiTheme="minorHAnsi" w:hAnsiTheme="minorHAnsi"/>
          <w:color w:val="000000" w:themeColor="text1"/>
        </w:rPr>
        <w:t>done through a valid tool to ensure that the results cannot be predicte</w:t>
      </w:r>
      <w:r w:rsidR="6D54A444" w:rsidRPr="4769E595">
        <w:rPr>
          <w:rFonts w:asciiTheme="minorHAnsi" w:hAnsiTheme="minorHAnsi"/>
          <w:color w:val="000000" w:themeColor="text1"/>
        </w:rPr>
        <w:t>d</w:t>
      </w:r>
      <w:r w:rsidR="0162F378" w:rsidRPr="4769E595">
        <w:rPr>
          <w:rFonts w:asciiTheme="minorHAnsi" w:hAnsiTheme="minorHAnsi"/>
          <w:color w:val="000000" w:themeColor="text1"/>
        </w:rPr>
        <w:t xml:space="preserve"> or influenced</w:t>
      </w:r>
      <w:r w:rsidR="11E06791" w:rsidRPr="4769E595">
        <w:rPr>
          <w:rFonts w:asciiTheme="minorHAnsi" w:hAnsiTheme="minorHAnsi"/>
          <w:color w:val="000000" w:themeColor="text1"/>
        </w:rPr>
        <w:t>, and it should occur independently of the clinicians who have assessed the patien</w:t>
      </w:r>
      <w:r w:rsidR="4A5A6247" w:rsidRPr="4769E595">
        <w:rPr>
          <w:rFonts w:asciiTheme="minorHAnsi" w:hAnsiTheme="minorHAnsi"/>
          <w:color w:val="000000" w:themeColor="text1"/>
        </w:rPr>
        <w:t>t. To the extent possible, the same process for randomization should be used across the province, and that process and the outcome</w:t>
      </w:r>
      <w:r w:rsidR="0B5DCAD9" w:rsidRPr="4769E595">
        <w:rPr>
          <w:rFonts w:asciiTheme="minorHAnsi" w:hAnsiTheme="minorHAnsi"/>
          <w:color w:val="000000" w:themeColor="text1"/>
        </w:rPr>
        <w:t>s</w:t>
      </w:r>
      <w:r w:rsidR="4A5A6247" w:rsidRPr="4769E595">
        <w:rPr>
          <w:rFonts w:asciiTheme="minorHAnsi" w:hAnsiTheme="minorHAnsi"/>
          <w:color w:val="000000" w:themeColor="text1"/>
        </w:rPr>
        <w:t xml:space="preserve"> should be clearly documented by </w:t>
      </w:r>
      <w:r w:rsidR="36D4EFBA" w:rsidRPr="4769E595">
        <w:rPr>
          <w:rFonts w:asciiTheme="minorHAnsi" w:hAnsiTheme="minorHAnsi"/>
          <w:color w:val="000000" w:themeColor="text1"/>
        </w:rPr>
        <w:t>triage teams</w:t>
      </w:r>
      <w:r w:rsidR="4A5A6247" w:rsidRPr="4769E595">
        <w:rPr>
          <w:rFonts w:asciiTheme="minorHAnsi" w:hAnsiTheme="minorHAnsi"/>
          <w:color w:val="000000" w:themeColor="text1"/>
        </w:rPr>
        <w:t xml:space="preserve">. </w:t>
      </w:r>
      <w:r w:rsidR="6D54A444" w:rsidRPr="4769E595">
        <w:rPr>
          <w:rFonts w:asciiTheme="minorHAnsi" w:hAnsiTheme="minorHAnsi"/>
          <w:color w:val="000000" w:themeColor="text1"/>
        </w:rPr>
        <w:t>Clinicians should also not be able to change the results of randomization after it has occurred, unless new information becomes available t</w:t>
      </w:r>
      <w:r w:rsidR="15ECCD14" w:rsidRPr="4769E595">
        <w:rPr>
          <w:rFonts w:asciiTheme="minorHAnsi" w:hAnsiTheme="minorHAnsi"/>
          <w:color w:val="000000" w:themeColor="text1"/>
        </w:rPr>
        <w:t>hat</w:t>
      </w:r>
      <w:r w:rsidR="6D54A444" w:rsidRPr="4769E595">
        <w:rPr>
          <w:rFonts w:asciiTheme="minorHAnsi" w:hAnsiTheme="minorHAnsi"/>
          <w:color w:val="000000" w:themeColor="text1"/>
        </w:rPr>
        <w:t xml:space="preserve"> </w:t>
      </w:r>
      <w:r w:rsidR="56890290" w:rsidRPr="4769E595">
        <w:rPr>
          <w:rFonts w:asciiTheme="minorHAnsi" w:hAnsiTheme="minorHAnsi"/>
          <w:color w:val="000000" w:themeColor="text1"/>
        </w:rPr>
        <w:t xml:space="preserve">reduces uncertainty with respect to predicted </w:t>
      </w:r>
      <w:r w:rsidR="09036550" w:rsidRPr="4769E595">
        <w:rPr>
          <w:rFonts w:asciiTheme="minorHAnsi" w:hAnsiTheme="minorHAnsi"/>
          <w:color w:val="000000" w:themeColor="text1"/>
        </w:rPr>
        <w:t xml:space="preserve">short-term </w:t>
      </w:r>
      <w:r w:rsidR="56890290" w:rsidRPr="4769E595">
        <w:rPr>
          <w:rFonts w:asciiTheme="minorHAnsi" w:hAnsiTheme="minorHAnsi"/>
          <w:color w:val="000000" w:themeColor="text1"/>
        </w:rPr>
        <w:t>mortality.</w:t>
      </w:r>
      <w:r w:rsidR="6733796A" w:rsidRPr="4769E595">
        <w:rPr>
          <w:rFonts w:asciiTheme="minorHAnsi" w:hAnsiTheme="minorHAnsi"/>
          <w:color w:val="000000" w:themeColor="text1"/>
        </w:rPr>
        <w:t xml:space="preserve"> Triage teams should be consulted prior to randomization, given that prognostic uncertainty may benefit from further input and adjudication</w:t>
      </w:r>
      <w:r w:rsidR="00E5133C">
        <w:rPr>
          <w:rFonts w:asciiTheme="minorHAnsi" w:hAnsiTheme="minorHAnsi"/>
          <w:color w:val="000000" w:themeColor="text1"/>
        </w:rPr>
        <w:t xml:space="preserve"> (see more on Triage Teams in Section E)</w:t>
      </w:r>
      <w:r w:rsidR="6733796A" w:rsidRPr="4769E595">
        <w:rPr>
          <w:rFonts w:asciiTheme="minorHAnsi" w:hAnsiTheme="minorHAnsi"/>
          <w:color w:val="000000" w:themeColor="text1"/>
        </w:rPr>
        <w:t>.</w:t>
      </w:r>
      <w:r w:rsidR="4C789207" w:rsidRPr="4769E595">
        <w:rPr>
          <w:rFonts w:asciiTheme="minorHAnsi" w:hAnsiTheme="minorHAnsi"/>
          <w:color w:val="000000" w:themeColor="text1"/>
        </w:rPr>
        <w:t xml:space="preserve"> </w:t>
      </w:r>
      <w:r w:rsidR="73662BFA" w:rsidRPr="4769E595">
        <w:rPr>
          <w:rFonts w:asciiTheme="minorHAnsi" w:hAnsiTheme="minorHAnsi"/>
          <w:color w:val="000000" w:themeColor="text1"/>
        </w:rPr>
        <w:t xml:space="preserve">To be clear, randomization should not be used to withdraw critical care from a patient </w:t>
      </w:r>
      <w:r w:rsidR="69B05C04" w:rsidRPr="4769E595">
        <w:rPr>
          <w:rFonts w:asciiTheme="minorHAnsi" w:hAnsiTheme="minorHAnsi"/>
          <w:color w:val="000000" w:themeColor="text1"/>
        </w:rPr>
        <w:t>who is already admitted when other non-admitted patients have the same likelihood of benefit.</w:t>
      </w:r>
      <w:r w:rsidR="2E80A962" w:rsidRPr="4769E595">
        <w:rPr>
          <w:rFonts w:asciiTheme="minorHAnsi" w:hAnsiTheme="minorHAnsi"/>
          <w:color w:val="000000" w:themeColor="text1"/>
        </w:rPr>
        <w:t xml:space="preserve"> </w:t>
      </w:r>
      <w:r w:rsidR="2E80A962" w:rsidRPr="00AD0913">
        <w:rPr>
          <w:rFonts w:asciiTheme="minorHAnsi" w:hAnsiTheme="minorHAnsi"/>
          <w:color w:val="000000" w:themeColor="text1"/>
        </w:rPr>
        <w:t xml:space="preserve">The only circumstance where randomization should be used to withdraw critical care is when multiple </w:t>
      </w:r>
      <w:r w:rsidR="53D5C7F9" w:rsidRPr="00AD0913">
        <w:rPr>
          <w:rFonts w:asciiTheme="minorHAnsi" w:hAnsiTheme="minorHAnsi"/>
          <w:color w:val="000000" w:themeColor="text1"/>
        </w:rPr>
        <w:t xml:space="preserve">admitted </w:t>
      </w:r>
      <w:r w:rsidR="2E80A962" w:rsidRPr="00AD0913">
        <w:rPr>
          <w:rFonts w:asciiTheme="minorHAnsi" w:hAnsiTheme="minorHAnsi"/>
          <w:color w:val="000000" w:themeColor="text1"/>
        </w:rPr>
        <w:t xml:space="preserve">patients are excluded at a particular level of prioritization, and it is not </w:t>
      </w:r>
      <w:r w:rsidR="29788A83" w:rsidRPr="00AD0913">
        <w:rPr>
          <w:rFonts w:asciiTheme="minorHAnsi" w:hAnsiTheme="minorHAnsi"/>
          <w:color w:val="000000" w:themeColor="text1"/>
        </w:rPr>
        <w:t>reasonable to withdraw sequentially based on predicted mortality</w:t>
      </w:r>
      <w:r w:rsidR="00E5133C">
        <w:rPr>
          <w:rFonts w:asciiTheme="minorHAnsi" w:hAnsiTheme="minorHAnsi"/>
          <w:color w:val="000000" w:themeColor="text1"/>
        </w:rPr>
        <w:t xml:space="preserve"> (see Section D).</w:t>
      </w:r>
    </w:p>
    <w:p w14:paraId="1B82853F" w14:textId="77777777" w:rsidR="004A2F6C" w:rsidRPr="0019255A" w:rsidRDefault="004A2F6C" w:rsidP="500AFCFA">
      <w:pPr>
        <w:rPr>
          <w:rFonts w:eastAsiaTheme="minorEastAsia"/>
          <w:b/>
          <w:bCs/>
          <w:sz w:val="22"/>
          <w:szCs w:val="22"/>
        </w:rPr>
      </w:pPr>
    </w:p>
    <w:p w14:paraId="505D423E" w14:textId="243A59C8" w:rsidR="005D7AEB" w:rsidRPr="00671D4C" w:rsidRDefault="00193BDF" w:rsidP="00DD53AE">
      <w:pPr>
        <w:pStyle w:val="Heading3"/>
      </w:pPr>
      <w:r w:rsidRPr="500AFCFA">
        <w:t xml:space="preserve">Critical Care </w:t>
      </w:r>
      <w:r w:rsidR="004A2F6C" w:rsidRPr="500AFCFA">
        <w:t xml:space="preserve">Triage </w:t>
      </w:r>
      <w:r w:rsidR="392967EF" w:rsidRPr="500AFCFA">
        <w:t>Approach</w:t>
      </w:r>
    </w:p>
    <w:p w14:paraId="399FE322" w14:textId="5D0B9BF6" w:rsidR="109A04B4" w:rsidRDefault="004420B4" w:rsidP="109A04B4">
      <w:pPr>
        <w:rPr>
          <w:sz w:val="22"/>
          <w:szCs w:val="22"/>
        </w:rPr>
      </w:pPr>
      <w:r w:rsidRPr="500AFCFA">
        <w:rPr>
          <w:rFonts w:eastAsiaTheme="minorEastAsia"/>
          <w:sz w:val="22"/>
          <w:szCs w:val="22"/>
        </w:rPr>
        <w:t>Critical car</w:t>
      </w:r>
      <w:r>
        <w:rPr>
          <w:sz w:val="22"/>
          <w:szCs w:val="22"/>
        </w:rPr>
        <w:t>e triage for major surge in a pandemic should be well-coordinated, consistent, predictable</w:t>
      </w:r>
      <w:r w:rsidR="00CB336D">
        <w:rPr>
          <w:sz w:val="22"/>
          <w:szCs w:val="22"/>
        </w:rPr>
        <w:t>, and responsive to an evolving pandemic context</w:t>
      </w:r>
      <w:r>
        <w:rPr>
          <w:sz w:val="22"/>
          <w:szCs w:val="22"/>
        </w:rPr>
        <w:t>.</w:t>
      </w:r>
      <w:r w:rsidR="005D7B4E" w:rsidRPr="005D7B4E">
        <w:rPr>
          <w:sz w:val="22"/>
          <w:szCs w:val="22"/>
          <w:vertAlign w:val="superscript"/>
        </w:rPr>
        <w:fldChar w:fldCharType="begin"/>
      </w:r>
      <w:r w:rsidR="005D7B4E" w:rsidRPr="005D7B4E">
        <w:rPr>
          <w:sz w:val="22"/>
          <w:szCs w:val="22"/>
          <w:vertAlign w:val="superscript"/>
        </w:rPr>
        <w:instrText xml:space="preserve"> NOTEREF _Ref50713941 \h </w:instrText>
      </w:r>
      <w:r w:rsidR="005D7B4E">
        <w:rPr>
          <w:sz w:val="22"/>
          <w:szCs w:val="22"/>
          <w:vertAlign w:val="superscript"/>
        </w:rPr>
        <w:instrText xml:space="preserve"> \* MERGEFORMAT </w:instrText>
      </w:r>
      <w:r w:rsidR="005D7B4E" w:rsidRPr="005D7B4E">
        <w:rPr>
          <w:sz w:val="22"/>
          <w:szCs w:val="22"/>
          <w:vertAlign w:val="superscript"/>
        </w:rPr>
      </w:r>
      <w:r w:rsidR="005D7B4E" w:rsidRPr="005D7B4E">
        <w:rPr>
          <w:sz w:val="22"/>
          <w:szCs w:val="22"/>
          <w:vertAlign w:val="superscript"/>
        </w:rPr>
        <w:fldChar w:fldCharType="separate"/>
      </w:r>
      <w:r w:rsidR="005D7B4E" w:rsidRPr="005D7B4E">
        <w:rPr>
          <w:sz w:val="22"/>
          <w:szCs w:val="22"/>
          <w:vertAlign w:val="superscript"/>
        </w:rPr>
        <w:t>28</w:t>
      </w:r>
      <w:r w:rsidR="005D7B4E" w:rsidRPr="005D7B4E">
        <w:rPr>
          <w:sz w:val="22"/>
          <w:szCs w:val="22"/>
          <w:vertAlign w:val="superscript"/>
        </w:rPr>
        <w:fldChar w:fldCharType="end"/>
      </w:r>
      <w:r w:rsidRPr="109A04B4">
        <w:rPr>
          <w:sz w:val="22"/>
          <w:szCs w:val="22"/>
        </w:rPr>
        <w:t xml:space="preserve"> </w:t>
      </w:r>
      <w:r w:rsidR="770912CE" w:rsidRPr="109A04B4">
        <w:rPr>
          <w:sz w:val="22"/>
          <w:szCs w:val="22"/>
        </w:rPr>
        <w:t xml:space="preserve">The </w:t>
      </w:r>
      <w:r w:rsidR="77B29580" w:rsidRPr="109A04B4">
        <w:rPr>
          <w:sz w:val="22"/>
          <w:szCs w:val="22"/>
        </w:rPr>
        <w:t xml:space="preserve">proposed </w:t>
      </w:r>
      <w:r w:rsidR="770912CE" w:rsidRPr="109A04B4">
        <w:rPr>
          <w:sz w:val="22"/>
          <w:szCs w:val="22"/>
        </w:rPr>
        <w:t xml:space="preserve">framework </w:t>
      </w:r>
      <w:r w:rsidR="48EACCFB" w:rsidRPr="109A04B4">
        <w:rPr>
          <w:sz w:val="22"/>
          <w:szCs w:val="22"/>
        </w:rPr>
        <w:t>suggests</w:t>
      </w:r>
      <w:r w:rsidR="4E8AE7A9" w:rsidRPr="109A04B4">
        <w:rPr>
          <w:sz w:val="22"/>
          <w:szCs w:val="22"/>
        </w:rPr>
        <w:t xml:space="preserve"> a provincial approach to critical care triage implemented regionally and locally. The</w:t>
      </w:r>
      <w:r w:rsidR="389633BF" w:rsidRPr="109A04B4">
        <w:rPr>
          <w:sz w:val="22"/>
          <w:szCs w:val="22"/>
        </w:rPr>
        <w:t xml:space="preserve"> approach comprises </w:t>
      </w:r>
      <w:r w:rsidR="4E8AE7A9" w:rsidRPr="109A04B4">
        <w:rPr>
          <w:sz w:val="22"/>
          <w:szCs w:val="22"/>
        </w:rPr>
        <w:t xml:space="preserve">three </w:t>
      </w:r>
      <w:r w:rsidR="770912CE" w:rsidRPr="109A04B4">
        <w:rPr>
          <w:sz w:val="22"/>
          <w:szCs w:val="22"/>
        </w:rPr>
        <w:t xml:space="preserve">essential elements: </w:t>
      </w:r>
      <w:proofErr w:type="spellStart"/>
      <w:r w:rsidR="770912CE" w:rsidRPr="109A04B4">
        <w:rPr>
          <w:sz w:val="22"/>
          <w:szCs w:val="22"/>
        </w:rPr>
        <w:t>i</w:t>
      </w:r>
      <w:proofErr w:type="spellEnd"/>
      <w:r w:rsidR="770912CE" w:rsidRPr="109A04B4">
        <w:rPr>
          <w:sz w:val="22"/>
          <w:szCs w:val="22"/>
        </w:rPr>
        <w:t>) defined levels of triage proportional to demand on c</w:t>
      </w:r>
      <w:r w:rsidR="36BBE686" w:rsidRPr="109A04B4">
        <w:rPr>
          <w:sz w:val="22"/>
          <w:szCs w:val="22"/>
        </w:rPr>
        <w:t xml:space="preserve">ritical care, ii) explicit clinical triage criteria based on </w:t>
      </w:r>
      <w:r w:rsidR="00D43529">
        <w:rPr>
          <w:sz w:val="22"/>
          <w:szCs w:val="22"/>
        </w:rPr>
        <w:t>predicted s</w:t>
      </w:r>
      <w:r w:rsidR="36BBE686" w:rsidRPr="109A04B4">
        <w:rPr>
          <w:sz w:val="22"/>
          <w:szCs w:val="22"/>
        </w:rPr>
        <w:t>hort-term mor</w:t>
      </w:r>
      <w:r w:rsidR="00370DED">
        <w:rPr>
          <w:sz w:val="22"/>
          <w:szCs w:val="22"/>
        </w:rPr>
        <w:t>t</w:t>
      </w:r>
      <w:r w:rsidR="36BBE686" w:rsidRPr="109A04B4">
        <w:rPr>
          <w:sz w:val="22"/>
          <w:szCs w:val="22"/>
        </w:rPr>
        <w:t>ality risk, and iii)</w:t>
      </w:r>
      <w:r w:rsidR="1F1743C0" w:rsidRPr="109A04B4">
        <w:rPr>
          <w:sz w:val="22"/>
          <w:szCs w:val="22"/>
        </w:rPr>
        <w:t xml:space="preserve"> key structures and processes</w:t>
      </w:r>
      <w:r w:rsidR="00C84B0F">
        <w:rPr>
          <w:sz w:val="22"/>
          <w:szCs w:val="22"/>
        </w:rPr>
        <w:t>.</w:t>
      </w:r>
    </w:p>
    <w:p w14:paraId="22309B6F" w14:textId="77777777" w:rsidR="00930EC5" w:rsidRDefault="00930EC5" w:rsidP="28E960E0">
      <w:pPr>
        <w:rPr>
          <w:i/>
          <w:iCs/>
          <w:sz w:val="22"/>
          <w:szCs w:val="22"/>
        </w:rPr>
      </w:pPr>
    </w:p>
    <w:p w14:paraId="7F6F9C9F" w14:textId="65770611" w:rsidR="00AD0913" w:rsidRPr="00AD0913" w:rsidRDefault="00AD0913" w:rsidP="28E960E0">
      <w:pPr>
        <w:rPr>
          <w:i/>
          <w:iCs/>
          <w:sz w:val="22"/>
          <w:szCs w:val="22"/>
        </w:rPr>
      </w:pPr>
      <w:r w:rsidRPr="28E960E0">
        <w:rPr>
          <w:i/>
          <w:iCs/>
          <w:sz w:val="22"/>
          <w:szCs w:val="22"/>
        </w:rPr>
        <w:t xml:space="preserve">Prior to Major Surge and </w:t>
      </w:r>
      <w:r w:rsidR="00E5133C">
        <w:rPr>
          <w:i/>
          <w:iCs/>
          <w:sz w:val="22"/>
          <w:szCs w:val="22"/>
        </w:rPr>
        <w:t>the Initiation of</w:t>
      </w:r>
      <w:r w:rsidRPr="28E960E0">
        <w:rPr>
          <w:i/>
          <w:iCs/>
          <w:sz w:val="22"/>
          <w:szCs w:val="22"/>
        </w:rPr>
        <w:t xml:space="preserve"> Critical Care Triage</w:t>
      </w:r>
    </w:p>
    <w:p w14:paraId="740F59D6" w14:textId="3076FCC7" w:rsidR="00AD0913" w:rsidRPr="00C84B0F" w:rsidRDefault="00AD0913" w:rsidP="28E960E0">
      <w:pPr>
        <w:rPr>
          <w:sz w:val="22"/>
          <w:szCs w:val="22"/>
        </w:rPr>
      </w:pPr>
      <w:r w:rsidRPr="28E960E0">
        <w:rPr>
          <w:sz w:val="22"/>
          <w:szCs w:val="22"/>
        </w:rPr>
        <w:t xml:space="preserve">The prospect of a major surge in demand for critical care should prompt discussions with patients or their substitute decision-maker(s) to identify and document patient wishes and values and ensure current treatment plans are up to date. It is also </w:t>
      </w:r>
      <w:r w:rsidR="00252CD6">
        <w:rPr>
          <w:sz w:val="22"/>
          <w:szCs w:val="22"/>
        </w:rPr>
        <w:t>necessary</w:t>
      </w:r>
      <w:r w:rsidRPr="28E960E0">
        <w:rPr>
          <w:sz w:val="22"/>
          <w:szCs w:val="22"/>
        </w:rPr>
        <w:t xml:space="preserve"> for physicians and other healthcare providers to engage in advance care planning conversations with patients</w:t>
      </w:r>
      <w:r w:rsidR="00E5133C">
        <w:rPr>
          <w:sz w:val="22"/>
          <w:szCs w:val="22"/>
        </w:rPr>
        <w:t xml:space="preserve"> or their substitute decision-makers both in</w:t>
      </w:r>
      <w:r w:rsidRPr="28E960E0">
        <w:rPr>
          <w:sz w:val="22"/>
          <w:szCs w:val="22"/>
        </w:rPr>
        <w:t xml:space="preserve"> hospital </w:t>
      </w:r>
      <w:r w:rsidR="00DB2FA2">
        <w:rPr>
          <w:sz w:val="22"/>
          <w:szCs w:val="22"/>
        </w:rPr>
        <w:t xml:space="preserve">and </w:t>
      </w:r>
      <w:r w:rsidRPr="28E960E0">
        <w:rPr>
          <w:sz w:val="22"/>
          <w:szCs w:val="22"/>
        </w:rPr>
        <w:t xml:space="preserve">in </w:t>
      </w:r>
      <w:r w:rsidR="00E5133C">
        <w:rPr>
          <w:sz w:val="22"/>
          <w:szCs w:val="22"/>
        </w:rPr>
        <w:t>other health care settings (e.g., primary care) t</w:t>
      </w:r>
      <w:r w:rsidRPr="28E960E0">
        <w:rPr>
          <w:sz w:val="22"/>
          <w:szCs w:val="22"/>
        </w:rPr>
        <w:t>o explore patients</w:t>
      </w:r>
      <w:r w:rsidR="00E5133C">
        <w:rPr>
          <w:sz w:val="22"/>
          <w:szCs w:val="22"/>
        </w:rPr>
        <w:t>’</w:t>
      </w:r>
      <w:r w:rsidRPr="28E960E0">
        <w:rPr>
          <w:sz w:val="22"/>
          <w:szCs w:val="22"/>
        </w:rPr>
        <w:t xml:space="preserve"> wishes and values and to clarify the treatment goals and options available if the patient were to become acutely or critically ill. Regardless of triage decisions at any level, all efforts should be made to treat patients supportively and to ensure all patients receive the right care, in the right place, at the right time to the greatest extent possible during the COVID</w:t>
      </w:r>
      <w:r w:rsidR="00E5133C">
        <w:rPr>
          <w:sz w:val="22"/>
          <w:szCs w:val="22"/>
        </w:rPr>
        <w:t>-19</w:t>
      </w:r>
      <w:r w:rsidRPr="28E960E0">
        <w:rPr>
          <w:sz w:val="22"/>
          <w:szCs w:val="22"/>
        </w:rPr>
        <w:t xml:space="preserve"> pandemic. </w:t>
      </w:r>
      <w:r w:rsidR="00E5133C">
        <w:rPr>
          <w:sz w:val="22"/>
          <w:szCs w:val="22"/>
        </w:rPr>
        <w:t xml:space="preserve">Because </w:t>
      </w:r>
      <w:r w:rsidR="00DB2FA2">
        <w:rPr>
          <w:sz w:val="22"/>
          <w:szCs w:val="22"/>
        </w:rPr>
        <w:t xml:space="preserve">some groups of </w:t>
      </w:r>
      <w:r w:rsidR="00A71DC9">
        <w:rPr>
          <w:sz w:val="22"/>
          <w:szCs w:val="22"/>
        </w:rPr>
        <w:t xml:space="preserve">patients do not equally experience the receipt of the right care, </w:t>
      </w:r>
      <w:r w:rsidR="00B07C51">
        <w:rPr>
          <w:sz w:val="22"/>
          <w:szCs w:val="22"/>
        </w:rPr>
        <w:t xml:space="preserve">methods to support </w:t>
      </w:r>
      <w:r w:rsidR="00E5133C" w:rsidRPr="00E5133C">
        <w:rPr>
          <w:sz w:val="22"/>
          <w:szCs w:val="22"/>
        </w:rPr>
        <w:t>inclusion and anti</w:t>
      </w:r>
      <w:r w:rsidR="00A71DC9">
        <w:rPr>
          <w:sz w:val="22"/>
          <w:szCs w:val="22"/>
        </w:rPr>
        <w:t>-</w:t>
      </w:r>
      <w:r w:rsidR="00E5133C" w:rsidRPr="00E5133C">
        <w:rPr>
          <w:sz w:val="22"/>
          <w:szCs w:val="22"/>
        </w:rPr>
        <w:t>oppressive, anti-racist frameworks</w:t>
      </w:r>
      <w:r w:rsidR="00B07C51">
        <w:rPr>
          <w:sz w:val="22"/>
          <w:szCs w:val="22"/>
        </w:rPr>
        <w:t xml:space="preserve"> should be applied</w:t>
      </w:r>
      <w:r w:rsidR="00A71DC9">
        <w:rPr>
          <w:sz w:val="22"/>
          <w:szCs w:val="22"/>
        </w:rPr>
        <w:t xml:space="preserve"> (see more on this point in Section F).</w:t>
      </w:r>
    </w:p>
    <w:p w14:paraId="66A03796" w14:textId="77777777" w:rsidR="00AD0913" w:rsidRDefault="00AD0913" w:rsidP="109A04B4">
      <w:pPr>
        <w:rPr>
          <w:sz w:val="22"/>
          <w:szCs w:val="22"/>
        </w:rPr>
      </w:pPr>
    </w:p>
    <w:p w14:paraId="144EB97D" w14:textId="1766A9CE" w:rsidR="00AD0913" w:rsidRPr="00AD0913" w:rsidRDefault="00AD0913" w:rsidP="28E960E0">
      <w:pPr>
        <w:rPr>
          <w:i/>
          <w:iCs/>
          <w:sz w:val="22"/>
          <w:szCs w:val="22"/>
        </w:rPr>
      </w:pPr>
      <w:r w:rsidRPr="28E960E0">
        <w:rPr>
          <w:i/>
          <w:iCs/>
          <w:sz w:val="22"/>
          <w:szCs w:val="22"/>
        </w:rPr>
        <w:lastRenderedPageBreak/>
        <w:t>Initiating Critical Care Triage</w:t>
      </w:r>
    </w:p>
    <w:p w14:paraId="003474AF" w14:textId="2EF76B4E" w:rsidR="006134C0" w:rsidRDefault="001F46BC" w:rsidP="004A2F6C">
      <w:pPr>
        <w:rPr>
          <w:sz w:val="22"/>
          <w:szCs w:val="22"/>
        </w:rPr>
      </w:pPr>
      <w:r w:rsidRPr="28E960E0">
        <w:rPr>
          <w:sz w:val="22"/>
          <w:szCs w:val="22"/>
        </w:rPr>
        <w:t>In the current COVID-19 pandemic context, the decision to initiate critical care triage for major surge would fall under the authority of, and would be made by, the provincial Critical Care Command Centre with full situational awareness of existing critical care resources and demands</w:t>
      </w:r>
      <w:r w:rsidR="00081CE5" w:rsidRPr="28E960E0">
        <w:rPr>
          <w:sz w:val="22"/>
          <w:szCs w:val="22"/>
        </w:rPr>
        <w:t xml:space="preserve"> (see Appendix </w:t>
      </w:r>
      <w:r w:rsidR="00E0406D">
        <w:rPr>
          <w:sz w:val="22"/>
          <w:szCs w:val="22"/>
        </w:rPr>
        <w:t>D</w:t>
      </w:r>
      <w:r w:rsidR="00081CE5" w:rsidRPr="28E960E0">
        <w:rPr>
          <w:sz w:val="22"/>
          <w:szCs w:val="22"/>
        </w:rPr>
        <w:t xml:space="preserve"> for recommended roles and accountabilities)</w:t>
      </w:r>
      <w:r w:rsidRPr="28E960E0">
        <w:rPr>
          <w:sz w:val="22"/>
          <w:szCs w:val="22"/>
        </w:rPr>
        <w:t xml:space="preserve">. </w:t>
      </w:r>
      <w:r w:rsidR="004A2F6C" w:rsidRPr="28E960E0">
        <w:rPr>
          <w:sz w:val="22"/>
          <w:szCs w:val="22"/>
        </w:rPr>
        <w:t xml:space="preserve">Each hospital should be aware of the precise number of critically ill and </w:t>
      </w:r>
      <w:r w:rsidR="00C84B0F" w:rsidRPr="28E960E0">
        <w:rPr>
          <w:sz w:val="22"/>
          <w:szCs w:val="22"/>
        </w:rPr>
        <w:t>mechanically ventilated</w:t>
      </w:r>
      <w:r w:rsidR="004A2F6C" w:rsidRPr="28E960E0">
        <w:rPr>
          <w:sz w:val="22"/>
          <w:szCs w:val="22"/>
        </w:rPr>
        <w:t xml:space="preserve"> patients they can accommodate with their resources (including consumables), staff</w:t>
      </w:r>
      <w:r w:rsidR="001E095F" w:rsidRPr="28E960E0">
        <w:rPr>
          <w:sz w:val="22"/>
          <w:szCs w:val="22"/>
        </w:rPr>
        <w:t>,</w:t>
      </w:r>
      <w:r w:rsidR="004A2F6C" w:rsidRPr="28E960E0">
        <w:rPr>
          <w:sz w:val="22"/>
          <w:szCs w:val="22"/>
        </w:rPr>
        <w:t xml:space="preserve"> and space. The timing and degree of the surge in demand is likely to be variable in different </w:t>
      </w:r>
      <w:r w:rsidR="004420B4" w:rsidRPr="28E960E0">
        <w:rPr>
          <w:sz w:val="22"/>
          <w:szCs w:val="22"/>
        </w:rPr>
        <w:t>institutions and regions</w:t>
      </w:r>
      <w:r w:rsidR="004A2F6C" w:rsidRPr="28E960E0">
        <w:rPr>
          <w:sz w:val="22"/>
          <w:szCs w:val="22"/>
        </w:rPr>
        <w:t xml:space="preserve">, so as one </w:t>
      </w:r>
      <w:r w:rsidR="004420B4" w:rsidRPr="28E960E0">
        <w:rPr>
          <w:sz w:val="22"/>
          <w:szCs w:val="22"/>
        </w:rPr>
        <w:t xml:space="preserve">hospital or region </w:t>
      </w:r>
      <w:r w:rsidR="004A2F6C" w:rsidRPr="28E960E0">
        <w:rPr>
          <w:sz w:val="22"/>
          <w:szCs w:val="22"/>
        </w:rPr>
        <w:t xml:space="preserve">approaches their maximum capacity, </w:t>
      </w:r>
      <w:r w:rsidR="00A71DC9">
        <w:rPr>
          <w:sz w:val="22"/>
          <w:szCs w:val="22"/>
        </w:rPr>
        <w:t xml:space="preserve">every effort (within the constraints of infection prevention and control) </w:t>
      </w:r>
      <w:r w:rsidR="004420B4" w:rsidRPr="28E960E0">
        <w:rPr>
          <w:sz w:val="22"/>
          <w:szCs w:val="22"/>
        </w:rPr>
        <w:t xml:space="preserve">should be taken </w:t>
      </w:r>
      <w:r w:rsidR="004A2F6C" w:rsidRPr="28E960E0">
        <w:rPr>
          <w:sz w:val="22"/>
          <w:szCs w:val="22"/>
        </w:rPr>
        <w:t>to transfer patients to</w:t>
      </w:r>
      <w:r w:rsidR="001E095F" w:rsidRPr="28E960E0">
        <w:rPr>
          <w:sz w:val="22"/>
          <w:szCs w:val="22"/>
        </w:rPr>
        <w:t>,</w:t>
      </w:r>
      <w:r w:rsidR="004A2F6C" w:rsidRPr="28E960E0">
        <w:rPr>
          <w:sz w:val="22"/>
          <w:szCs w:val="22"/>
        </w:rPr>
        <w:t xml:space="preserve"> or </w:t>
      </w:r>
      <w:r w:rsidR="004420B4" w:rsidRPr="28E960E0">
        <w:rPr>
          <w:sz w:val="22"/>
          <w:szCs w:val="22"/>
        </w:rPr>
        <w:t xml:space="preserve">resources </w:t>
      </w:r>
      <w:r w:rsidR="004A2F6C" w:rsidRPr="28E960E0">
        <w:rPr>
          <w:sz w:val="22"/>
          <w:szCs w:val="22"/>
        </w:rPr>
        <w:t>from</w:t>
      </w:r>
      <w:r w:rsidR="001E095F" w:rsidRPr="28E960E0">
        <w:rPr>
          <w:sz w:val="22"/>
          <w:szCs w:val="22"/>
        </w:rPr>
        <w:t>,</w:t>
      </w:r>
      <w:r w:rsidR="004A2F6C" w:rsidRPr="28E960E0">
        <w:rPr>
          <w:sz w:val="22"/>
          <w:szCs w:val="22"/>
        </w:rPr>
        <w:t xml:space="preserve"> hospitals with lower occupancy</w:t>
      </w:r>
      <w:r w:rsidR="004420B4" w:rsidRPr="28E960E0">
        <w:rPr>
          <w:sz w:val="22"/>
          <w:szCs w:val="22"/>
        </w:rPr>
        <w:t xml:space="preserve"> to ensure that all resources are maximally used prior to the initiation of critical care triage for major surge</w:t>
      </w:r>
      <w:r w:rsidR="004A2F6C" w:rsidRPr="28E960E0">
        <w:rPr>
          <w:sz w:val="22"/>
          <w:szCs w:val="22"/>
        </w:rPr>
        <w:t>.</w:t>
      </w:r>
      <w:r w:rsidR="00177DB8" w:rsidRPr="28E960E0">
        <w:rPr>
          <w:sz w:val="22"/>
          <w:szCs w:val="22"/>
        </w:rPr>
        <w:t xml:space="preserve"> </w:t>
      </w:r>
      <w:r w:rsidR="004420B4" w:rsidRPr="28E960E0">
        <w:rPr>
          <w:sz w:val="22"/>
          <w:szCs w:val="22"/>
        </w:rPr>
        <w:t xml:space="preserve">This will also reduce the chances that some patients will be denied critical care resources that they would have </w:t>
      </w:r>
      <w:r w:rsidR="00A71DC9">
        <w:rPr>
          <w:sz w:val="22"/>
          <w:szCs w:val="22"/>
        </w:rPr>
        <w:t xml:space="preserve">otherwise </w:t>
      </w:r>
      <w:r w:rsidR="004420B4" w:rsidRPr="28E960E0">
        <w:rPr>
          <w:sz w:val="22"/>
          <w:szCs w:val="22"/>
        </w:rPr>
        <w:t xml:space="preserve">received had they been in another hospital. </w:t>
      </w:r>
      <w:r w:rsidR="00177DB8" w:rsidRPr="28E960E0">
        <w:rPr>
          <w:sz w:val="22"/>
          <w:szCs w:val="22"/>
        </w:rPr>
        <w:t xml:space="preserve">When all hospitals in a region are near their capacity, or when transportation resources are no longer able to </w:t>
      </w:r>
      <w:r w:rsidR="008E57F1" w:rsidRPr="28E960E0">
        <w:rPr>
          <w:sz w:val="22"/>
          <w:szCs w:val="22"/>
        </w:rPr>
        <w:t xml:space="preserve">move </w:t>
      </w:r>
      <w:r w:rsidR="00177DB8" w:rsidRPr="28E960E0">
        <w:rPr>
          <w:sz w:val="22"/>
          <w:szCs w:val="22"/>
        </w:rPr>
        <w:t xml:space="preserve">patients to hospitals with lower occupancy, Provincial and Regional Critical Care Command Centres should clearly inform these hospitals that </w:t>
      </w:r>
      <w:r w:rsidR="00393142" w:rsidRPr="28E960E0">
        <w:rPr>
          <w:sz w:val="22"/>
          <w:szCs w:val="22"/>
        </w:rPr>
        <w:t>a major surge</w:t>
      </w:r>
      <w:r w:rsidR="00177DB8" w:rsidRPr="28E960E0">
        <w:rPr>
          <w:sz w:val="22"/>
          <w:szCs w:val="22"/>
        </w:rPr>
        <w:t xml:space="preserve"> scenario</w:t>
      </w:r>
      <w:r w:rsidR="00A71DC9">
        <w:rPr>
          <w:sz w:val="22"/>
          <w:szCs w:val="22"/>
        </w:rPr>
        <w:t xml:space="preserve"> or escalation of triage level</w:t>
      </w:r>
      <w:r w:rsidR="00177DB8" w:rsidRPr="28E960E0">
        <w:rPr>
          <w:sz w:val="22"/>
          <w:szCs w:val="22"/>
        </w:rPr>
        <w:t xml:space="preserve"> is impending. </w:t>
      </w:r>
      <w:r w:rsidR="00393142" w:rsidRPr="28E960E0">
        <w:rPr>
          <w:sz w:val="22"/>
          <w:szCs w:val="22"/>
        </w:rPr>
        <w:t>Major s</w:t>
      </w:r>
      <w:r w:rsidR="00177DB8" w:rsidRPr="28E960E0">
        <w:rPr>
          <w:sz w:val="22"/>
          <w:szCs w:val="22"/>
        </w:rPr>
        <w:t>urge in demand may be intermittent</w:t>
      </w:r>
      <w:r w:rsidR="001E095F" w:rsidRPr="28E960E0">
        <w:rPr>
          <w:sz w:val="22"/>
          <w:szCs w:val="22"/>
        </w:rPr>
        <w:t>,</w:t>
      </w:r>
      <w:r w:rsidR="00177DB8" w:rsidRPr="28E960E0">
        <w:rPr>
          <w:sz w:val="22"/>
          <w:szCs w:val="22"/>
        </w:rPr>
        <w:t xml:space="preserve"> requiring a regular review (e.g.</w:t>
      </w:r>
      <w:r w:rsidR="008A0AB0" w:rsidRPr="28E960E0">
        <w:rPr>
          <w:sz w:val="22"/>
          <w:szCs w:val="22"/>
        </w:rPr>
        <w:t>,</w:t>
      </w:r>
      <w:r w:rsidR="00177DB8" w:rsidRPr="28E960E0">
        <w:rPr>
          <w:sz w:val="22"/>
          <w:szCs w:val="22"/>
        </w:rPr>
        <w:t xml:space="preserve"> every 12 hours) of occupancy to determine whether</w:t>
      </w:r>
      <w:r w:rsidR="00C84B0F" w:rsidRPr="28E960E0">
        <w:rPr>
          <w:sz w:val="22"/>
          <w:szCs w:val="22"/>
        </w:rPr>
        <w:t xml:space="preserve"> </w:t>
      </w:r>
      <w:r w:rsidR="00177DB8" w:rsidRPr="28E960E0">
        <w:rPr>
          <w:sz w:val="22"/>
          <w:szCs w:val="22"/>
        </w:rPr>
        <w:t xml:space="preserve">triage </w:t>
      </w:r>
      <w:r w:rsidRPr="28E960E0">
        <w:rPr>
          <w:sz w:val="22"/>
          <w:szCs w:val="22"/>
        </w:rPr>
        <w:t xml:space="preserve">is still required </w:t>
      </w:r>
      <w:r w:rsidR="00177DB8" w:rsidRPr="28E960E0">
        <w:rPr>
          <w:sz w:val="22"/>
          <w:szCs w:val="22"/>
        </w:rPr>
        <w:t>or whether hospitals can decrease the level of triage.</w:t>
      </w:r>
    </w:p>
    <w:p w14:paraId="4CC27E3B" w14:textId="5BA7EDF2" w:rsidR="00AD0913" w:rsidRDefault="00AD0913" w:rsidP="004A2F6C">
      <w:pPr>
        <w:rPr>
          <w:sz w:val="22"/>
          <w:szCs w:val="22"/>
        </w:rPr>
      </w:pPr>
    </w:p>
    <w:p w14:paraId="0B800C03" w14:textId="77777777" w:rsidR="00A71DC9" w:rsidRDefault="00A71DC9" w:rsidP="00A71DC9">
      <w:pPr>
        <w:rPr>
          <w:i/>
          <w:iCs/>
          <w:sz w:val="22"/>
          <w:szCs w:val="22"/>
        </w:rPr>
      </w:pPr>
      <w:r w:rsidRPr="28E960E0">
        <w:rPr>
          <w:i/>
          <w:iCs/>
          <w:sz w:val="22"/>
          <w:szCs w:val="22"/>
        </w:rPr>
        <w:t>Additional Considerations When Capacity is Exceeded Institutionally Before a Subsequent Level of Triage is Initiated</w:t>
      </w:r>
    </w:p>
    <w:p w14:paraId="296F98A7" w14:textId="7F3A8AC1" w:rsidR="295F872E" w:rsidRDefault="00A71DC9" w:rsidP="00A71DC9">
      <w:pPr>
        <w:rPr>
          <w:sz w:val="22"/>
          <w:szCs w:val="22"/>
        </w:rPr>
      </w:pPr>
      <w:r>
        <w:rPr>
          <w:sz w:val="22"/>
          <w:szCs w:val="22"/>
        </w:rPr>
        <w:t xml:space="preserve">Where there is the possibility of transient surge issues at the institutional level, this should not trigger escalation of triage level. Rather, efforts to bridge gaps in capacity should be exhausted via regional collaboration. This should be done in coordination with the Regional and/or Provincial Critical Care Command Centre. If a regional solution is not immediately possible, </w:t>
      </w:r>
      <w:r w:rsidR="295F872E" w:rsidRPr="28E960E0">
        <w:rPr>
          <w:sz w:val="22"/>
          <w:szCs w:val="22"/>
        </w:rPr>
        <w:t xml:space="preserve">institutions should follow a process of random selection (described </w:t>
      </w:r>
      <w:r>
        <w:rPr>
          <w:sz w:val="22"/>
          <w:szCs w:val="22"/>
        </w:rPr>
        <w:t>in Section C</w:t>
      </w:r>
      <w:r w:rsidR="295F872E" w:rsidRPr="28E960E0">
        <w:rPr>
          <w:sz w:val="22"/>
          <w:szCs w:val="22"/>
        </w:rPr>
        <w:t>).</w:t>
      </w:r>
    </w:p>
    <w:p w14:paraId="3AFC653F" w14:textId="7ED8FB18" w:rsidR="28E960E0" w:rsidRDefault="28E960E0" w:rsidP="28E960E0">
      <w:pPr>
        <w:rPr>
          <w:sz w:val="22"/>
          <w:szCs w:val="22"/>
        </w:rPr>
      </w:pPr>
    </w:p>
    <w:p w14:paraId="258D64EF" w14:textId="77777777" w:rsidR="00081CE5" w:rsidRPr="00081CE5" w:rsidRDefault="00081CE5" w:rsidP="28E960E0">
      <w:pPr>
        <w:rPr>
          <w:i/>
          <w:iCs/>
          <w:sz w:val="22"/>
          <w:szCs w:val="22"/>
        </w:rPr>
      </w:pPr>
      <w:r w:rsidRPr="28E960E0">
        <w:rPr>
          <w:i/>
          <w:iCs/>
          <w:sz w:val="22"/>
          <w:szCs w:val="22"/>
        </w:rPr>
        <w:t>Withdrawal of Life-Sustaining Measures When Demand Exceeds Capacity</w:t>
      </w:r>
    </w:p>
    <w:p w14:paraId="0C2BC1E1" w14:textId="75072565" w:rsidR="00193BDF" w:rsidRDefault="4F2BD7A8" w:rsidP="004A2F6C">
      <w:pPr>
        <w:rPr>
          <w:sz w:val="22"/>
          <w:szCs w:val="22"/>
        </w:rPr>
      </w:pPr>
      <w:r w:rsidRPr="7272B54E">
        <w:rPr>
          <w:sz w:val="22"/>
          <w:szCs w:val="22"/>
        </w:rPr>
        <w:t>I</w:t>
      </w:r>
      <w:r w:rsidR="07A3ADE0" w:rsidRPr="7272B54E">
        <w:rPr>
          <w:sz w:val="22"/>
          <w:szCs w:val="22"/>
        </w:rPr>
        <w:t>f a</w:t>
      </w:r>
      <w:r w:rsidRPr="7272B54E">
        <w:rPr>
          <w:sz w:val="22"/>
          <w:szCs w:val="22"/>
        </w:rPr>
        <w:t xml:space="preserve"> </w:t>
      </w:r>
      <w:r w:rsidR="14741C21" w:rsidRPr="7272B54E">
        <w:rPr>
          <w:sz w:val="22"/>
          <w:szCs w:val="22"/>
        </w:rPr>
        <w:t>major surge</w:t>
      </w:r>
      <w:r w:rsidR="07A3ADE0" w:rsidRPr="7272B54E">
        <w:rPr>
          <w:sz w:val="22"/>
          <w:szCs w:val="22"/>
        </w:rPr>
        <w:t xml:space="preserve"> is imminent</w:t>
      </w:r>
      <w:r w:rsidR="14741C21" w:rsidRPr="7272B54E">
        <w:rPr>
          <w:sz w:val="22"/>
          <w:szCs w:val="22"/>
        </w:rPr>
        <w:t xml:space="preserve"> (but before </w:t>
      </w:r>
      <w:r w:rsidR="0C760EE2" w:rsidRPr="7272B54E">
        <w:rPr>
          <w:sz w:val="22"/>
          <w:szCs w:val="22"/>
        </w:rPr>
        <w:t>L</w:t>
      </w:r>
      <w:r w:rsidR="14741C21" w:rsidRPr="7272B54E">
        <w:rPr>
          <w:sz w:val="22"/>
          <w:szCs w:val="22"/>
        </w:rPr>
        <w:t>evel 1 triage is initiated)</w:t>
      </w:r>
      <w:r w:rsidRPr="7272B54E">
        <w:rPr>
          <w:sz w:val="22"/>
          <w:szCs w:val="22"/>
        </w:rPr>
        <w:t xml:space="preserve">, </w:t>
      </w:r>
      <w:r w:rsidR="01A5C09D" w:rsidRPr="7272B54E">
        <w:rPr>
          <w:sz w:val="22"/>
          <w:szCs w:val="22"/>
        </w:rPr>
        <w:t xml:space="preserve">all patients who are currently receiving critical care resources should be reviewed, and those </w:t>
      </w:r>
      <w:r w:rsidR="670667EE" w:rsidRPr="7272B54E">
        <w:rPr>
          <w:sz w:val="22"/>
          <w:szCs w:val="22"/>
        </w:rPr>
        <w:t>with a greater than 80% predicted short-term mortality risk</w:t>
      </w:r>
      <w:r w:rsidR="01A5C09D" w:rsidRPr="7272B54E">
        <w:rPr>
          <w:sz w:val="22"/>
          <w:szCs w:val="22"/>
        </w:rPr>
        <w:t xml:space="preserve"> </w:t>
      </w:r>
      <w:r w:rsidR="640AD839" w:rsidRPr="7272B54E">
        <w:rPr>
          <w:sz w:val="22"/>
          <w:szCs w:val="22"/>
        </w:rPr>
        <w:t>(</w:t>
      </w:r>
      <w:r w:rsidR="2AF454D0" w:rsidRPr="7272B54E">
        <w:rPr>
          <w:sz w:val="22"/>
          <w:szCs w:val="22"/>
        </w:rPr>
        <w:t>i.e.</w:t>
      </w:r>
      <w:r w:rsidR="640AD839" w:rsidRPr="7272B54E">
        <w:rPr>
          <w:sz w:val="22"/>
          <w:szCs w:val="22"/>
        </w:rPr>
        <w:t xml:space="preserve">, patients colour-coded as red) </w:t>
      </w:r>
      <w:r w:rsidR="01A5C09D" w:rsidRPr="7272B54E">
        <w:rPr>
          <w:sz w:val="22"/>
          <w:szCs w:val="22"/>
        </w:rPr>
        <w:t xml:space="preserve">under a </w:t>
      </w:r>
      <w:r w:rsidR="09DA420C" w:rsidRPr="7272B54E">
        <w:rPr>
          <w:sz w:val="22"/>
          <w:szCs w:val="22"/>
        </w:rPr>
        <w:t>L</w:t>
      </w:r>
      <w:r w:rsidR="01A5C09D" w:rsidRPr="7272B54E">
        <w:rPr>
          <w:sz w:val="22"/>
          <w:szCs w:val="22"/>
        </w:rPr>
        <w:t>evel 1 triage scenario</w:t>
      </w:r>
      <w:r w:rsidR="28729E9D" w:rsidRPr="7272B54E">
        <w:rPr>
          <w:sz w:val="22"/>
          <w:szCs w:val="22"/>
        </w:rPr>
        <w:t xml:space="preserve"> should be</w:t>
      </w:r>
      <w:r w:rsidR="01A5C09D" w:rsidRPr="7272B54E">
        <w:rPr>
          <w:sz w:val="22"/>
          <w:szCs w:val="22"/>
        </w:rPr>
        <w:t xml:space="preserve"> identified in advance and they (or their substitute decision-makers) </w:t>
      </w:r>
      <w:r w:rsidR="28729E9D" w:rsidRPr="7272B54E">
        <w:rPr>
          <w:sz w:val="22"/>
          <w:szCs w:val="22"/>
        </w:rPr>
        <w:t xml:space="preserve">should be </w:t>
      </w:r>
      <w:r w:rsidR="01A5C09D" w:rsidRPr="7272B54E">
        <w:rPr>
          <w:sz w:val="22"/>
          <w:szCs w:val="22"/>
        </w:rPr>
        <w:t xml:space="preserve">informed </w:t>
      </w:r>
      <w:r w:rsidR="00DE0390">
        <w:rPr>
          <w:sz w:val="22"/>
          <w:szCs w:val="22"/>
        </w:rPr>
        <w:t xml:space="preserve">that Level 1 triage </w:t>
      </w:r>
      <w:r w:rsidR="00DE0390" w:rsidRPr="00DE0390">
        <w:rPr>
          <w:sz w:val="22"/>
          <w:szCs w:val="22"/>
        </w:rPr>
        <w:t>may be initiated and what the consequences to the patient would be.</w:t>
      </w:r>
      <w:r w:rsidR="01A5C09D" w:rsidRPr="7272B54E">
        <w:rPr>
          <w:sz w:val="22"/>
          <w:szCs w:val="22"/>
        </w:rPr>
        <w:t xml:space="preserve"> When </w:t>
      </w:r>
      <w:r w:rsidR="09586D22" w:rsidRPr="7272B54E">
        <w:rPr>
          <w:sz w:val="22"/>
          <w:szCs w:val="22"/>
        </w:rPr>
        <w:t>L</w:t>
      </w:r>
      <w:r w:rsidR="01A5C09D" w:rsidRPr="7272B54E">
        <w:rPr>
          <w:sz w:val="22"/>
          <w:szCs w:val="22"/>
        </w:rPr>
        <w:t xml:space="preserve">evel 1 triage </w:t>
      </w:r>
      <w:r w:rsidR="776A959B" w:rsidRPr="7272B54E">
        <w:rPr>
          <w:sz w:val="22"/>
          <w:szCs w:val="22"/>
        </w:rPr>
        <w:t xml:space="preserve">has been </w:t>
      </w:r>
      <w:r w:rsidR="01A5C09D" w:rsidRPr="7272B54E">
        <w:rPr>
          <w:sz w:val="22"/>
          <w:szCs w:val="22"/>
        </w:rPr>
        <w:t>initiated, these patients should be</w:t>
      </w:r>
      <w:r w:rsidR="5D1A39E6" w:rsidRPr="7272B54E">
        <w:rPr>
          <w:sz w:val="22"/>
          <w:szCs w:val="22"/>
        </w:rPr>
        <w:t xml:space="preserve">gin to </w:t>
      </w:r>
      <w:r w:rsidR="1237D4E4" w:rsidRPr="7272B54E">
        <w:rPr>
          <w:sz w:val="22"/>
          <w:szCs w:val="22"/>
        </w:rPr>
        <w:t>have life-sustaining measures withdrawn</w:t>
      </w:r>
      <w:r w:rsidR="653F13E5" w:rsidRPr="7272B54E">
        <w:rPr>
          <w:sz w:val="22"/>
          <w:szCs w:val="22"/>
        </w:rPr>
        <w:t xml:space="preserve"> </w:t>
      </w:r>
      <w:r w:rsidR="01A5C09D" w:rsidRPr="7272B54E">
        <w:rPr>
          <w:sz w:val="22"/>
          <w:szCs w:val="22"/>
        </w:rPr>
        <w:t xml:space="preserve">and </w:t>
      </w:r>
      <w:r w:rsidR="1237D4E4" w:rsidRPr="7272B54E">
        <w:rPr>
          <w:sz w:val="22"/>
          <w:szCs w:val="22"/>
        </w:rPr>
        <w:t xml:space="preserve">be </w:t>
      </w:r>
      <w:r w:rsidR="01A5C09D" w:rsidRPr="7272B54E">
        <w:rPr>
          <w:sz w:val="22"/>
          <w:szCs w:val="22"/>
        </w:rPr>
        <w:t>transferred to non-critical care beds with appropriate</w:t>
      </w:r>
      <w:r w:rsidR="1B7AD45F" w:rsidRPr="7272B54E">
        <w:rPr>
          <w:sz w:val="22"/>
          <w:szCs w:val="22"/>
        </w:rPr>
        <w:t xml:space="preserve"> treatment</w:t>
      </w:r>
      <w:r w:rsidR="00DE0390">
        <w:rPr>
          <w:sz w:val="22"/>
          <w:szCs w:val="22"/>
        </w:rPr>
        <w:t xml:space="preserve"> </w:t>
      </w:r>
      <w:r w:rsidR="00DE0390" w:rsidRPr="7272B54E">
        <w:rPr>
          <w:sz w:val="22"/>
          <w:szCs w:val="22"/>
        </w:rPr>
        <w:t>in accordance with the patient’s values, beliefs, and wishes</w:t>
      </w:r>
      <w:r w:rsidR="1B7AD45F" w:rsidRPr="7272B54E">
        <w:rPr>
          <w:sz w:val="22"/>
          <w:szCs w:val="22"/>
        </w:rPr>
        <w:t>, including palliative care if appropriate</w:t>
      </w:r>
      <w:r w:rsidR="5D1A39E6" w:rsidRPr="7272B54E">
        <w:rPr>
          <w:sz w:val="22"/>
          <w:szCs w:val="22"/>
        </w:rPr>
        <w:t xml:space="preserve">. </w:t>
      </w:r>
      <w:r w:rsidR="74A351C2" w:rsidRPr="7272B54E">
        <w:rPr>
          <w:sz w:val="22"/>
          <w:szCs w:val="22"/>
        </w:rPr>
        <w:t xml:space="preserve">In practice, </w:t>
      </w:r>
      <w:r w:rsidR="00B07C51">
        <w:rPr>
          <w:sz w:val="22"/>
          <w:szCs w:val="22"/>
        </w:rPr>
        <w:t>it may</w:t>
      </w:r>
      <w:r w:rsidR="74A351C2" w:rsidRPr="7272B54E">
        <w:rPr>
          <w:sz w:val="22"/>
          <w:szCs w:val="22"/>
        </w:rPr>
        <w:t xml:space="preserve"> not </w:t>
      </w:r>
      <w:r w:rsidR="00B07C51">
        <w:rPr>
          <w:sz w:val="22"/>
          <w:szCs w:val="22"/>
        </w:rPr>
        <w:t>be possible for</w:t>
      </w:r>
      <w:r w:rsidR="74A351C2" w:rsidRPr="7272B54E">
        <w:rPr>
          <w:sz w:val="22"/>
          <w:szCs w:val="22"/>
        </w:rPr>
        <w:t xml:space="preserve"> every ventilator in every hospital </w:t>
      </w:r>
      <w:r w:rsidR="00B07C51">
        <w:rPr>
          <w:sz w:val="22"/>
          <w:szCs w:val="22"/>
        </w:rPr>
        <w:t>to</w:t>
      </w:r>
      <w:r w:rsidR="74A351C2" w:rsidRPr="7272B54E">
        <w:rPr>
          <w:sz w:val="22"/>
          <w:szCs w:val="22"/>
        </w:rPr>
        <w:t xml:space="preserve"> be used at all times</w:t>
      </w:r>
      <w:r w:rsidR="00F55558">
        <w:rPr>
          <w:sz w:val="22"/>
          <w:szCs w:val="22"/>
        </w:rPr>
        <w:t>; t</w:t>
      </w:r>
      <w:r w:rsidR="74A351C2" w:rsidRPr="7272B54E">
        <w:rPr>
          <w:sz w:val="22"/>
          <w:szCs w:val="22"/>
        </w:rPr>
        <w:t>he pr</w:t>
      </w:r>
      <w:r w:rsidR="17E1B4E2" w:rsidRPr="7272B54E">
        <w:rPr>
          <w:sz w:val="22"/>
          <w:szCs w:val="22"/>
        </w:rPr>
        <w:t xml:space="preserve">ocess of withdrawal includes an assessment, communication with the patient </w:t>
      </w:r>
      <w:r w:rsidR="1ABC12F3" w:rsidRPr="7272B54E">
        <w:rPr>
          <w:sz w:val="22"/>
          <w:szCs w:val="22"/>
        </w:rPr>
        <w:t xml:space="preserve">and </w:t>
      </w:r>
      <w:r w:rsidR="17E1B4E2" w:rsidRPr="7272B54E">
        <w:rPr>
          <w:sz w:val="22"/>
          <w:szCs w:val="22"/>
        </w:rPr>
        <w:t xml:space="preserve">family members, the opportunity for appeal, </w:t>
      </w:r>
      <w:r w:rsidR="017B6432" w:rsidRPr="7272B54E">
        <w:rPr>
          <w:sz w:val="22"/>
          <w:szCs w:val="22"/>
        </w:rPr>
        <w:t xml:space="preserve">the </w:t>
      </w:r>
      <w:r w:rsidR="00DE0390">
        <w:rPr>
          <w:sz w:val="22"/>
          <w:szCs w:val="22"/>
        </w:rPr>
        <w:t>withdrawal of life-sustaining measures</w:t>
      </w:r>
      <w:r w:rsidR="017B6432" w:rsidRPr="7272B54E">
        <w:rPr>
          <w:sz w:val="22"/>
          <w:szCs w:val="22"/>
        </w:rPr>
        <w:t xml:space="preserve">, and the management of symptoms </w:t>
      </w:r>
      <w:r w:rsidR="388C9B2A" w:rsidRPr="7272B54E">
        <w:rPr>
          <w:sz w:val="22"/>
          <w:szCs w:val="22"/>
        </w:rPr>
        <w:t xml:space="preserve">following withdrawal. This process </w:t>
      </w:r>
      <w:r w:rsidR="00D43529">
        <w:rPr>
          <w:sz w:val="22"/>
          <w:szCs w:val="22"/>
        </w:rPr>
        <w:t>could in many cases</w:t>
      </w:r>
      <w:r w:rsidR="388C9B2A" w:rsidRPr="7272B54E">
        <w:rPr>
          <w:sz w:val="22"/>
          <w:szCs w:val="22"/>
        </w:rPr>
        <w:t xml:space="preserve"> take many hours,</w:t>
      </w:r>
      <w:r w:rsidR="7DA65C9C" w:rsidRPr="7272B54E">
        <w:rPr>
          <w:sz w:val="22"/>
          <w:szCs w:val="22"/>
        </w:rPr>
        <w:t xml:space="preserve"> and it would not be feasible to initiate this process only when an eligible patient </w:t>
      </w:r>
      <w:r w:rsidR="6433B46F" w:rsidRPr="7272B54E">
        <w:rPr>
          <w:sz w:val="22"/>
          <w:szCs w:val="22"/>
        </w:rPr>
        <w:t>is identified. A delay of many hours for a critically ill individual would almost certainly result in harm</w:t>
      </w:r>
      <w:r w:rsidR="4C393BEE" w:rsidRPr="7272B54E">
        <w:rPr>
          <w:sz w:val="22"/>
          <w:szCs w:val="22"/>
        </w:rPr>
        <w:t xml:space="preserve"> or death.</w:t>
      </w:r>
      <w:r w:rsidR="6433B46F" w:rsidRPr="7272B54E">
        <w:rPr>
          <w:sz w:val="22"/>
          <w:szCs w:val="22"/>
        </w:rPr>
        <w:t xml:space="preserve"> </w:t>
      </w:r>
      <w:r w:rsidR="00DE0390">
        <w:rPr>
          <w:sz w:val="22"/>
          <w:szCs w:val="22"/>
        </w:rPr>
        <w:t>With that said, a</w:t>
      </w:r>
      <w:r w:rsidR="00DE0390" w:rsidRPr="7272B54E">
        <w:rPr>
          <w:sz w:val="22"/>
          <w:szCs w:val="22"/>
        </w:rPr>
        <w:t xml:space="preserve">ll </w:t>
      </w:r>
      <w:r w:rsidR="00DE0390" w:rsidRPr="4769E595">
        <w:rPr>
          <w:sz w:val="22"/>
          <w:szCs w:val="22"/>
        </w:rPr>
        <w:t>p</w:t>
      </w:r>
      <w:r w:rsidR="00DE0390" w:rsidRPr="7272B54E">
        <w:rPr>
          <w:sz w:val="22"/>
          <w:szCs w:val="22"/>
        </w:rPr>
        <w:t xml:space="preserve">atients in critical care beds </w:t>
      </w:r>
      <w:r w:rsidR="00DE0390" w:rsidRPr="4769E595">
        <w:rPr>
          <w:sz w:val="22"/>
          <w:szCs w:val="22"/>
        </w:rPr>
        <w:t xml:space="preserve">who </w:t>
      </w:r>
      <w:r w:rsidR="00DE0390" w:rsidRPr="7272B54E">
        <w:rPr>
          <w:sz w:val="22"/>
          <w:szCs w:val="22"/>
        </w:rPr>
        <w:t>are colour-coded as red</w:t>
      </w:r>
      <w:r w:rsidR="00DE0390" w:rsidRPr="4769E595">
        <w:rPr>
          <w:sz w:val="22"/>
          <w:szCs w:val="22"/>
        </w:rPr>
        <w:t xml:space="preserve"> should not have life-sustaining measures withdrawn at once</w:t>
      </w:r>
      <w:r w:rsidR="00DE0390" w:rsidRPr="7272B54E">
        <w:rPr>
          <w:sz w:val="22"/>
          <w:szCs w:val="22"/>
        </w:rPr>
        <w:t xml:space="preserve">. Withdrawal of life-sustaining measures should be in proportion to demand and operational capacities. </w:t>
      </w:r>
      <w:r w:rsidR="566BEC08" w:rsidRPr="4769E595">
        <w:rPr>
          <w:sz w:val="22"/>
          <w:szCs w:val="22"/>
        </w:rPr>
        <w:t xml:space="preserve">Random selection </w:t>
      </w:r>
      <w:r w:rsidR="147CCCED" w:rsidRPr="4769E595">
        <w:rPr>
          <w:sz w:val="22"/>
          <w:szCs w:val="22"/>
        </w:rPr>
        <w:t xml:space="preserve">among patients colour-coded as red </w:t>
      </w:r>
      <w:r w:rsidR="566BEC08" w:rsidRPr="4769E595">
        <w:rPr>
          <w:sz w:val="22"/>
          <w:szCs w:val="22"/>
        </w:rPr>
        <w:t>should be used to determine which patients will have life-sustaining measures withdrawn first.</w:t>
      </w:r>
      <w:r w:rsidR="01A5C09D" w:rsidRPr="7272B54E">
        <w:rPr>
          <w:sz w:val="22"/>
          <w:szCs w:val="22"/>
        </w:rPr>
        <w:t xml:space="preserve"> </w:t>
      </w:r>
      <w:r w:rsidR="00DE0390" w:rsidRPr="00DE0390">
        <w:rPr>
          <w:sz w:val="22"/>
          <w:szCs w:val="22"/>
        </w:rPr>
        <w:t>Provincial and Regional Critical Care Command Centres should collect data from hospital</w:t>
      </w:r>
      <w:r w:rsidR="00DE0390">
        <w:rPr>
          <w:sz w:val="22"/>
          <w:szCs w:val="22"/>
        </w:rPr>
        <w:t>s regarding</w:t>
      </w:r>
      <w:r w:rsidR="33B4F209" w:rsidRPr="7272B54E">
        <w:rPr>
          <w:sz w:val="22"/>
          <w:szCs w:val="22"/>
        </w:rPr>
        <w:t xml:space="preserve"> the number of patients who would no longer receive critical care in a </w:t>
      </w:r>
      <w:r w:rsidR="6E0EBDEB" w:rsidRPr="7272B54E">
        <w:rPr>
          <w:sz w:val="22"/>
          <w:szCs w:val="22"/>
        </w:rPr>
        <w:t>L</w:t>
      </w:r>
      <w:r w:rsidR="33B4F209" w:rsidRPr="7272B54E">
        <w:rPr>
          <w:sz w:val="22"/>
          <w:szCs w:val="22"/>
        </w:rPr>
        <w:t>evel 1 scenario to their Regional Critical Care Command Centre to assist with planning and coordination provincially.</w:t>
      </w:r>
    </w:p>
    <w:p w14:paraId="05B99C00" w14:textId="2D55D07C" w:rsidR="00193BDF" w:rsidRDefault="00193BDF" w:rsidP="004A2F6C">
      <w:pPr>
        <w:rPr>
          <w:sz w:val="22"/>
          <w:szCs w:val="22"/>
        </w:rPr>
      </w:pPr>
    </w:p>
    <w:p w14:paraId="65DBA69D" w14:textId="083247BE" w:rsidR="00D60030" w:rsidRDefault="25FA8DC1" w:rsidP="004A2F6C">
      <w:pPr>
        <w:rPr>
          <w:sz w:val="22"/>
          <w:szCs w:val="22"/>
        </w:rPr>
      </w:pPr>
      <w:r w:rsidRPr="44D22B2E">
        <w:rPr>
          <w:sz w:val="22"/>
          <w:szCs w:val="22"/>
        </w:rPr>
        <w:t xml:space="preserve">If major surge escalates, </w:t>
      </w:r>
      <w:r w:rsidR="004A2F6C" w:rsidRPr="44D22B2E">
        <w:rPr>
          <w:sz w:val="22"/>
          <w:szCs w:val="22"/>
        </w:rPr>
        <w:t xml:space="preserve">all patients in critical care beds </w:t>
      </w:r>
      <w:r w:rsidR="404F390C" w:rsidRPr="44D22B2E">
        <w:rPr>
          <w:sz w:val="22"/>
          <w:szCs w:val="22"/>
        </w:rPr>
        <w:t>with a greater than 50% predicted short-term mortality risk</w:t>
      </w:r>
      <w:r w:rsidR="004A2F6C" w:rsidRPr="44D22B2E">
        <w:rPr>
          <w:sz w:val="22"/>
          <w:szCs w:val="22"/>
        </w:rPr>
        <w:t xml:space="preserve"> </w:t>
      </w:r>
      <w:r w:rsidR="2969386A" w:rsidRPr="44D22B2E">
        <w:rPr>
          <w:sz w:val="22"/>
          <w:szCs w:val="22"/>
        </w:rPr>
        <w:t>(</w:t>
      </w:r>
      <w:r w:rsidR="3F0A19B0" w:rsidRPr="44D22B2E">
        <w:rPr>
          <w:sz w:val="22"/>
          <w:szCs w:val="22"/>
        </w:rPr>
        <w:t>i</w:t>
      </w:r>
      <w:r w:rsidR="2969386A" w:rsidRPr="44D22B2E">
        <w:rPr>
          <w:sz w:val="22"/>
          <w:szCs w:val="22"/>
        </w:rPr>
        <w:t xml:space="preserve">.e., patients colour-coded as </w:t>
      </w:r>
      <w:r w:rsidR="00C90468">
        <w:rPr>
          <w:sz w:val="22"/>
          <w:szCs w:val="22"/>
        </w:rPr>
        <w:t>purple</w:t>
      </w:r>
      <w:r w:rsidR="2969386A" w:rsidRPr="44D22B2E">
        <w:rPr>
          <w:sz w:val="22"/>
          <w:szCs w:val="22"/>
        </w:rPr>
        <w:t xml:space="preserve"> and red) </w:t>
      </w:r>
      <w:r w:rsidR="004A2F6C" w:rsidRPr="44D22B2E">
        <w:rPr>
          <w:sz w:val="22"/>
          <w:szCs w:val="22"/>
        </w:rPr>
        <w:t xml:space="preserve">under a </w:t>
      </w:r>
      <w:r w:rsidR="2582FC85" w:rsidRPr="44D22B2E">
        <w:rPr>
          <w:sz w:val="22"/>
          <w:szCs w:val="22"/>
        </w:rPr>
        <w:t>L</w:t>
      </w:r>
      <w:r w:rsidR="004A2F6C" w:rsidRPr="44D22B2E">
        <w:rPr>
          <w:sz w:val="22"/>
          <w:szCs w:val="22"/>
        </w:rPr>
        <w:t>evel 2 triage scenario</w:t>
      </w:r>
      <w:r w:rsidRPr="44D22B2E">
        <w:rPr>
          <w:sz w:val="22"/>
          <w:szCs w:val="22"/>
        </w:rPr>
        <w:t xml:space="preserve"> should be identified and they </w:t>
      </w:r>
      <w:r w:rsidR="004A2F6C" w:rsidRPr="44D22B2E">
        <w:rPr>
          <w:sz w:val="22"/>
          <w:szCs w:val="22"/>
        </w:rPr>
        <w:t xml:space="preserve">(or their substitute decision-makers) </w:t>
      </w:r>
      <w:r w:rsidRPr="44D22B2E">
        <w:rPr>
          <w:sz w:val="22"/>
          <w:szCs w:val="22"/>
        </w:rPr>
        <w:t xml:space="preserve">should be informed that </w:t>
      </w:r>
      <w:r w:rsidR="3944EBAA" w:rsidRPr="44D22B2E">
        <w:rPr>
          <w:sz w:val="22"/>
          <w:szCs w:val="22"/>
        </w:rPr>
        <w:t>L</w:t>
      </w:r>
      <w:r w:rsidRPr="44D22B2E">
        <w:rPr>
          <w:sz w:val="22"/>
          <w:szCs w:val="22"/>
        </w:rPr>
        <w:t xml:space="preserve">evel 2 triage is imminent. </w:t>
      </w:r>
      <w:r w:rsidR="004A2F6C" w:rsidRPr="44D22B2E">
        <w:rPr>
          <w:sz w:val="22"/>
          <w:szCs w:val="22"/>
        </w:rPr>
        <w:t xml:space="preserve">The </w:t>
      </w:r>
      <w:r w:rsidR="600EFE77" w:rsidRPr="44D22B2E">
        <w:rPr>
          <w:sz w:val="22"/>
          <w:szCs w:val="22"/>
        </w:rPr>
        <w:t>R</w:t>
      </w:r>
      <w:r w:rsidR="004A2F6C" w:rsidRPr="44D22B2E">
        <w:rPr>
          <w:sz w:val="22"/>
          <w:szCs w:val="22"/>
        </w:rPr>
        <w:t xml:space="preserve">egional </w:t>
      </w:r>
      <w:r w:rsidR="3FAC129F" w:rsidRPr="44D22B2E">
        <w:rPr>
          <w:sz w:val="22"/>
          <w:szCs w:val="22"/>
        </w:rPr>
        <w:t>C</w:t>
      </w:r>
      <w:r w:rsidR="00644F4D" w:rsidRPr="44D22B2E">
        <w:rPr>
          <w:sz w:val="22"/>
          <w:szCs w:val="22"/>
        </w:rPr>
        <w:t xml:space="preserve">ritical </w:t>
      </w:r>
      <w:r w:rsidR="34103171" w:rsidRPr="44D22B2E">
        <w:rPr>
          <w:sz w:val="22"/>
          <w:szCs w:val="22"/>
        </w:rPr>
        <w:t>C</w:t>
      </w:r>
      <w:r w:rsidR="00644F4D" w:rsidRPr="44D22B2E">
        <w:rPr>
          <w:sz w:val="22"/>
          <w:szCs w:val="22"/>
        </w:rPr>
        <w:t xml:space="preserve">are </w:t>
      </w:r>
      <w:r w:rsidR="3E155C1B" w:rsidRPr="44D22B2E">
        <w:rPr>
          <w:sz w:val="22"/>
          <w:szCs w:val="22"/>
        </w:rPr>
        <w:t>C</w:t>
      </w:r>
      <w:r w:rsidR="00644F4D" w:rsidRPr="44D22B2E">
        <w:rPr>
          <w:sz w:val="22"/>
          <w:szCs w:val="22"/>
        </w:rPr>
        <w:t xml:space="preserve">ommand </w:t>
      </w:r>
      <w:r w:rsidR="0DA3B6C4" w:rsidRPr="44D22B2E">
        <w:rPr>
          <w:sz w:val="22"/>
          <w:szCs w:val="22"/>
        </w:rPr>
        <w:t>C</w:t>
      </w:r>
      <w:r w:rsidR="00644F4D" w:rsidRPr="44D22B2E">
        <w:rPr>
          <w:sz w:val="22"/>
          <w:szCs w:val="22"/>
        </w:rPr>
        <w:t xml:space="preserve">entre </w:t>
      </w:r>
      <w:r w:rsidR="004A2F6C" w:rsidRPr="44D22B2E">
        <w:rPr>
          <w:sz w:val="22"/>
          <w:szCs w:val="22"/>
        </w:rPr>
        <w:t xml:space="preserve">should continue to coordinate transportation of patients to optimize the utilization of all critical care resources before initiating a </w:t>
      </w:r>
      <w:r w:rsidR="5EF5964F" w:rsidRPr="44D22B2E">
        <w:rPr>
          <w:sz w:val="22"/>
          <w:szCs w:val="22"/>
        </w:rPr>
        <w:t>L</w:t>
      </w:r>
      <w:r w:rsidR="004A2F6C" w:rsidRPr="44D22B2E">
        <w:rPr>
          <w:sz w:val="22"/>
          <w:szCs w:val="22"/>
        </w:rPr>
        <w:t xml:space="preserve">evel 2 triage. If </w:t>
      </w:r>
      <w:r w:rsidR="19E763A9" w:rsidRPr="44D22B2E">
        <w:rPr>
          <w:sz w:val="22"/>
          <w:szCs w:val="22"/>
        </w:rPr>
        <w:t>L</w:t>
      </w:r>
      <w:r w:rsidR="004A2F6C" w:rsidRPr="44D22B2E">
        <w:rPr>
          <w:sz w:val="22"/>
          <w:szCs w:val="22"/>
        </w:rPr>
        <w:t xml:space="preserve">evel 2 triage is initiated, hospitals </w:t>
      </w:r>
      <w:r w:rsidR="29A5195F" w:rsidRPr="44D22B2E">
        <w:rPr>
          <w:sz w:val="22"/>
          <w:szCs w:val="22"/>
        </w:rPr>
        <w:t xml:space="preserve">should proceed </w:t>
      </w:r>
      <w:r w:rsidR="15F76A10" w:rsidRPr="44D22B2E">
        <w:rPr>
          <w:sz w:val="22"/>
          <w:szCs w:val="22"/>
        </w:rPr>
        <w:t xml:space="preserve">in a </w:t>
      </w:r>
      <w:r w:rsidR="29A5195F" w:rsidRPr="44D22B2E">
        <w:rPr>
          <w:sz w:val="22"/>
          <w:szCs w:val="22"/>
        </w:rPr>
        <w:t>similar</w:t>
      </w:r>
      <w:r w:rsidR="15F76A10" w:rsidRPr="44D22B2E">
        <w:rPr>
          <w:sz w:val="22"/>
          <w:szCs w:val="22"/>
        </w:rPr>
        <w:t xml:space="preserve"> manner</w:t>
      </w:r>
      <w:r w:rsidR="29A5195F" w:rsidRPr="44D22B2E">
        <w:rPr>
          <w:sz w:val="22"/>
          <w:szCs w:val="22"/>
        </w:rPr>
        <w:t xml:space="preserve"> to the steps described </w:t>
      </w:r>
      <w:r w:rsidR="7998DC20" w:rsidRPr="44D22B2E">
        <w:rPr>
          <w:sz w:val="22"/>
          <w:szCs w:val="22"/>
        </w:rPr>
        <w:t xml:space="preserve">for </w:t>
      </w:r>
      <w:r w:rsidR="58FCD119" w:rsidRPr="44D22B2E">
        <w:rPr>
          <w:sz w:val="22"/>
          <w:szCs w:val="22"/>
        </w:rPr>
        <w:t>L</w:t>
      </w:r>
      <w:r w:rsidR="7998DC20" w:rsidRPr="44D22B2E">
        <w:rPr>
          <w:sz w:val="22"/>
          <w:szCs w:val="22"/>
        </w:rPr>
        <w:t>evel 1 triage</w:t>
      </w:r>
      <w:r w:rsidR="29A5195F" w:rsidRPr="44D22B2E">
        <w:rPr>
          <w:sz w:val="22"/>
          <w:szCs w:val="22"/>
        </w:rPr>
        <w:t xml:space="preserve">. </w:t>
      </w:r>
      <w:r w:rsidR="59C4D281" w:rsidRPr="44D22B2E">
        <w:rPr>
          <w:sz w:val="22"/>
          <w:szCs w:val="22"/>
        </w:rPr>
        <w:t xml:space="preserve">Again, all patients </w:t>
      </w:r>
      <w:r w:rsidR="4DB638D8" w:rsidRPr="44D22B2E">
        <w:rPr>
          <w:sz w:val="22"/>
          <w:szCs w:val="22"/>
        </w:rPr>
        <w:t xml:space="preserve">colour-coded as </w:t>
      </w:r>
      <w:r w:rsidR="00C90468">
        <w:rPr>
          <w:sz w:val="22"/>
          <w:szCs w:val="22"/>
        </w:rPr>
        <w:t>purple</w:t>
      </w:r>
      <w:r w:rsidR="4DB638D8" w:rsidRPr="44D22B2E">
        <w:rPr>
          <w:sz w:val="22"/>
          <w:szCs w:val="22"/>
        </w:rPr>
        <w:t xml:space="preserve"> or red</w:t>
      </w:r>
      <w:r w:rsidR="59C4D281" w:rsidRPr="44D22B2E">
        <w:rPr>
          <w:sz w:val="22"/>
          <w:szCs w:val="22"/>
        </w:rPr>
        <w:t xml:space="preserve"> need not have life-sustaining measures withdrawn at once. Withdrawal of life-sustaining measures should be in proportion to demand and operational capacities. Patients in critical care beds </w:t>
      </w:r>
      <w:r w:rsidR="00D43529">
        <w:rPr>
          <w:sz w:val="22"/>
          <w:szCs w:val="22"/>
        </w:rPr>
        <w:t xml:space="preserve">who </w:t>
      </w:r>
      <w:r w:rsidR="09C8D3FE" w:rsidRPr="44D22B2E">
        <w:rPr>
          <w:sz w:val="22"/>
          <w:szCs w:val="22"/>
        </w:rPr>
        <w:t>are colour-coded as red</w:t>
      </w:r>
      <w:r w:rsidR="59C4D281" w:rsidRPr="44D22B2E">
        <w:rPr>
          <w:sz w:val="22"/>
          <w:szCs w:val="22"/>
        </w:rPr>
        <w:t xml:space="preserve"> </w:t>
      </w:r>
      <w:r w:rsidR="00D43529" w:rsidRPr="44D22B2E">
        <w:rPr>
          <w:sz w:val="22"/>
          <w:szCs w:val="22"/>
        </w:rPr>
        <w:t>who</w:t>
      </w:r>
      <w:r w:rsidR="00D43529">
        <w:rPr>
          <w:sz w:val="22"/>
          <w:szCs w:val="22"/>
        </w:rPr>
        <w:t>se clinical condition has deteriorated</w:t>
      </w:r>
      <w:r w:rsidR="00D43529" w:rsidRPr="44D22B2E">
        <w:rPr>
          <w:sz w:val="22"/>
          <w:szCs w:val="22"/>
        </w:rPr>
        <w:t xml:space="preserve"> </w:t>
      </w:r>
      <w:r w:rsidR="59C4D281" w:rsidRPr="44D22B2E">
        <w:rPr>
          <w:sz w:val="22"/>
          <w:szCs w:val="22"/>
        </w:rPr>
        <w:t>should have</w:t>
      </w:r>
      <w:r w:rsidR="4BB355E4" w:rsidRPr="44D22B2E">
        <w:rPr>
          <w:sz w:val="22"/>
          <w:szCs w:val="22"/>
        </w:rPr>
        <w:t xml:space="preserve"> life-sustaining measures withdrawn first. </w:t>
      </w:r>
      <w:r w:rsidR="00D43529">
        <w:rPr>
          <w:sz w:val="22"/>
          <w:szCs w:val="22"/>
        </w:rPr>
        <w:t xml:space="preserve">Patients in critical care beds whose clinical condition is stable but who continue to be colour-coded as red (i.e., fail to meet prioritization criteria at Level 2 triage) should have life-sustaining measures withdrawn next. </w:t>
      </w:r>
      <w:r w:rsidR="59314244" w:rsidRPr="44D22B2E">
        <w:rPr>
          <w:sz w:val="22"/>
          <w:szCs w:val="22"/>
        </w:rPr>
        <w:t>Subsequently, r</w:t>
      </w:r>
      <w:r w:rsidR="59C4D281" w:rsidRPr="44D22B2E">
        <w:rPr>
          <w:sz w:val="22"/>
          <w:szCs w:val="22"/>
        </w:rPr>
        <w:t>andom selection should be used to determine which patients</w:t>
      </w:r>
      <w:r w:rsidR="4AF5B86E" w:rsidRPr="44D22B2E">
        <w:rPr>
          <w:sz w:val="22"/>
          <w:szCs w:val="22"/>
        </w:rPr>
        <w:t xml:space="preserve"> colour-coded as </w:t>
      </w:r>
      <w:r w:rsidR="00C90468">
        <w:rPr>
          <w:sz w:val="22"/>
          <w:szCs w:val="22"/>
        </w:rPr>
        <w:t>purple</w:t>
      </w:r>
      <w:r w:rsidR="59C4D281" w:rsidRPr="44D22B2E">
        <w:rPr>
          <w:sz w:val="22"/>
          <w:szCs w:val="22"/>
        </w:rPr>
        <w:t xml:space="preserve"> will have life-sustaining measures withdrawn. </w:t>
      </w:r>
      <w:r w:rsidR="004A2F6C" w:rsidRPr="44D22B2E">
        <w:rPr>
          <w:sz w:val="22"/>
          <w:szCs w:val="22"/>
        </w:rPr>
        <w:t xml:space="preserve">All </w:t>
      </w:r>
      <w:r w:rsidRPr="44D22B2E">
        <w:rPr>
          <w:sz w:val="22"/>
          <w:szCs w:val="22"/>
        </w:rPr>
        <w:t xml:space="preserve">new </w:t>
      </w:r>
      <w:r w:rsidR="004A2F6C" w:rsidRPr="44D22B2E">
        <w:rPr>
          <w:sz w:val="22"/>
          <w:szCs w:val="22"/>
        </w:rPr>
        <w:t xml:space="preserve">patients who develop critical illness after a </w:t>
      </w:r>
      <w:r w:rsidR="42A2247F" w:rsidRPr="44D22B2E">
        <w:rPr>
          <w:sz w:val="22"/>
          <w:szCs w:val="22"/>
        </w:rPr>
        <w:t>L</w:t>
      </w:r>
      <w:r w:rsidR="004A2F6C" w:rsidRPr="44D22B2E">
        <w:rPr>
          <w:sz w:val="22"/>
          <w:szCs w:val="22"/>
        </w:rPr>
        <w:t xml:space="preserve">evel 2 triage scenario should be </w:t>
      </w:r>
      <w:r w:rsidRPr="44D22B2E">
        <w:rPr>
          <w:sz w:val="22"/>
          <w:szCs w:val="22"/>
        </w:rPr>
        <w:t xml:space="preserve">assessed </w:t>
      </w:r>
      <w:r w:rsidR="004A2F6C" w:rsidRPr="44D22B2E">
        <w:rPr>
          <w:sz w:val="22"/>
          <w:szCs w:val="22"/>
        </w:rPr>
        <w:t xml:space="preserve">against the </w:t>
      </w:r>
      <w:r w:rsidR="6386143F" w:rsidRPr="44D22B2E">
        <w:rPr>
          <w:sz w:val="22"/>
          <w:szCs w:val="22"/>
        </w:rPr>
        <w:t>L</w:t>
      </w:r>
      <w:r w:rsidR="004A2F6C" w:rsidRPr="44D22B2E">
        <w:rPr>
          <w:sz w:val="22"/>
          <w:szCs w:val="22"/>
        </w:rPr>
        <w:t xml:space="preserve">evel 2 criteria before receiving critical care resources. </w:t>
      </w:r>
      <w:r w:rsidR="5872F9F5" w:rsidRPr="44D22B2E">
        <w:rPr>
          <w:sz w:val="22"/>
          <w:szCs w:val="22"/>
        </w:rPr>
        <w:t>H</w:t>
      </w:r>
      <w:r w:rsidR="004A2F6C" w:rsidRPr="44D22B2E">
        <w:rPr>
          <w:sz w:val="22"/>
          <w:szCs w:val="22"/>
        </w:rPr>
        <w:t xml:space="preserve">ospitals should then prepare for a </w:t>
      </w:r>
      <w:r w:rsidR="635AD01E" w:rsidRPr="44D22B2E">
        <w:rPr>
          <w:sz w:val="22"/>
          <w:szCs w:val="22"/>
        </w:rPr>
        <w:t>L</w:t>
      </w:r>
      <w:r w:rsidR="004A2F6C" w:rsidRPr="44D22B2E">
        <w:rPr>
          <w:sz w:val="22"/>
          <w:szCs w:val="22"/>
        </w:rPr>
        <w:t xml:space="preserve">evel 3 triage scenario, similar to the previous steps. </w:t>
      </w:r>
      <w:r w:rsidRPr="44D22B2E">
        <w:rPr>
          <w:sz w:val="22"/>
          <w:szCs w:val="22"/>
        </w:rPr>
        <w:t xml:space="preserve">Based on the principle of proportionality, the number of patients </w:t>
      </w:r>
      <w:r w:rsidR="6E20E437" w:rsidRPr="44D22B2E">
        <w:rPr>
          <w:sz w:val="22"/>
          <w:szCs w:val="22"/>
        </w:rPr>
        <w:t xml:space="preserve">not receiving </w:t>
      </w:r>
      <w:r w:rsidR="00193BDF" w:rsidRPr="44D22B2E">
        <w:rPr>
          <w:sz w:val="22"/>
          <w:szCs w:val="22"/>
        </w:rPr>
        <w:t xml:space="preserve">access to or </w:t>
      </w:r>
      <w:r w:rsidRPr="44D22B2E">
        <w:rPr>
          <w:sz w:val="22"/>
          <w:szCs w:val="22"/>
        </w:rPr>
        <w:t xml:space="preserve">withdrawn from critical care should not be more than the incoming demand requires based on the current and expected surge of critically ill patients. This means that </w:t>
      </w:r>
      <w:r w:rsidR="7FD1BEF0" w:rsidRPr="44D22B2E">
        <w:rPr>
          <w:sz w:val="22"/>
          <w:szCs w:val="22"/>
        </w:rPr>
        <w:t>triage levels should go up or down in relation to demand and should continue only as long as the major surge persists to minimize mortality and morbidity.</w:t>
      </w:r>
    </w:p>
    <w:p w14:paraId="2EA8EFC9" w14:textId="74E2C90F" w:rsidR="4769E595" w:rsidRDefault="4769E595" w:rsidP="4769E595">
      <w:pPr>
        <w:rPr>
          <w:sz w:val="22"/>
          <w:szCs w:val="22"/>
        </w:rPr>
      </w:pPr>
    </w:p>
    <w:p w14:paraId="3B483DAF" w14:textId="22A6D3CA" w:rsidR="00081CE5" w:rsidRPr="00081CE5" w:rsidRDefault="00081CE5" w:rsidP="4769E595">
      <w:pPr>
        <w:rPr>
          <w:i/>
          <w:iCs/>
          <w:sz w:val="22"/>
          <w:szCs w:val="22"/>
        </w:rPr>
      </w:pPr>
      <w:r>
        <w:rPr>
          <w:i/>
          <w:iCs/>
          <w:sz w:val="22"/>
          <w:szCs w:val="22"/>
        </w:rPr>
        <w:t>Levels of Triage vs. Ordinal Ranking of Patients</w:t>
      </w:r>
    </w:p>
    <w:p w14:paraId="22FE2511" w14:textId="3EA145E7" w:rsidR="1FD4D399" w:rsidRDefault="1FD4D399" w:rsidP="4769E595">
      <w:pPr>
        <w:rPr>
          <w:sz w:val="22"/>
          <w:szCs w:val="22"/>
        </w:rPr>
      </w:pPr>
      <w:r w:rsidRPr="4769E595">
        <w:rPr>
          <w:sz w:val="22"/>
          <w:szCs w:val="22"/>
        </w:rPr>
        <w:t xml:space="preserve">The </w:t>
      </w:r>
      <w:r w:rsidR="7D4EE4C1" w:rsidRPr="4769E595">
        <w:rPr>
          <w:sz w:val="22"/>
          <w:szCs w:val="22"/>
        </w:rPr>
        <w:t xml:space="preserve">use of different levels allows for a </w:t>
      </w:r>
      <w:r w:rsidRPr="4769E595">
        <w:rPr>
          <w:sz w:val="22"/>
          <w:szCs w:val="22"/>
        </w:rPr>
        <w:t>proportional application of triage system</w:t>
      </w:r>
      <w:r w:rsidR="3C16C320" w:rsidRPr="4769E595">
        <w:rPr>
          <w:sz w:val="22"/>
          <w:szCs w:val="22"/>
        </w:rPr>
        <w:t>, as explained above. It also addresses concerns about categorical exclusion criteria by making it clear that no me</w:t>
      </w:r>
      <w:r w:rsidR="70079A3D" w:rsidRPr="4769E595">
        <w:rPr>
          <w:sz w:val="22"/>
          <w:szCs w:val="22"/>
        </w:rPr>
        <w:t xml:space="preserve">dical diagnosis is </w:t>
      </w:r>
      <w:r w:rsidR="34A7A6BF" w:rsidRPr="4769E595">
        <w:rPr>
          <w:sz w:val="22"/>
          <w:szCs w:val="22"/>
        </w:rPr>
        <w:t xml:space="preserve">inherently ineligible for critical care. Rather, the clinical guidelines focus on </w:t>
      </w:r>
      <w:r w:rsidR="6DAD086E" w:rsidRPr="4769E595">
        <w:rPr>
          <w:sz w:val="22"/>
          <w:szCs w:val="22"/>
        </w:rPr>
        <w:t xml:space="preserve">an </w:t>
      </w:r>
      <w:r w:rsidR="34A7A6BF" w:rsidRPr="4769E595">
        <w:rPr>
          <w:sz w:val="22"/>
          <w:szCs w:val="22"/>
        </w:rPr>
        <w:t>individualized</w:t>
      </w:r>
      <w:r w:rsidR="7FDB030D" w:rsidRPr="4769E595">
        <w:rPr>
          <w:sz w:val="22"/>
          <w:szCs w:val="22"/>
        </w:rPr>
        <w:t xml:space="preserve"> assessment of</w:t>
      </w:r>
      <w:r w:rsidR="34A7A6BF" w:rsidRPr="4769E595">
        <w:rPr>
          <w:sz w:val="22"/>
          <w:szCs w:val="22"/>
        </w:rPr>
        <w:t xml:space="preserve"> </w:t>
      </w:r>
      <w:r w:rsidR="00AD0913">
        <w:rPr>
          <w:sz w:val="22"/>
          <w:szCs w:val="22"/>
        </w:rPr>
        <w:t xml:space="preserve">predicted short-term </w:t>
      </w:r>
      <w:r w:rsidR="34A7A6BF" w:rsidRPr="4769E595">
        <w:rPr>
          <w:sz w:val="22"/>
          <w:szCs w:val="22"/>
        </w:rPr>
        <w:t>mortality risk</w:t>
      </w:r>
      <w:r w:rsidR="48F012E6" w:rsidRPr="4769E595">
        <w:rPr>
          <w:sz w:val="22"/>
          <w:szCs w:val="22"/>
        </w:rPr>
        <w:t xml:space="preserve"> using</w:t>
      </w:r>
      <w:r w:rsidR="34A7A6BF" w:rsidRPr="4769E595">
        <w:rPr>
          <w:sz w:val="22"/>
          <w:szCs w:val="22"/>
        </w:rPr>
        <w:t xml:space="preserve"> clin</w:t>
      </w:r>
      <w:r w:rsidR="3C0DFA43" w:rsidRPr="4769E595">
        <w:rPr>
          <w:sz w:val="22"/>
          <w:szCs w:val="22"/>
        </w:rPr>
        <w:t xml:space="preserve">ical factors </w:t>
      </w:r>
      <w:r w:rsidR="6768C140" w:rsidRPr="4769E595">
        <w:rPr>
          <w:sz w:val="22"/>
          <w:szCs w:val="22"/>
        </w:rPr>
        <w:t xml:space="preserve">captured </w:t>
      </w:r>
      <w:r w:rsidR="3C0DFA43" w:rsidRPr="4769E595">
        <w:rPr>
          <w:sz w:val="22"/>
          <w:szCs w:val="22"/>
        </w:rPr>
        <w:t>in the tools provided. The use of levels also allows for a mo</w:t>
      </w:r>
      <w:r w:rsidR="0DA6C31B" w:rsidRPr="4769E595">
        <w:rPr>
          <w:sz w:val="22"/>
          <w:szCs w:val="22"/>
        </w:rPr>
        <w:t xml:space="preserve">re feasible application of triage at the bedside when a person develops critical illness. </w:t>
      </w:r>
      <w:r w:rsidR="270425C4" w:rsidRPr="4769E595">
        <w:rPr>
          <w:sz w:val="22"/>
          <w:szCs w:val="22"/>
        </w:rPr>
        <w:t>Some have proposed an ordinal ranking system</w:t>
      </w:r>
      <w:r w:rsidR="0DA6C31B" w:rsidRPr="4769E595">
        <w:rPr>
          <w:sz w:val="22"/>
          <w:szCs w:val="22"/>
        </w:rPr>
        <w:t xml:space="preserve"> </w:t>
      </w:r>
      <w:r w:rsidR="3F916B24" w:rsidRPr="4769E595">
        <w:rPr>
          <w:sz w:val="22"/>
          <w:szCs w:val="22"/>
        </w:rPr>
        <w:t xml:space="preserve">in which each </w:t>
      </w:r>
      <w:r w:rsidR="00D43529">
        <w:rPr>
          <w:sz w:val="22"/>
          <w:szCs w:val="22"/>
        </w:rPr>
        <w:t>patient</w:t>
      </w:r>
      <w:r w:rsidR="3F916B24" w:rsidRPr="4769E595">
        <w:rPr>
          <w:sz w:val="22"/>
          <w:szCs w:val="22"/>
        </w:rPr>
        <w:t xml:space="preserve"> who is critically ill is assigned an individual rank, and critical care resources would be allocated according to rank. We felt that this system would</w:t>
      </w:r>
      <w:r w:rsidR="7BC0A7AE" w:rsidRPr="4769E595">
        <w:rPr>
          <w:sz w:val="22"/>
          <w:szCs w:val="22"/>
        </w:rPr>
        <w:t xml:space="preserve"> be </w:t>
      </w:r>
      <w:r w:rsidR="4CC26C69" w:rsidRPr="4769E595">
        <w:rPr>
          <w:sz w:val="22"/>
          <w:szCs w:val="22"/>
        </w:rPr>
        <w:t>difficult to implement because our prognostic tools do not have the degree of precision that an ordin</w:t>
      </w:r>
      <w:r w:rsidR="32BBA853" w:rsidRPr="4769E595">
        <w:rPr>
          <w:sz w:val="22"/>
          <w:szCs w:val="22"/>
        </w:rPr>
        <w:t xml:space="preserve">al system would require. It would also be </w:t>
      </w:r>
      <w:r w:rsidR="7BC0A7AE" w:rsidRPr="4769E595">
        <w:rPr>
          <w:sz w:val="22"/>
          <w:szCs w:val="22"/>
        </w:rPr>
        <w:t xml:space="preserve">challenging to apply to a newly referred </w:t>
      </w:r>
      <w:r w:rsidR="00D43529">
        <w:rPr>
          <w:sz w:val="22"/>
          <w:szCs w:val="22"/>
        </w:rPr>
        <w:t>patient</w:t>
      </w:r>
      <w:r w:rsidR="7BC0A7AE" w:rsidRPr="4769E595">
        <w:rPr>
          <w:sz w:val="22"/>
          <w:szCs w:val="22"/>
        </w:rPr>
        <w:t xml:space="preserve"> with critical illness</w:t>
      </w:r>
      <w:r w:rsidR="7411ABD3" w:rsidRPr="4769E595">
        <w:rPr>
          <w:sz w:val="22"/>
          <w:szCs w:val="22"/>
        </w:rPr>
        <w:t>; h</w:t>
      </w:r>
      <w:r w:rsidR="7BC0A7AE" w:rsidRPr="4769E595">
        <w:rPr>
          <w:sz w:val="22"/>
          <w:szCs w:val="22"/>
        </w:rPr>
        <w:t>aving to determine t</w:t>
      </w:r>
      <w:r w:rsidR="75FBB8D1" w:rsidRPr="4769E595">
        <w:rPr>
          <w:sz w:val="22"/>
          <w:szCs w:val="22"/>
        </w:rPr>
        <w:t xml:space="preserve">heir ranking in relation to an existing (and possibly lengthy) list of other patients </w:t>
      </w:r>
      <w:r w:rsidR="7BC0A7AE" w:rsidRPr="4769E595">
        <w:rPr>
          <w:sz w:val="22"/>
          <w:szCs w:val="22"/>
        </w:rPr>
        <w:t>in a time</w:t>
      </w:r>
      <w:r w:rsidR="00AD0913">
        <w:rPr>
          <w:sz w:val="22"/>
          <w:szCs w:val="22"/>
        </w:rPr>
        <w:t>-</w:t>
      </w:r>
      <w:r w:rsidR="7BC0A7AE" w:rsidRPr="4769E595">
        <w:rPr>
          <w:sz w:val="22"/>
          <w:szCs w:val="22"/>
        </w:rPr>
        <w:t xml:space="preserve">pressured situation </w:t>
      </w:r>
      <w:r w:rsidR="2197ADC7" w:rsidRPr="4769E595">
        <w:rPr>
          <w:sz w:val="22"/>
          <w:szCs w:val="22"/>
        </w:rPr>
        <w:t>before initiating critical care would l</w:t>
      </w:r>
      <w:r w:rsidR="00D43529">
        <w:rPr>
          <w:sz w:val="22"/>
          <w:szCs w:val="22"/>
        </w:rPr>
        <w:t>ikely l</w:t>
      </w:r>
      <w:r w:rsidR="2197ADC7" w:rsidRPr="4769E595">
        <w:rPr>
          <w:sz w:val="22"/>
          <w:szCs w:val="22"/>
        </w:rPr>
        <w:t xml:space="preserve">ead to potential delays in treatment for those who might benefit, and maintaining the priority list </w:t>
      </w:r>
      <w:r w:rsidR="1A6E0D76" w:rsidRPr="4769E595">
        <w:rPr>
          <w:sz w:val="22"/>
          <w:szCs w:val="22"/>
        </w:rPr>
        <w:t xml:space="preserve">could </w:t>
      </w:r>
      <w:r w:rsidR="2197ADC7" w:rsidRPr="4769E595">
        <w:rPr>
          <w:sz w:val="22"/>
          <w:szCs w:val="22"/>
        </w:rPr>
        <w:t xml:space="preserve">require frequent and </w:t>
      </w:r>
      <w:r w:rsidR="0A7BAA40" w:rsidRPr="4769E595">
        <w:rPr>
          <w:sz w:val="22"/>
          <w:szCs w:val="22"/>
        </w:rPr>
        <w:t xml:space="preserve">time-consuming reassessments. And since patients </w:t>
      </w:r>
      <w:r w:rsidR="20AAD3EC" w:rsidRPr="4769E595">
        <w:rPr>
          <w:sz w:val="22"/>
          <w:szCs w:val="22"/>
        </w:rPr>
        <w:t xml:space="preserve">and resources </w:t>
      </w:r>
      <w:r w:rsidR="71DFB85D" w:rsidRPr="4769E595">
        <w:rPr>
          <w:sz w:val="22"/>
          <w:szCs w:val="22"/>
        </w:rPr>
        <w:t xml:space="preserve">in Ontario </w:t>
      </w:r>
      <w:r w:rsidR="20AAD3EC" w:rsidRPr="4769E595">
        <w:rPr>
          <w:sz w:val="22"/>
          <w:szCs w:val="22"/>
        </w:rPr>
        <w:t xml:space="preserve">are shared </w:t>
      </w:r>
      <w:r w:rsidR="2036B7D0" w:rsidRPr="4769E595">
        <w:rPr>
          <w:sz w:val="22"/>
          <w:szCs w:val="22"/>
        </w:rPr>
        <w:t>regionally and provincially</w:t>
      </w:r>
      <w:r w:rsidR="20AAD3EC" w:rsidRPr="4769E595">
        <w:rPr>
          <w:sz w:val="22"/>
          <w:szCs w:val="22"/>
        </w:rPr>
        <w:t xml:space="preserve">, the priority list would </w:t>
      </w:r>
      <w:r w:rsidR="00D43529">
        <w:rPr>
          <w:sz w:val="22"/>
          <w:szCs w:val="22"/>
        </w:rPr>
        <w:t xml:space="preserve">perhaps have </w:t>
      </w:r>
      <w:r w:rsidR="20AAD3EC" w:rsidRPr="4769E595">
        <w:rPr>
          <w:sz w:val="22"/>
          <w:szCs w:val="22"/>
        </w:rPr>
        <w:t xml:space="preserve">to span multiple facilities, which would not be feasible. </w:t>
      </w:r>
      <w:r w:rsidR="400586DE" w:rsidRPr="4769E595">
        <w:rPr>
          <w:sz w:val="22"/>
          <w:szCs w:val="22"/>
        </w:rPr>
        <w:t>Assessing a newly</w:t>
      </w:r>
      <w:r w:rsidR="00D43529">
        <w:rPr>
          <w:sz w:val="22"/>
          <w:szCs w:val="22"/>
        </w:rPr>
        <w:t xml:space="preserve"> </w:t>
      </w:r>
      <w:r w:rsidR="400586DE" w:rsidRPr="4769E595">
        <w:rPr>
          <w:sz w:val="22"/>
          <w:szCs w:val="22"/>
        </w:rPr>
        <w:t xml:space="preserve">referred </w:t>
      </w:r>
      <w:r w:rsidR="00D43529">
        <w:rPr>
          <w:sz w:val="22"/>
          <w:szCs w:val="22"/>
        </w:rPr>
        <w:t>patient</w:t>
      </w:r>
      <w:r w:rsidR="400586DE" w:rsidRPr="4769E595">
        <w:rPr>
          <w:sz w:val="22"/>
          <w:szCs w:val="22"/>
        </w:rPr>
        <w:t xml:space="preserve"> and comparing their </w:t>
      </w:r>
      <w:r w:rsidR="00AD0913">
        <w:rPr>
          <w:sz w:val="22"/>
          <w:szCs w:val="22"/>
        </w:rPr>
        <w:t>predicted short-term</w:t>
      </w:r>
      <w:r w:rsidR="400586DE" w:rsidRPr="4769E595">
        <w:rPr>
          <w:sz w:val="22"/>
          <w:szCs w:val="22"/>
        </w:rPr>
        <w:t xml:space="preserve"> mortality risk to the current level of triage, while withdrawing </w:t>
      </w:r>
      <w:r w:rsidR="697CDF76" w:rsidRPr="4769E595">
        <w:rPr>
          <w:sz w:val="22"/>
          <w:szCs w:val="22"/>
        </w:rPr>
        <w:t>life</w:t>
      </w:r>
      <w:r w:rsidR="00AD0913">
        <w:rPr>
          <w:sz w:val="22"/>
          <w:szCs w:val="22"/>
        </w:rPr>
        <w:t>-sustaining measures</w:t>
      </w:r>
      <w:r w:rsidR="697CDF76" w:rsidRPr="4769E595">
        <w:rPr>
          <w:sz w:val="22"/>
          <w:szCs w:val="22"/>
        </w:rPr>
        <w:t xml:space="preserve"> based on the process identified above,</w:t>
      </w:r>
      <w:r w:rsidR="400586DE" w:rsidRPr="4769E595">
        <w:rPr>
          <w:sz w:val="22"/>
          <w:szCs w:val="22"/>
        </w:rPr>
        <w:t xml:space="preserve"> would be more feasible and achieve the sam</w:t>
      </w:r>
      <w:r w:rsidR="0F4B6584" w:rsidRPr="4769E595">
        <w:rPr>
          <w:sz w:val="22"/>
          <w:szCs w:val="22"/>
        </w:rPr>
        <w:t xml:space="preserve">e </w:t>
      </w:r>
      <w:r w:rsidR="00AD0913">
        <w:rPr>
          <w:sz w:val="22"/>
          <w:szCs w:val="22"/>
        </w:rPr>
        <w:t>objective</w:t>
      </w:r>
      <w:r w:rsidR="0F4B6584" w:rsidRPr="4769E595">
        <w:rPr>
          <w:sz w:val="22"/>
          <w:szCs w:val="22"/>
        </w:rPr>
        <w:t>.</w:t>
      </w:r>
    </w:p>
    <w:p w14:paraId="5394AFC4" w14:textId="303C50B4" w:rsidR="4769E595" w:rsidRDefault="4769E595" w:rsidP="500AFCFA">
      <w:pPr>
        <w:rPr>
          <w:rFonts w:eastAsiaTheme="minorEastAsia"/>
          <w:sz w:val="22"/>
          <w:szCs w:val="22"/>
          <w:highlight w:val="yellow"/>
        </w:rPr>
      </w:pPr>
    </w:p>
    <w:p w14:paraId="69C88EC9" w14:textId="17059CAF" w:rsidR="0019255A" w:rsidRPr="00DD53AE" w:rsidRDefault="6F37DF56" w:rsidP="00DD53AE">
      <w:pPr>
        <w:pStyle w:val="Heading3"/>
      </w:pPr>
      <w:r w:rsidRPr="00DD53AE">
        <w:t xml:space="preserve">Key Considerations for Implementing </w:t>
      </w:r>
      <w:r w:rsidR="24D023C0" w:rsidRPr="00DD53AE">
        <w:t xml:space="preserve">Critical Care </w:t>
      </w:r>
      <w:r w:rsidR="16890C60" w:rsidRPr="00DD53AE">
        <w:t>Triage</w:t>
      </w:r>
      <w:r w:rsidR="792E9AAC" w:rsidRPr="00DD53AE">
        <w:t xml:space="preserve"> </w:t>
      </w:r>
      <w:r w:rsidR="74B4C6DB" w:rsidRPr="00DD53AE">
        <w:t xml:space="preserve">during </w:t>
      </w:r>
      <w:r w:rsidR="792E9AAC" w:rsidRPr="00DD53AE">
        <w:t xml:space="preserve">a Major </w:t>
      </w:r>
      <w:r w:rsidR="00B07C51" w:rsidRPr="00DD53AE">
        <w:t>S</w:t>
      </w:r>
      <w:r w:rsidR="792E9AAC" w:rsidRPr="00DD53AE">
        <w:t>urge</w:t>
      </w:r>
      <w:r w:rsidR="16890C60" w:rsidRPr="00DD53AE">
        <w:t xml:space="preserve"> in Hospital</w:t>
      </w:r>
    </w:p>
    <w:p w14:paraId="6E5163C9" w14:textId="5148128A" w:rsidR="000131B6" w:rsidRDefault="0019255A" w:rsidP="0019255A">
      <w:pPr>
        <w:rPr>
          <w:sz w:val="22"/>
          <w:szCs w:val="22"/>
        </w:rPr>
      </w:pPr>
      <w:r w:rsidRPr="6553F404">
        <w:rPr>
          <w:rFonts w:eastAsiaTheme="minorEastAsia"/>
          <w:sz w:val="22"/>
          <w:szCs w:val="22"/>
        </w:rPr>
        <w:t>Th</w:t>
      </w:r>
      <w:r w:rsidR="00081CE5" w:rsidRPr="6553F404">
        <w:rPr>
          <w:rFonts w:eastAsiaTheme="minorEastAsia"/>
          <w:sz w:val="22"/>
          <w:szCs w:val="22"/>
        </w:rPr>
        <w:t>e implemen</w:t>
      </w:r>
      <w:r w:rsidR="00081CE5" w:rsidRPr="6553F404">
        <w:rPr>
          <w:sz w:val="22"/>
          <w:szCs w:val="22"/>
        </w:rPr>
        <w:t>tation of this</w:t>
      </w:r>
      <w:r w:rsidRPr="6553F404">
        <w:rPr>
          <w:sz w:val="22"/>
          <w:szCs w:val="22"/>
        </w:rPr>
        <w:t xml:space="preserve"> </w:t>
      </w:r>
      <w:r w:rsidR="00081CE5" w:rsidRPr="6553F404">
        <w:rPr>
          <w:i/>
          <w:iCs/>
          <w:sz w:val="22"/>
          <w:szCs w:val="22"/>
        </w:rPr>
        <w:t>P</w:t>
      </w:r>
      <w:r w:rsidR="028A52AC" w:rsidRPr="6553F404">
        <w:rPr>
          <w:i/>
          <w:iCs/>
          <w:sz w:val="22"/>
          <w:szCs w:val="22"/>
        </w:rPr>
        <w:t xml:space="preserve">roposed </w:t>
      </w:r>
      <w:r w:rsidR="00081CE5" w:rsidRPr="6553F404">
        <w:rPr>
          <w:i/>
          <w:iCs/>
          <w:sz w:val="22"/>
          <w:szCs w:val="22"/>
        </w:rPr>
        <w:t>F</w:t>
      </w:r>
      <w:r w:rsidR="028A52AC" w:rsidRPr="6553F404">
        <w:rPr>
          <w:i/>
          <w:iCs/>
          <w:sz w:val="22"/>
          <w:szCs w:val="22"/>
        </w:rPr>
        <w:t>ramework</w:t>
      </w:r>
      <w:r w:rsidR="028A52AC" w:rsidRPr="6553F404">
        <w:rPr>
          <w:sz w:val="22"/>
          <w:szCs w:val="22"/>
        </w:rPr>
        <w:t xml:space="preserve"> </w:t>
      </w:r>
      <w:r w:rsidRPr="6553F404">
        <w:rPr>
          <w:sz w:val="22"/>
          <w:szCs w:val="22"/>
        </w:rPr>
        <w:t xml:space="preserve">may </w:t>
      </w:r>
      <w:r w:rsidR="7818E331" w:rsidRPr="6553F404">
        <w:rPr>
          <w:sz w:val="22"/>
          <w:szCs w:val="22"/>
        </w:rPr>
        <w:t xml:space="preserve">require some flexibility </w:t>
      </w:r>
      <w:r w:rsidRPr="6553F404">
        <w:rPr>
          <w:sz w:val="22"/>
          <w:szCs w:val="22"/>
        </w:rPr>
        <w:t xml:space="preserve">depending on the resources available to the hospital and the region in question, which may fluctuate over the course of the pandemic. </w:t>
      </w:r>
      <w:r w:rsidR="504EE994" w:rsidRPr="6553F404">
        <w:rPr>
          <w:sz w:val="22"/>
          <w:szCs w:val="22"/>
        </w:rPr>
        <w:t>With this in mind</w:t>
      </w:r>
      <w:r w:rsidR="6E9EEB5B" w:rsidRPr="6553F404">
        <w:rPr>
          <w:sz w:val="22"/>
          <w:szCs w:val="22"/>
        </w:rPr>
        <w:t>,</w:t>
      </w:r>
      <w:r w:rsidR="504EE994" w:rsidRPr="6553F404">
        <w:rPr>
          <w:sz w:val="22"/>
          <w:szCs w:val="22"/>
        </w:rPr>
        <w:t xml:space="preserve"> </w:t>
      </w:r>
      <w:r w:rsidR="00721014">
        <w:rPr>
          <w:sz w:val="22"/>
          <w:szCs w:val="22"/>
        </w:rPr>
        <w:t>we offer</w:t>
      </w:r>
      <w:r w:rsidR="504EE994" w:rsidRPr="6553F404">
        <w:rPr>
          <w:sz w:val="22"/>
          <w:szCs w:val="22"/>
        </w:rPr>
        <w:t xml:space="preserve"> the following</w:t>
      </w:r>
      <w:r w:rsidR="00081CE5" w:rsidRPr="6553F404">
        <w:rPr>
          <w:sz w:val="22"/>
          <w:szCs w:val="22"/>
        </w:rPr>
        <w:t xml:space="preserve"> key considerations for implementation</w:t>
      </w:r>
      <w:r w:rsidR="504EE994" w:rsidRPr="6553F404">
        <w:rPr>
          <w:sz w:val="22"/>
          <w:szCs w:val="22"/>
        </w:rPr>
        <w:t xml:space="preserve">: </w:t>
      </w:r>
    </w:p>
    <w:p w14:paraId="4C4D8B4C" w14:textId="77777777" w:rsidR="00081CE5" w:rsidRDefault="00081CE5" w:rsidP="0019255A">
      <w:pPr>
        <w:rPr>
          <w:i/>
          <w:iCs/>
          <w:sz w:val="22"/>
          <w:szCs w:val="22"/>
        </w:rPr>
      </w:pPr>
    </w:p>
    <w:p w14:paraId="70B9417D" w14:textId="65610D13" w:rsidR="004E0BF7" w:rsidRDefault="416F337D" w:rsidP="00CD465C">
      <w:pPr>
        <w:pStyle w:val="ListParagraph"/>
        <w:numPr>
          <w:ilvl w:val="0"/>
          <w:numId w:val="21"/>
        </w:numPr>
        <w:ind w:left="567" w:hanging="283"/>
        <w:rPr>
          <w:i/>
          <w:iCs/>
          <w:sz w:val="22"/>
          <w:szCs w:val="22"/>
        </w:rPr>
      </w:pPr>
      <w:r w:rsidRPr="44D22B2E">
        <w:rPr>
          <w:i/>
          <w:iCs/>
          <w:sz w:val="22"/>
          <w:szCs w:val="22"/>
        </w:rPr>
        <w:t xml:space="preserve">Process for </w:t>
      </w:r>
      <w:r w:rsidR="1876751F" w:rsidRPr="44D22B2E">
        <w:rPr>
          <w:i/>
          <w:iCs/>
          <w:sz w:val="22"/>
          <w:szCs w:val="22"/>
        </w:rPr>
        <w:t xml:space="preserve">Triage </w:t>
      </w:r>
      <w:r w:rsidR="4479FD1F" w:rsidRPr="44D22B2E">
        <w:rPr>
          <w:i/>
          <w:iCs/>
          <w:sz w:val="22"/>
          <w:szCs w:val="22"/>
        </w:rPr>
        <w:t xml:space="preserve">of Critical Care Resources in a Major </w:t>
      </w:r>
      <w:r w:rsidR="652DE283" w:rsidRPr="44D22B2E">
        <w:rPr>
          <w:i/>
          <w:iCs/>
          <w:sz w:val="22"/>
          <w:szCs w:val="22"/>
        </w:rPr>
        <w:t>S</w:t>
      </w:r>
      <w:r w:rsidR="4479FD1F" w:rsidRPr="44D22B2E">
        <w:rPr>
          <w:i/>
          <w:iCs/>
          <w:sz w:val="22"/>
          <w:szCs w:val="22"/>
        </w:rPr>
        <w:t xml:space="preserve">urge </w:t>
      </w:r>
    </w:p>
    <w:p w14:paraId="0E1254A5" w14:textId="77777777" w:rsidR="0019255A" w:rsidRDefault="0019255A" w:rsidP="0019255A">
      <w:pPr>
        <w:rPr>
          <w:sz w:val="22"/>
          <w:szCs w:val="22"/>
        </w:rPr>
      </w:pPr>
    </w:p>
    <w:p w14:paraId="7045F7B5" w14:textId="2B415202" w:rsidR="0019255A" w:rsidRPr="00081CE5" w:rsidRDefault="0019255A" w:rsidP="44D22B2E">
      <w:pPr>
        <w:ind w:left="720"/>
        <w:rPr>
          <w:b/>
          <w:bCs/>
          <w:sz w:val="22"/>
          <w:szCs w:val="22"/>
        </w:rPr>
      </w:pPr>
      <w:r w:rsidRPr="28E960E0">
        <w:rPr>
          <w:b/>
          <w:bCs/>
          <w:sz w:val="22"/>
          <w:szCs w:val="22"/>
        </w:rPr>
        <w:lastRenderedPageBreak/>
        <w:t xml:space="preserve">Step 1: Clarify Patient Goals of Care </w:t>
      </w:r>
      <w:r w:rsidRPr="28E960E0">
        <w:rPr>
          <w:b/>
          <w:bCs/>
          <w:i/>
          <w:iCs/>
          <w:sz w:val="22"/>
          <w:szCs w:val="22"/>
        </w:rPr>
        <w:t>and</w:t>
      </w:r>
      <w:r w:rsidRPr="28E960E0">
        <w:rPr>
          <w:b/>
          <w:bCs/>
          <w:sz w:val="22"/>
          <w:szCs w:val="22"/>
        </w:rPr>
        <w:t xml:space="preserve"> Inform Patient/Family of </w:t>
      </w:r>
      <w:r w:rsidR="632E12A1" w:rsidRPr="28E960E0">
        <w:rPr>
          <w:b/>
          <w:bCs/>
          <w:sz w:val="22"/>
          <w:szCs w:val="22"/>
        </w:rPr>
        <w:t xml:space="preserve">Potential </w:t>
      </w:r>
      <w:r w:rsidRPr="28E960E0">
        <w:rPr>
          <w:b/>
          <w:bCs/>
          <w:sz w:val="22"/>
          <w:szCs w:val="22"/>
        </w:rPr>
        <w:t xml:space="preserve">Change in </w:t>
      </w:r>
      <w:r w:rsidR="5C773FFA" w:rsidRPr="28E960E0">
        <w:rPr>
          <w:b/>
          <w:bCs/>
          <w:sz w:val="22"/>
          <w:szCs w:val="22"/>
        </w:rPr>
        <w:t>A</w:t>
      </w:r>
      <w:r w:rsidR="76F2D4DC" w:rsidRPr="28E960E0">
        <w:rPr>
          <w:b/>
          <w:bCs/>
          <w:sz w:val="22"/>
          <w:szCs w:val="22"/>
        </w:rPr>
        <w:t xml:space="preserve">llocation of </w:t>
      </w:r>
      <w:r w:rsidR="5C35EB20" w:rsidRPr="28E960E0">
        <w:rPr>
          <w:b/>
          <w:bCs/>
          <w:sz w:val="22"/>
          <w:szCs w:val="22"/>
        </w:rPr>
        <w:t>C</w:t>
      </w:r>
      <w:r w:rsidR="79CDF7CE" w:rsidRPr="28E960E0">
        <w:rPr>
          <w:b/>
          <w:bCs/>
          <w:sz w:val="22"/>
          <w:szCs w:val="22"/>
        </w:rPr>
        <w:t>ri</w:t>
      </w:r>
      <w:r w:rsidR="179236EE" w:rsidRPr="28E960E0">
        <w:rPr>
          <w:b/>
          <w:bCs/>
          <w:sz w:val="22"/>
          <w:szCs w:val="22"/>
        </w:rPr>
        <w:t>tic</w:t>
      </w:r>
      <w:r w:rsidR="76F2D4DC" w:rsidRPr="28E960E0">
        <w:rPr>
          <w:b/>
          <w:bCs/>
          <w:sz w:val="22"/>
          <w:szCs w:val="22"/>
        </w:rPr>
        <w:t xml:space="preserve">al </w:t>
      </w:r>
      <w:r w:rsidR="5C35EB20" w:rsidRPr="28E960E0">
        <w:rPr>
          <w:b/>
          <w:bCs/>
          <w:sz w:val="22"/>
          <w:szCs w:val="22"/>
        </w:rPr>
        <w:t>C</w:t>
      </w:r>
      <w:r w:rsidR="76F2D4DC" w:rsidRPr="28E960E0">
        <w:rPr>
          <w:b/>
          <w:bCs/>
          <w:sz w:val="22"/>
          <w:szCs w:val="22"/>
        </w:rPr>
        <w:t xml:space="preserve">are </w:t>
      </w:r>
      <w:r w:rsidR="443C3778" w:rsidRPr="28E960E0">
        <w:rPr>
          <w:b/>
          <w:bCs/>
          <w:sz w:val="22"/>
          <w:szCs w:val="22"/>
        </w:rPr>
        <w:t>R</w:t>
      </w:r>
      <w:r w:rsidR="76F2D4DC" w:rsidRPr="28E960E0">
        <w:rPr>
          <w:b/>
          <w:bCs/>
          <w:sz w:val="22"/>
          <w:szCs w:val="22"/>
        </w:rPr>
        <w:t>esou</w:t>
      </w:r>
      <w:r w:rsidR="5C717969" w:rsidRPr="28E960E0">
        <w:rPr>
          <w:b/>
          <w:bCs/>
          <w:sz w:val="22"/>
          <w:szCs w:val="22"/>
        </w:rPr>
        <w:t>r</w:t>
      </w:r>
      <w:r w:rsidR="76F2D4DC" w:rsidRPr="28E960E0">
        <w:rPr>
          <w:b/>
          <w:bCs/>
          <w:sz w:val="22"/>
          <w:szCs w:val="22"/>
        </w:rPr>
        <w:t xml:space="preserve">ces </w:t>
      </w:r>
      <w:r w:rsidR="59AA5388" w:rsidRPr="28E960E0">
        <w:rPr>
          <w:b/>
          <w:bCs/>
          <w:sz w:val="22"/>
          <w:szCs w:val="22"/>
        </w:rPr>
        <w:t>D</w:t>
      </w:r>
      <w:r w:rsidR="1C4446E5" w:rsidRPr="28E960E0">
        <w:rPr>
          <w:b/>
          <w:bCs/>
          <w:sz w:val="22"/>
          <w:szCs w:val="22"/>
        </w:rPr>
        <w:t>u</w:t>
      </w:r>
      <w:r w:rsidRPr="28E960E0">
        <w:rPr>
          <w:b/>
          <w:bCs/>
          <w:sz w:val="22"/>
          <w:szCs w:val="22"/>
        </w:rPr>
        <w:t xml:space="preserve">e to </w:t>
      </w:r>
      <w:r w:rsidR="4F969893" w:rsidRPr="28E960E0">
        <w:rPr>
          <w:b/>
          <w:bCs/>
          <w:sz w:val="22"/>
          <w:szCs w:val="22"/>
        </w:rPr>
        <w:t xml:space="preserve">Major </w:t>
      </w:r>
      <w:r w:rsidRPr="28E960E0">
        <w:rPr>
          <w:b/>
          <w:bCs/>
          <w:sz w:val="22"/>
          <w:szCs w:val="22"/>
        </w:rPr>
        <w:t>Surge</w:t>
      </w:r>
    </w:p>
    <w:p w14:paraId="473CDCAE" w14:textId="0BAAB4FA" w:rsidR="0019255A" w:rsidRPr="001B037C" w:rsidRDefault="0A83EF51" w:rsidP="44D22B2E">
      <w:pPr>
        <w:ind w:left="720"/>
        <w:rPr>
          <w:rStyle w:val="CommentReference"/>
        </w:rPr>
      </w:pPr>
      <w:r w:rsidRPr="28E960E0">
        <w:rPr>
          <w:sz w:val="22"/>
          <w:szCs w:val="22"/>
        </w:rPr>
        <w:t>A patient’s most responsible physician (MRP)</w:t>
      </w:r>
      <w:r w:rsidR="5D6AD9C5" w:rsidRPr="28E960E0">
        <w:rPr>
          <w:sz w:val="22"/>
          <w:szCs w:val="22"/>
        </w:rPr>
        <w:t xml:space="preserve"> should seek to </w:t>
      </w:r>
      <w:r w:rsidR="537F4497" w:rsidRPr="28E960E0">
        <w:rPr>
          <w:sz w:val="22"/>
          <w:szCs w:val="22"/>
        </w:rPr>
        <w:t xml:space="preserve">understand </w:t>
      </w:r>
      <w:r w:rsidR="5D6AD9C5" w:rsidRPr="28E960E0">
        <w:rPr>
          <w:sz w:val="22"/>
          <w:szCs w:val="22"/>
        </w:rPr>
        <w:t>the wishes, va</w:t>
      </w:r>
      <w:r w:rsidR="3795AC80" w:rsidRPr="28E960E0">
        <w:rPr>
          <w:sz w:val="22"/>
          <w:szCs w:val="22"/>
        </w:rPr>
        <w:t>l</w:t>
      </w:r>
      <w:r w:rsidR="5D6AD9C5" w:rsidRPr="28E960E0">
        <w:rPr>
          <w:sz w:val="22"/>
          <w:szCs w:val="22"/>
        </w:rPr>
        <w:t>ues</w:t>
      </w:r>
      <w:r w:rsidR="342DB986" w:rsidRPr="28E960E0">
        <w:rPr>
          <w:sz w:val="22"/>
          <w:szCs w:val="22"/>
        </w:rPr>
        <w:t>,</w:t>
      </w:r>
      <w:r w:rsidR="5D6AD9C5" w:rsidRPr="28E960E0">
        <w:rPr>
          <w:sz w:val="22"/>
          <w:szCs w:val="22"/>
        </w:rPr>
        <w:t xml:space="preserve"> and beliefs of the patient by asking the patient or </w:t>
      </w:r>
      <w:r w:rsidR="701A983C" w:rsidRPr="28E960E0">
        <w:rPr>
          <w:sz w:val="22"/>
          <w:szCs w:val="22"/>
        </w:rPr>
        <w:t xml:space="preserve">their </w:t>
      </w:r>
      <w:r w:rsidR="5D6AD9C5" w:rsidRPr="28E960E0">
        <w:rPr>
          <w:sz w:val="22"/>
          <w:szCs w:val="22"/>
        </w:rPr>
        <w:t>subst</w:t>
      </w:r>
      <w:r w:rsidR="29B69B4C" w:rsidRPr="28E960E0">
        <w:rPr>
          <w:sz w:val="22"/>
          <w:szCs w:val="22"/>
        </w:rPr>
        <w:t xml:space="preserve">itute decision-maker </w:t>
      </w:r>
      <w:r w:rsidR="527768E7" w:rsidRPr="28E960E0">
        <w:rPr>
          <w:sz w:val="22"/>
          <w:szCs w:val="22"/>
        </w:rPr>
        <w:t>(SDM)</w:t>
      </w:r>
      <w:r w:rsidR="00B07C51">
        <w:rPr>
          <w:sz w:val="22"/>
          <w:szCs w:val="22"/>
        </w:rPr>
        <w:t>. The MRP</w:t>
      </w:r>
      <w:r w:rsidR="5D6AD9C5" w:rsidRPr="28E960E0">
        <w:rPr>
          <w:sz w:val="22"/>
          <w:szCs w:val="22"/>
        </w:rPr>
        <w:t xml:space="preserve"> </w:t>
      </w:r>
      <w:r w:rsidR="00B07C51">
        <w:rPr>
          <w:sz w:val="22"/>
          <w:szCs w:val="22"/>
        </w:rPr>
        <w:t>should</w:t>
      </w:r>
      <w:r w:rsidR="5D6AD9C5" w:rsidRPr="28E960E0">
        <w:rPr>
          <w:sz w:val="22"/>
          <w:szCs w:val="22"/>
        </w:rPr>
        <w:t xml:space="preserve"> inform the patient or </w:t>
      </w:r>
      <w:r w:rsidR="64FEBB3C" w:rsidRPr="28E960E0">
        <w:rPr>
          <w:sz w:val="22"/>
          <w:szCs w:val="22"/>
        </w:rPr>
        <w:t>SDM</w:t>
      </w:r>
      <w:r w:rsidR="12DCF164" w:rsidRPr="28E960E0">
        <w:rPr>
          <w:sz w:val="22"/>
          <w:szCs w:val="22"/>
        </w:rPr>
        <w:t xml:space="preserve"> </w:t>
      </w:r>
      <w:r w:rsidR="00D328F5">
        <w:rPr>
          <w:sz w:val="22"/>
          <w:szCs w:val="22"/>
        </w:rPr>
        <w:t xml:space="preserve">at the earliest opportunity </w:t>
      </w:r>
      <w:r w:rsidR="12DCF164" w:rsidRPr="28E960E0">
        <w:rPr>
          <w:sz w:val="22"/>
          <w:szCs w:val="22"/>
        </w:rPr>
        <w:t xml:space="preserve">that </w:t>
      </w:r>
      <w:r w:rsidR="00B07C51">
        <w:rPr>
          <w:sz w:val="22"/>
          <w:szCs w:val="22"/>
        </w:rPr>
        <w:t xml:space="preserve">access to </w:t>
      </w:r>
      <w:r w:rsidR="487AAEC0" w:rsidRPr="28E960E0">
        <w:rPr>
          <w:sz w:val="22"/>
          <w:szCs w:val="22"/>
        </w:rPr>
        <w:t>c</w:t>
      </w:r>
      <w:r w:rsidR="12DCF164" w:rsidRPr="28E960E0">
        <w:rPr>
          <w:sz w:val="22"/>
          <w:szCs w:val="22"/>
        </w:rPr>
        <w:t xml:space="preserve">ritical care resources </w:t>
      </w:r>
      <w:r w:rsidR="00B07C51">
        <w:rPr>
          <w:sz w:val="22"/>
          <w:szCs w:val="22"/>
        </w:rPr>
        <w:t>is likely to be</w:t>
      </w:r>
      <w:r w:rsidR="12DCF164" w:rsidRPr="28E960E0">
        <w:rPr>
          <w:sz w:val="22"/>
          <w:szCs w:val="22"/>
        </w:rPr>
        <w:t xml:space="preserve"> </w:t>
      </w:r>
      <w:r w:rsidR="458733B7" w:rsidRPr="28E960E0">
        <w:rPr>
          <w:sz w:val="22"/>
          <w:szCs w:val="22"/>
        </w:rPr>
        <w:t>impacted by a major surge.</w:t>
      </w:r>
      <w:r w:rsidR="3AC93C1D" w:rsidRPr="28E960E0">
        <w:rPr>
          <w:sz w:val="22"/>
          <w:szCs w:val="22"/>
        </w:rPr>
        <w:t xml:space="preserve"> The patient should </w:t>
      </w:r>
      <w:r w:rsidR="00D328F5" w:rsidRPr="00D328F5">
        <w:rPr>
          <w:sz w:val="22"/>
          <w:szCs w:val="22"/>
        </w:rPr>
        <w:t>receive formal rights advice</w:t>
      </w:r>
      <w:r w:rsidR="00570A98">
        <w:rPr>
          <w:sz w:val="22"/>
          <w:szCs w:val="22"/>
        </w:rPr>
        <w:t xml:space="preserve"> at the earliest possible opportunity</w:t>
      </w:r>
      <w:r w:rsidR="00D328F5">
        <w:rPr>
          <w:sz w:val="22"/>
          <w:szCs w:val="22"/>
        </w:rPr>
        <w:t>, and rights advise should be available throughout the process of triage</w:t>
      </w:r>
      <w:r w:rsidR="00570A98">
        <w:rPr>
          <w:sz w:val="22"/>
          <w:szCs w:val="22"/>
        </w:rPr>
        <w:t xml:space="preserve"> and throughout their care</w:t>
      </w:r>
      <w:r w:rsidR="00D328F5">
        <w:rPr>
          <w:sz w:val="22"/>
          <w:szCs w:val="22"/>
        </w:rPr>
        <w:t xml:space="preserve">. The patient should </w:t>
      </w:r>
      <w:r w:rsidR="3AC93C1D" w:rsidRPr="28E960E0">
        <w:rPr>
          <w:sz w:val="22"/>
          <w:szCs w:val="22"/>
        </w:rPr>
        <w:t>be reassured that all indicated treatment will be considered</w:t>
      </w:r>
      <w:r w:rsidR="00D328F5">
        <w:rPr>
          <w:sz w:val="22"/>
          <w:szCs w:val="22"/>
        </w:rPr>
        <w:t>. E</w:t>
      </w:r>
      <w:r w:rsidR="28FBA0D2" w:rsidRPr="28E960E0">
        <w:rPr>
          <w:sz w:val="22"/>
          <w:szCs w:val="22"/>
        </w:rPr>
        <w:t>very patient should be asked about any accommodations they require at admission to hospital and this should be noted in their chart. Accommodations should be made to the greatest extent possible given current constraints due to the pandemic (see further information regarding patient communications below).</w:t>
      </w:r>
    </w:p>
    <w:p w14:paraId="04EAD7DB" w14:textId="77777777" w:rsidR="0019255A" w:rsidRDefault="0019255A" w:rsidP="00290188">
      <w:pPr>
        <w:ind w:left="720"/>
        <w:rPr>
          <w:sz w:val="22"/>
          <w:szCs w:val="22"/>
        </w:rPr>
      </w:pPr>
    </w:p>
    <w:p w14:paraId="40679B77" w14:textId="6D10202A" w:rsidR="0019255A" w:rsidRPr="00290188" w:rsidRDefault="0019255A" w:rsidP="109A04B4">
      <w:pPr>
        <w:ind w:left="720"/>
        <w:rPr>
          <w:b/>
          <w:bCs/>
          <w:sz w:val="22"/>
          <w:szCs w:val="22"/>
        </w:rPr>
      </w:pPr>
      <w:r w:rsidRPr="44D22B2E">
        <w:rPr>
          <w:b/>
          <w:bCs/>
          <w:sz w:val="22"/>
          <w:szCs w:val="22"/>
        </w:rPr>
        <w:t xml:space="preserve">Step 2: Assess Patient Against </w:t>
      </w:r>
      <w:r w:rsidR="08A8EA6D" w:rsidRPr="44D22B2E">
        <w:rPr>
          <w:b/>
          <w:bCs/>
          <w:sz w:val="22"/>
          <w:szCs w:val="22"/>
        </w:rPr>
        <w:t xml:space="preserve">Critical Care </w:t>
      </w:r>
      <w:r w:rsidRPr="44D22B2E">
        <w:rPr>
          <w:b/>
          <w:bCs/>
          <w:sz w:val="22"/>
          <w:szCs w:val="22"/>
        </w:rPr>
        <w:t>Triage Criteria</w:t>
      </w:r>
      <w:r w:rsidR="3FCAFE4C" w:rsidRPr="44D22B2E">
        <w:rPr>
          <w:b/>
          <w:bCs/>
          <w:sz w:val="22"/>
          <w:szCs w:val="22"/>
        </w:rPr>
        <w:t xml:space="preserve"> in a Major Surge in </w:t>
      </w:r>
      <w:r w:rsidR="265A4AC2" w:rsidRPr="44D22B2E">
        <w:rPr>
          <w:b/>
          <w:bCs/>
          <w:i/>
          <w:iCs/>
          <w:sz w:val="22"/>
          <w:szCs w:val="22"/>
        </w:rPr>
        <w:t>P</w:t>
      </w:r>
      <w:r w:rsidR="3FCAFE4C" w:rsidRPr="44D22B2E">
        <w:rPr>
          <w:b/>
          <w:bCs/>
          <w:i/>
          <w:iCs/>
          <w:sz w:val="22"/>
          <w:szCs w:val="22"/>
        </w:rPr>
        <w:t xml:space="preserve">roposed </w:t>
      </w:r>
      <w:r w:rsidR="00DE4B46" w:rsidRPr="44D22B2E">
        <w:rPr>
          <w:b/>
          <w:bCs/>
          <w:i/>
          <w:iCs/>
          <w:sz w:val="22"/>
          <w:szCs w:val="22"/>
        </w:rPr>
        <w:t>F</w:t>
      </w:r>
      <w:r w:rsidR="3FCAFE4C" w:rsidRPr="44D22B2E">
        <w:rPr>
          <w:b/>
          <w:bCs/>
          <w:i/>
          <w:iCs/>
          <w:sz w:val="22"/>
          <w:szCs w:val="22"/>
        </w:rPr>
        <w:t>ramework</w:t>
      </w:r>
    </w:p>
    <w:p w14:paraId="288EEA51" w14:textId="5AA0998F" w:rsidR="00B07C51" w:rsidRDefault="00B07C51" w:rsidP="00B07C51">
      <w:pPr>
        <w:tabs>
          <w:tab w:val="left" w:pos="7088"/>
        </w:tabs>
        <w:ind w:left="720"/>
        <w:rPr>
          <w:sz w:val="22"/>
          <w:szCs w:val="22"/>
        </w:rPr>
      </w:pPr>
      <w:r>
        <w:rPr>
          <w:sz w:val="22"/>
          <w:szCs w:val="22"/>
        </w:rPr>
        <w:t xml:space="preserve">If the MRP has determined that the patient meets the eligibility criteria for critical care and wishes to receive critical care, the MRP should then assess the patient’s </w:t>
      </w:r>
      <w:r w:rsidRPr="4769E595">
        <w:rPr>
          <w:sz w:val="22"/>
          <w:szCs w:val="22"/>
        </w:rPr>
        <w:t>predicted short-term mortality risk</w:t>
      </w:r>
      <w:r>
        <w:rPr>
          <w:sz w:val="22"/>
          <w:szCs w:val="22"/>
        </w:rPr>
        <w:t xml:space="preserve"> (red, </w:t>
      </w:r>
      <w:r w:rsidR="00C90468">
        <w:rPr>
          <w:sz w:val="22"/>
          <w:szCs w:val="22"/>
        </w:rPr>
        <w:t>purple</w:t>
      </w:r>
      <w:r>
        <w:rPr>
          <w:sz w:val="22"/>
          <w:szCs w:val="22"/>
        </w:rPr>
        <w:t>, yellow or green)</w:t>
      </w:r>
      <w:r w:rsidRPr="28E960E0">
        <w:rPr>
          <w:sz w:val="22"/>
          <w:szCs w:val="22"/>
        </w:rPr>
        <w:t xml:space="preserve">. A second physician, who would ideally be a </w:t>
      </w:r>
      <w:r>
        <w:rPr>
          <w:sz w:val="22"/>
          <w:szCs w:val="22"/>
        </w:rPr>
        <w:t>critical care physician</w:t>
      </w:r>
      <w:r w:rsidRPr="28E960E0">
        <w:rPr>
          <w:sz w:val="22"/>
          <w:szCs w:val="22"/>
        </w:rPr>
        <w:t>, rapid response team (RRT)</w:t>
      </w:r>
      <w:r>
        <w:rPr>
          <w:sz w:val="22"/>
          <w:szCs w:val="22"/>
        </w:rPr>
        <w:t xml:space="preserve"> member</w:t>
      </w:r>
      <w:r w:rsidRPr="28E960E0">
        <w:rPr>
          <w:sz w:val="22"/>
          <w:szCs w:val="22"/>
        </w:rPr>
        <w:t xml:space="preserve">, or a designated triage physician, should </w:t>
      </w:r>
      <w:r>
        <w:rPr>
          <w:sz w:val="22"/>
          <w:szCs w:val="22"/>
        </w:rPr>
        <w:t>independently assess</w:t>
      </w:r>
      <w:r w:rsidRPr="28E960E0">
        <w:rPr>
          <w:sz w:val="22"/>
          <w:szCs w:val="22"/>
        </w:rPr>
        <w:t xml:space="preserve"> whether the patient meets the eligibility and prioritization criteria. Ideally, disagreements about the assessment of eligibility and prioritization criteria should be resolved by consensus of the two physicians who assessed the patient (see section on Dispute Resolution below). As a rule, critical care should be offered to all critically ill patients who are eligible and wish to receive it, unless there are reasonable grounds (based on </w:t>
      </w:r>
      <w:r>
        <w:rPr>
          <w:sz w:val="22"/>
          <w:szCs w:val="22"/>
        </w:rPr>
        <w:t xml:space="preserve">their clinical presentation, </w:t>
      </w:r>
      <w:r w:rsidRPr="28E960E0">
        <w:rPr>
          <w:sz w:val="22"/>
          <w:szCs w:val="22"/>
        </w:rPr>
        <w:t>information from the medical records</w:t>
      </w:r>
      <w:r>
        <w:rPr>
          <w:sz w:val="22"/>
          <w:szCs w:val="22"/>
        </w:rPr>
        <w:t>,</w:t>
      </w:r>
      <w:r w:rsidRPr="28E960E0">
        <w:rPr>
          <w:sz w:val="22"/>
          <w:szCs w:val="22"/>
        </w:rPr>
        <w:t xml:space="preserve"> or collateral sources) to believe that their predicted short-term mortality risk is </w:t>
      </w:r>
      <w:r>
        <w:rPr>
          <w:sz w:val="22"/>
          <w:szCs w:val="22"/>
        </w:rPr>
        <w:t>higher than</w:t>
      </w:r>
      <w:r w:rsidRPr="28E960E0">
        <w:rPr>
          <w:sz w:val="22"/>
          <w:szCs w:val="22"/>
        </w:rPr>
        <w:t xml:space="preserve"> the current level of triage. Having two physicians review each case is a common practice for ensuring the medical standard of care</w:t>
      </w:r>
      <w:r>
        <w:rPr>
          <w:sz w:val="22"/>
          <w:szCs w:val="22"/>
        </w:rPr>
        <w:t xml:space="preserve"> is met</w:t>
      </w:r>
      <w:r w:rsidRPr="28E960E0">
        <w:rPr>
          <w:sz w:val="22"/>
          <w:szCs w:val="22"/>
        </w:rPr>
        <w:t xml:space="preserve">. If one of the two physicians does </w:t>
      </w:r>
      <w:r w:rsidRPr="28E960E0">
        <w:rPr>
          <w:sz w:val="22"/>
          <w:szCs w:val="22"/>
          <w:u w:val="single"/>
        </w:rPr>
        <w:t>not</w:t>
      </w:r>
      <w:r w:rsidRPr="28E960E0">
        <w:rPr>
          <w:sz w:val="22"/>
          <w:szCs w:val="22"/>
        </w:rPr>
        <w:t xml:space="preserve"> feel that there are sufficient grounds to believe that the predicted short-term mortality risk is too high for the current level of triage, the patient should receive critical care. The patient’s critical care triage assessment should be communicated to the patient or their SDM first and then documented in the health record. It should be understood that </w:t>
      </w:r>
      <w:r>
        <w:rPr>
          <w:sz w:val="22"/>
          <w:szCs w:val="22"/>
        </w:rPr>
        <w:t xml:space="preserve">any clinical </w:t>
      </w:r>
      <w:r w:rsidRPr="28E960E0">
        <w:rPr>
          <w:sz w:val="22"/>
          <w:szCs w:val="22"/>
        </w:rPr>
        <w:t xml:space="preserve">assessment includes a degree of judgment and is therefore subject to systemic and professional bias. A reflective approach that is receptive to critically evaluating these influences must be adopted. </w:t>
      </w:r>
    </w:p>
    <w:p w14:paraId="35479D9C" w14:textId="77777777" w:rsidR="0019255A" w:rsidRDefault="0019255A" w:rsidP="00290188">
      <w:pPr>
        <w:ind w:left="720"/>
        <w:rPr>
          <w:sz w:val="22"/>
          <w:szCs w:val="22"/>
        </w:rPr>
      </w:pPr>
    </w:p>
    <w:p w14:paraId="4403A0C1" w14:textId="76996440" w:rsidR="0019255A" w:rsidRDefault="0019255A" w:rsidP="44D22B2E">
      <w:pPr>
        <w:ind w:left="720"/>
        <w:rPr>
          <w:b/>
          <w:bCs/>
          <w:sz w:val="22"/>
          <w:szCs w:val="22"/>
        </w:rPr>
      </w:pPr>
      <w:r w:rsidRPr="28E960E0">
        <w:rPr>
          <w:b/>
          <w:bCs/>
          <w:sz w:val="22"/>
          <w:szCs w:val="22"/>
        </w:rPr>
        <w:t xml:space="preserve">Step 3: Referral of Case to </w:t>
      </w:r>
      <w:r w:rsidR="2E7EA04F" w:rsidRPr="28E960E0">
        <w:rPr>
          <w:b/>
          <w:bCs/>
          <w:sz w:val="22"/>
          <w:szCs w:val="22"/>
        </w:rPr>
        <w:t xml:space="preserve">Critical Care </w:t>
      </w:r>
      <w:r w:rsidRPr="28E960E0">
        <w:rPr>
          <w:b/>
          <w:bCs/>
          <w:sz w:val="22"/>
          <w:szCs w:val="22"/>
        </w:rPr>
        <w:t>Triage Team</w:t>
      </w:r>
    </w:p>
    <w:p w14:paraId="3E62E2A2" w14:textId="60416E54" w:rsidR="72AED59A" w:rsidRDefault="72AED59A" w:rsidP="44D22B2E">
      <w:pPr>
        <w:ind w:left="720"/>
        <w:rPr>
          <w:sz w:val="22"/>
          <w:szCs w:val="22"/>
        </w:rPr>
      </w:pPr>
      <w:r w:rsidRPr="44D22B2E">
        <w:rPr>
          <w:sz w:val="22"/>
          <w:szCs w:val="22"/>
        </w:rPr>
        <w:t>Critical care triage teams have been recommended in other published guidance to support consistent, evidence-based</w:t>
      </w:r>
      <w:r w:rsidR="1C37919E" w:rsidRPr="44D22B2E">
        <w:rPr>
          <w:sz w:val="22"/>
          <w:szCs w:val="22"/>
        </w:rPr>
        <w:t>,</w:t>
      </w:r>
      <w:r w:rsidRPr="44D22B2E">
        <w:rPr>
          <w:sz w:val="22"/>
          <w:szCs w:val="22"/>
        </w:rPr>
        <w:t xml:space="preserve"> and accountable decisions about the use of critical care resources in the context of a pandemic surge.</w:t>
      </w:r>
      <w:r w:rsidR="005D7B4E" w:rsidRPr="005D7B4E">
        <w:rPr>
          <w:sz w:val="22"/>
          <w:szCs w:val="22"/>
          <w:vertAlign w:val="superscript"/>
        </w:rPr>
        <w:fldChar w:fldCharType="begin"/>
      </w:r>
      <w:r w:rsidR="005D7B4E" w:rsidRPr="005D7B4E">
        <w:rPr>
          <w:sz w:val="22"/>
          <w:szCs w:val="22"/>
          <w:vertAlign w:val="superscript"/>
        </w:rPr>
        <w:instrText xml:space="preserve"> NOTEREF _Ref50713941 \h </w:instrText>
      </w:r>
      <w:r w:rsidR="005D7B4E">
        <w:rPr>
          <w:sz w:val="22"/>
          <w:szCs w:val="22"/>
          <w:vertAlign w:val="superscript"/>
        </w:rPr>
        <w:instrText xml:space="preserve"> \* MERGEFORMAT </w:instrText>
      </w:r>
      <w:r w:rsidR="005D7B4E" w:rsidRPr="005D7B4E">
        <w:rPr>
          <w:sz w:val="22"/>
          <w:szCs w:val="22"/>
          <w:vertAlign w:val="superscript"/>
        </w:rPr>
      </w:r>
      <w:r w:rsidR="005D7B4E" w:rsidRPr="005D7B4E">
        <w:rPr>
          <w:sz w:val="22"/>
          <w:szCs w:val="22"/>
          <w:vertAlign w:val="superscript"/>
        </w:rPr>
        <w:fldChar w:fldCharType="separate"/>
      </w:r>
      <w:r w:rsidR="005D7B4E" w:rsidRPr="005D7B4E">
        <w:rPr>
          <w:sz w:val="22"/>
          <w:szCs w:val="22"/>
          <w:vertAlign w:val="superscript"/>
        </w:rPr>
        <w:t>28</w:t>
      </w:r>
      <w:r w:rsidR="005D7B4E" w:rsidRPr="005D7B4E">
        <w:rPr>
          <w:sz w:val="22"/>
          <w:szCs w:val="22"/>
          <w:vertAlign w:val="superscript"/>
        </w:rPr>
        <w:fldChar w:fldCharType="end"/>
      </w:r>
      <w:r w:rsidR="005D7B4E">
        <w:rPr>
          <w:sz w:val="22"/>
          <w:szCs w:val="22"/>
          <w:vertAlign w:val="superscript"/>
        </w:rPr>
        <w:t>,</w:t>
      </w:r>
      <w:r w:rsidR="005D7B4E">
        <w:rPr>
          <w:sz w:val="22"/>
          <w:szCs w:val="22"/>
          <w:vertAlign w:val="superscript"/>
        </w:rPr>
        <w:fldChar w:fldCharType="begin"/>
      </w:r>
      <w:r w:rsidR="005D7B4E">
        <w:rPr>
          <w:sz w:val="22"/>
          <w:szCs w:val="22"/>
          <w:vertAlign w:val="superscript"/>
        </w:rPr>
        <w:instrText xml:space="preserve"> NOTEREF _Ref50715342 \h </w:instrText>
      </w:r>
      <w:r w:rsidR="005D7B4E">
        <w:rPr>
          <w:sz w:val="22"/>
          <w:szCs w:val="22"/>
          <w:vertAlign w:val="superscript"/>
        </w:rPr>
      </w:r>
      <w:r w:rsidR="005D7B4E">
        <w:rPr>
          <w:sz w:val="22"/>
          <w:szCs w:val="22"/>
          <w:vertAlign w:val="superscript"/>
        </w:rPr>
        <w:fldChar w:fldCharType="separate"/>
      </w:r>
      <w:r w:rsidR="005D7B4E">
        <w:rPr>
          <w:sz w:val="22"/>
          <w:szCs w:val="22"/>
          <w:vertAlign w:val="superscript"/>
        </w:rPr>
        <w:t>31</w:t>
      </w:r>
      <w:r w:rsidR="005D7B4E">
        <w:rPr>
          <w:sz w:val="22"/>
          <w:szCs w:val="22"/>
          <w:vertAlign w:val="superscript"/>
        </w:rPr>
        <w:fldChar w:fldCharType="end"/>
      </w:r>
      <w:r w:rsidR="005D7B4E">
        <w:rPr>
          <w:sz w:val="22"/>
          <w:szCs w:val="22"/>
          <w:vertAlign w:val="superscript"/>
        </w:rPr>
        <w:t>,</w:t>
      </w:r>
      <w:r w:rsidR="005D7B4E">
        <w:rPr>
          <w:rStyle w:val="EndnoteReference"/>
          <w:sz w:val="22"/>
          <w:szCs w:val="22"/>
        </w:rPr>
        <w:endnoteReference w:id="41"/>
      </w:r>
      <w:r w:rsidR="005D7B4E">
        <w:rPr>
          <w:sz w:val="22"/>
          <w:szCs w:val="22"/>
          <w:vertAlign w:val="superscript"/>
        </w:rPr>
        <w:t>,</w:t>
      </w:r>
      <w:r w:rsidR="005D7B4E">
        <w:rPr>
          <w:rStyle w:val="EndnoteReference"/>
          <w:sz w:val="22"/>
          <w:szCs w:val="22"/>
        </w:rPr>
        <w:endnoteReference w:id="42"/>
      </w:r>
      <w:r w:rsidRPr="44D22B2E">
        <w:rPr>
          <w:sz w:val="22"/>
          <w:szCs w:val="22"/>
        </w:rPr>
        <w:t xml:space="preserve"> Triage teams may be institution-based or regional. Suggestions for triage team roles and responsibilities</w:t>
      </w:r>
      <w:r w:rsidR="005D7B4E">
        <w:rPr>
          <w:sz w:val="22"/>
          <w:szCs w:val="22"/>
        </w:rPr>
        <w:t xml:space="preserve"> developed by Hamilton Health Sciences</w:t>
      </w:r>
      <w:r w:rsidRPr="44D22B2E">
        <w:rPr>
          <w:sz w:val="22"/>
          <w:szCs w:val="22"/>
        </w:rPr>
        <w:t xml:space="preserve"> can be found </w:t>
      </w:r>
      <w:hyperlink r:id="rId12" w:history="1">
        <w:r w:rsidR="00660951" w:rsidRPr="00660951">
          <w:rPr>
            <w:rStyle w:val="Hyperlink"/>
            <w:sz w:val="22"/>
            <w:szCs w:val="22"/>
          </w:rPr>
          <w:t>here</w:t>
        </w:r>
      </w:hyperlink>
      <w:r w:rsidRPr="44D22B2E">
        <w:rPr>
          <w:sz w:val="22"/>
          <w:szCs w:val="22"/>
        </w:rPr>
        <w:t>.</w:t>
      </w:r>
    </w:p>
    <w:p w14:paraId="1E4ED243" w14:textId="2259EFAC" w:rsidR="44D22B2E" w:rsidRDefault="44D22B2E" w:rsidP="44D22B2E">
      <w:pPr>
        <w:ind w:left="720"/>
        <w:rPr>
          <w:sz w:val="22"/>
          <w:szCs w:val="22"/>
        </w:rPr>
      </w:pPr>
    </w:p>
    <w:p w14:paraId="4D17DA7B" w14:textId="3E8EA0F3" w:rsidR="00B07C51" w:rsidRDefault="6193EA11" w:rsidP="00B07C51">
      <w:pPr>
        <w:ind w:left="720"/>
        <w:rPr>
          <w:sz w:val="22"/>
          <w:szCs w:val="22"/>
        </w:rPr>
      </w:pPr>
      <w:r w:rsidRPr="28E960E0">
        <w:rPr>
          <w:sz w:val="22"/>
          <w:szCs w:val="22"/>
        </w:rPr>
        <w:t>The MRP should communicate the</w:t>
      </w:r>
      <w:r w:rsidR="5B2AC5B4" w:rsidRPr="28E960E0">
        <w:rPr>
          <w:sz w:val="22"/>
          <w:szCs w:val="22"/>
        </w:rPr>
        <w:t>ir</w:t>
      </w:r>
      <w:r w:rsidRPr="28E960E0">
        <w:rPr>
          <w:sz w:val="22"/>
          <w:szCs w:val="22"/>
        </w:rPr>
        <w:t xml:space="preserve"> assessment to the hospital or regional triage team. The </w:t>
      </w:r>
      <w:r w:rsidR="62E8C342" w:rsidRPr="28E960E0">
        <w:rPr>
          <w:sz w:val="22"/>
          <w:szCs w:val="22"/>
        </w:rPr>
        <w:t>triage team should confirm</w:t>
      </w:r>
      <w:r w:rsidR="0A1FDFBA" w:rsidRPr="28E960E0">
        <w:rPr>
          <w:sz w:val="22"/>
          <w:szCs w:val="22"/>
        </w:rPr>
        <w:t xml:space="preserve"> whether the</w:t>
      </w:r>
      <w:r w:rsidR="62E8C342" w:rsidRPr="28E960E0">
        <w:rPr>
          <w:sz w:val="22"/>
          <w:szCs w:val="22"/>
        </w:rPr>
        <w:t xml:space="preserve"> admission to critical care will or will not be provided based on current critical care capacity</w:t>
      </w:r>
      <w:r w:rsidR="00B07C51">
        <w:rPr>
          <w:sz w:val="22"/>
          <w:szCs w:val="22"/>
        </w:rPr>
        <w:t xml:space="preserve">, </w:t>
      </w:r>
      <w:r w:rsidR="00B07C51" w:rsidRPr="00B07C51">
        <w:rPr>
          <w:sz w:val="22"/>
          <w:szCs w:val="22"/>
        </w:rPr>
        <w:t>or whether critical care will be withdrawn</w:t>
      </w:r>
      <w:r w:rsidR="62E8C342" w:rsidRPr="28E960E0">
        <w:rPr>
          <w:sz w:val="22"/>
          <w:szCs w:val="22"/>
        </w:rPr>
        <w:t xml:space="preserve">. </w:t>
      </w:r>
      <w:r w:rsidR="34DEFE1A" w:rsidRPr="28E960E0">
        <w:rPr>
          <w:sz w:val="22"/>
          <w:szCs w:val="22"/>
        </w:rPr>
        <w:t>To be clear</w:t>
      </w:r>
      <w:r w:rsidR="0019255A" w:rsidRPr="28E960E0">
        <w:rPr>
          <w:sz w:val="22"/>
          <w:szCs w:val="22"/>
        </w:rPr>
        <w:t xml:space="preserve">, the MRP </w:t>
      </w:r>
      <w:r w:rsidR="1B8C00F1" w:rsidRPr="28E960E0">
        <w:rPr>
          <w:sz w:val="22"/>
          <w:szCs w:val="22"/>
        </w:rPr>
        <w:t>and second physician identified in Step 1 have</w:t>
      </w:r>
      <w:r w:rsidR="0019255A" w:rsidRPr="28E960E0">
        <w:rPr>
          <w:sz w:val="22"/>
          <w:szCs w:val="22"/>
        </w:rPr>
        <w:t xml:space="preserve"> the clinical responsibility for determining whether the patient meets eligibility and</w:t>
      </w:r>
      <w:r w:rsidR="40754E63" w:rsidRPr="28E960E0">
        <w:rPr>
          <w:sz w:val="22"/>
          <w:szCs w:val="22"/>
        </w:rPr>
        <w:t xml:space="preserve"> prioritization criteria </w:t>
      </w:r>
      <w:bookmarkStart w:id="13" w:name="_Hlk50708941"/>
      <w:r w:rsidR="00B07C51">
        <w:rPr>
          <w:sz w:val="22"/>
          <w:szCs w:val="22"/>
        </w:rPr>
        <w:t xml:space="preserve">based on the level of </w:t>
      </w:r>
      <w:r w:rsidR="00B07C51">
        <w:rPr>
          <w:sz w:val="22"/>
          <w:szCs w:val="22"/>
        </w:rPr>
        <w:lastRenderedPageBreak/>
        <w:t>triage</w:t>
      </w:r>
      <w:r w:rsidR="00570A98">
        <w:rPr>
          <w:sz w:val="22"/>
          <w:szCs w:val="22"/>
        </w:rPr>
        <w:t>,</w:t>
      </w:r>
      <w:r w:rsidR="00B07C51" w:rsidRPr="28E960E0">
        <w:rPr>
          <w:sz w:val="22"/>
          <w:szCs w:val="22"/>
        </w:rPr>
        <w:t xml:space="preserve"> </w:t>
      </w:r>
      <w:r w:rsidR="00B07C51">
        <w:rPr>
          <w:sz w:val="22"/>
          <w:szCs w:val="22"/>
        </w:rPr>
        <w:t>and the triage team is responsible for making the decision to withhold or withdraw critical care services</w:t>
      </w:r>
      <w:bookmarkEnd w:id="13"/>
      <w:r w:rsidR="00570A98">
        <w:rPr>
          <w:sz w:val="22"/>
          <w:szCs w:val="22"/>
        </w:rPr>
        <w:t>.</w:t>
      </w:r>
    </w:p>
    <w:p w14:paraId="6591C80B" w14:textId="500AE59F" w:rsidR="0019255A" w:rsidRDefault="0019255A" w:rsidP="00290188">
      <w:pPr>
        <w:ind w:left="720"/>
        <w:rPr>
          <w:sz w:val="22"/>
          <w:szCs w:val="22"/>
        </w:rPr>
      </w:pPr>
    </w:p>
    <w:p w14:paraId="24B42FB4" w14:textId="77777777" w:rsidR="0019255A" w:rsidRPr="002A56F6" w:rsidRDefault="0019255A" w:rsidP="28E960E0">
      <w:pPr>
        <w:ind w:left="720"/>
        <w:rPr>
          <w:b/>
          <w:bCs/>
          <w:sz w:val="22"/>
          <w:szCs w:val="22"/>
        </w:rPr>
      </w:pPr>
      <w:r w:rsidRPr="28E960E0">
        <w:rPr>
          <w:b/>
          <w:bCs/>
          <w:sz w:val="22"/>
          <w:szCs w:val="22"/>
        </w:rPr>
        <w:t>Step 4: Communication with Patients and Family/Substitute Decision-Maker(s)</w:t>
      </w:r>
    </w:p>
    <w:p w14:paraId="2F96E0D6" w14:textId="75DEB23B" w:rsidR="0019255A" w:rsidRDefault="0019255A" w:rsidP="109A04B4">
      <w:pPr>
        <w:ind w:left="720"/>
        <w:rPr>
          <w:sz w:val="22"/>
          <w:szCs w:val="22"/>
        </w:rPr>
      </w:pPr>
      <w:r w:rsidRPr="28E960E0">
        <w:rPr>
          <w:sz w:val="22"/>
          <w:szCs w:val="22"/>
        </w:rPr>
        <w:t xml:space="preserve">The MRP will </w:t>
      </w:r>
      <w:r w:rsidR="72F3EFBB" w:rsidRPr="28E960E0">
        <w:rPr>
          <w:sz w:val="22"/>
          <w:szCs w:val="22"/>
        </w:rPr>
        <w:t xml:space="preserve">propose </w:t>
      </w:r>
      <w:r w:rsidR="3632E7ED" w:rsidRPr="28E960E0">
        <w:rPr>
          <w:sz w:val="22"/>
          <w:szCs w:val="22"/>
        </w:rPr>
        <w:t>a</w:t>
      </w:r>
      <w:r w:rsidR="64A759C2" w:rsidRPr="28E960E0">
        <w:rPr>
          <w:sz w:val="22"/>
          <w:szCs w:val="22"/>
        </w:rPr>
        <w:t xml:space="preserve"> </w:t>
      </w:r>
      <w:r w:rsidR="72F3EFBB" w:rsidRPr="28E960E0">
        <w:rPr>
          <w:sz w:val="22"/>
          <w:szCs w:val="22"/>
        </w:rPr>
        <w:t>treatment plan that is aligned with the critical care triage team decision</w:t>
      </w:r>
      <w:r w:rsidRPr="28E960E0">
        <w:rPr>
          <w:sz w:val="22"/>
          <w:szCs w:val="22"/>
        </w:rPr>
        <w:t xml:space="preserve"> (i.e., whether or not the patient will be admitted to </w:t>
      </w:r>
      <w:r w:rsidR="0EDD9B91" w:rsidRPr="28E960E0">
        <w:rPr>
          <w:sz w:val="22"/>
          <w:szCs w:val="22"/>
        </w:rPr>
        <w:t xml:space="preserve">or be transferred out of </w:t>
      </w:r>
      <w:r w:rsidRPr="28E960E0">
        <w:rPr>
          <w:sz w:val="22"/>
          <w:szCs w:val="22"/>
        </w:rPr>
        <w:t>critical care) to the patient or substitute decision-maker</w:t>
      </w:r>
      <w:r w:rsidR="1DA91BF5" w:rsidRPr="28E960E0">
        <w:rPr>
          <w:sz w:val="22"/>
          <w:szCs w:val="22"/>
        </w:rPr>
        <w:t>.</w:t>
      </w:r>
      <w:r w:rsidR="2A719EF8" w:rsidRPr="28E960E0">
        <w:rPr>
          <w:sz w:val="22"/>
          <w:szCs w:val="22"/>
        </w:rPr>
        <w:t xml:space="preserve"> This should be aided by accessible documents, clear language descriptions, translations, and clear communications involving community </w:t>
      </w:r>
      <w:r w:rsidR="00570A98">
        <w:rPr>
          <w:sz w:val="22"/>
          <w:szCs w:val="22"/>
        </w:rPr>
        <w:t>advocates</w:t>
      </w:r>
      <w:r w:rsidR="2A4A2E23" w:rsidRPr="28E960E0">
        <w:rPr>
          <w:sz w:val="22"/>
          <w:szCs w:val="22"/>
        </w:rPr>
        <w:t>, family,</w:t>
      </w:r>
      <w:r w:rsidR="2A719EF8" w:rsidRPr="28E960E0">
        <w:rPr>
          <w:sz w:val="22"/>
          <w:szCs w:val="22"/>
        </w:rPr>
        <w:t xml:space="preserve"> or providers</w:t>
      </w:r>
      <w:r w:rsidR="2808BA7F" w:rsidRPr="28E960E0">
        <w:rPr>
          <w:sz w:val="22"/>
          <w:szCs w:val="22"/>
        </w:rPr>
        <w:t xml:space="preserve"> who </w:t>
      </w:r>
      <w:r w:rsidR="3C1B9CA4" w:rsidRPr="28E960E0">
        <w:rPr>
          <w:sz w:val="22"/>
          <w:szCs w:val="22"/>
        </w:rPr>
        <w:t>are trusted by the patient</w:t>
      </w:r>
      <w:r w:rsidR="2A719EF8" w:rsidRPr="28E960E0">
        <w:rPr>
          <w:sz w:val="22"/>
          <w:szCs w:val="22"/>
        </w:rPr>
        <w:t xml:space="preserve">. </w:t>
      </w:r>
      <w:r w:rsidR="017BDBD1" w:rsidRPr="28E960E0">
        <w:rPr>
          <w:sz w:val="22"/>
          <w:szCs w:val="22"/>
        </w:rPr>
        <w:t xml:space="preserve">If </w:t>
      </w:r>
      <w:r w:rsidR="017BDBD1" w:rsidRPr="28E960E0">
        <w:rPr>
          <w:rFonts w:ascii="Calibri" w:eastAsia="Calibri" w:hAnsi="Calibri" w:cs="Calibri"/>
          <w:sz w:val="22"/>
          <w:szCs w:val="22"/>
        </w:rPr>
        <w:t>the</w:t>
      </w:r>
      <w:r w:rsidR="5BAF10DE" w:rsidRPr="28E960E0">
        <w:rPr>
          <w:rFonts w:ascii="Calibri" w:eastAsia="Calibri" w:hAnsi="Calibri" w:cs="Calibri"/>
          <w:sz w:val="22"/>
          <w:szCs w:val="22"/>
        </w:rPr>
        <w:t xml:space="preserve"> patient or SDM disagrees with the decision</w:t>
      </w:r>
      <w:r w:rsidR="126575A5" w:rsidRPr="28E960E0">
        <w:rPr>
          <w:rFonts w:ascii="Calibri" w:eastAsia="Calibri" w:hAnsi="Calibri" w:cs="Calibri"/>
          <w:sz w:val="22"/>
          <w:szCs w:val="22"/>
        </w:rPr>
        <w:t>,</w:t>
      </w:r>
      <w:r w:rsidR="017BDBD1" w:rsidRPr="28E960E0">
        <w:rPr>
          <w:rFonts w:ascii="Calibri" w:eastAsia="Calibri" w:hAnsi="Calibri" w:cs="Calibri"/>
          <w:sz w:val="22"/>
          <w:szCs w:val="22"/>
        </w:rPr>
        <w:t xml:space="preserve"> then </w:t>
      </w:r>
      <w:r w:rsidR="7AEDA88C" w:rsidRPr="28E960E0">
        <w:rPr>
          <w:rFonts w:ascii="Calibri" w:eastAsia="Calibri" w:hAnsi="Calibri" w:cs="Calibri"/>
          <w:sz w:val="22"/>
          <w:szCs w:val="22"/>
        </w:rPr>
        <w:t xml:space="preserve">the process </w:t>
      </w:r>
      <w:r w:rsidR="00B07C51">
        <w:rPr>
          <w:rFonts w:ascii="Calibri" w:eastAsia="Calibri" w:hAnsi="Calibri" w:cs="Calibri"/>
          <w:sz w:val="22"/>
          <w:szCs w:val="22"/>
        </w:rPr>
        <w:t xml:space="preserve">for an </w:t>
      </w:r>
      <w:r w:rsidR="7AEDA88C" w:rsidRPr="28E960E0">
        <w:rPr>
          <w:rFonts w:ascii="Calibri" w:eastAsia="Calibri" w:hAnsi="Calibri" w:cs="Calibri"/>
          <w:sz w:val="22"/>
          <w:szCs w:val="22"/>
        </w:rPr>
        <w:t>appeal</w:t>
      </w:r>
      <w:r w:rsidR="00B07C51">
        <w:rPr>
          <w:rFonts w:ascii="Calibri" w:eastAsia="Calibri" w:hAnsi="Calibri" w:cs="Calibri"/>
          <w:sz w:val="22"/>
          <w:szCs w:val="22"/>
        </w:rPr>
        <w:t xml:space="preserve"> </w:t>
      </w:r>
      <w:r w:rsidR="017BDBD1" w:rsidRPr="28E960E0">
        <w:rPr>
          <w:rFonts w:ascii="Calibri" w:eastAsia="Calibri" w:hAnsi="Calibri" w:cs="Calibri"/>
          <w:sz w:val="22"/>
          <w:szCs w:val="22"/>
        </w:rPr>
        <w:t xml:space="preserve">should be shared with the patient </w:t>
      </w:r>
      <w:r w:rsidR="4D703530" w:rsidRPr="28E960E0">
        <w:rPr>
          <w:rFonts w:ascii="Calibri" w:eastAsia="Calibri" w:hAnsi="Calibri" w:cs="Calibri"/>
          <w:sz w:val="22"/>
          <w:szCs w:val="22"/>
        </w:rPr>
        <w:t xml:space="preserve">or </w:t>
      </w:r>
      <w:r w:rsidR="017BDBD1" w:rsidRPr="28E960E0">
        <w:rPr>
          <w:rFonts w:ascii="Calibri" w:eastAsia="Calibri" w:hAnsi="Calibri" w:cs="Calibri"/>
          <w:sz w:val="22"/>
          <w:szCs w:val="22"/>
        </w:rPr>
        <w:t xml:space="preserve">SDM and </w:t>
      </w:r>
      <w:r w:rsidR="38E5FF94" w:rsidRPr="28E960E0">
        <w:rPr>
          <w:rFonts w:ascii="Calibri" w:eastAsia="Calibri" w:hAnsi="Calibri" w:cs="Calibri"/>
          <w:sz w:val="22"/>
          <w:szCs w:val="22"/>
        </w:rPr>
        <w:t>initiated</w:t>
      </w:r>
      <w:r w:rsidR="00570A98">
        <w:rPr>
          <w:rFonts w:ascii="Calibri" w:eastAsia="Calibri" w:hAnsi="Calibri" w:cs="Calibri"/>
          <w:sz w:val="22"/>
          <w:szCs w:val="22"/>
        </w:rPr>
        <w:t xml:space="preserve"> (see section on Appeals below)</w:t>
      </w:r>
      <w:r w:rsidR="38E5FF94" w:rsidRPr="28E960E0">
        <w:rPr>
          <w:rFonts w:ascii="Calibri" w:eastAsia="Calibri" w:hAnsi="Calibri" w:cs="Calibri"/>
          <w:sz w:val="22"/>
          <w:szCs w:val="22"/>
        </w:rPr>
        <w:t>.</w:t>
      </w:r>
      <w:r w:rsidRPr="28E960E0">
        <w:rPr>
          <w:sz w:val="22"/>
          <w:szCs w:val="22"/>
        </w:rPr>
        <w:t xml:space="preserve"> </w:t>
      </w:r>
      <w:r w:rsidR="1729BA44" w:rsidRPr="28E960E0">
        <w:rPr>
          <w:sz w:val="22"/>
          <w:szCs w:val="22"/>
        </w:rPr>
        <w:t>The patient and SDM s</w:t>
      </w:r>
      <w:r w:rsidR="3049AD2C" w:rsidRPr="28E960E0">
        <w:rPr>
          <w:sz w:val="22"/>
          <w:szCs w:val="22"/>
        </w:rPr>
        <w:t xml:space="preserve">hould </w:t>
      </w:r>
      <w:r w:rsidR="1729BA44" w:rsidRPr="28E960E0">
        <w:rPr>
          <w:sz w:val="22"/>
          <w:szCs w:val="22"/>
        </w:rPr>
        <w:t xml:space="preserve">be </w:t>
      </w:r>
      <w:r w:rsidRPr="28E960E0">
        <w:rPr>
          <w:sz w:val="22"/>
          <w:szCs w:val="22"/>
        </w:rPr>
        <w:t>support</w:t>
      </w:r>
      <w:r w:rsidR="0422A36E" w:rsidRPr="28E960E0">
        <w:rPr>
          <w:sz w:val="22"/>
          <w:szCs w:val="22"/>
        </w:rPr>
        <w:t>ed</w:t>
      </w:r>
      <w:r w:rsidRPr="28E960E0">
        <w:rPr>
          <w:sz w:val="22"/>
          <w:szCs w:val="22"/>
        </w:rPr>
        <w:t xml:space="preserve"> </w:t>
      </w:r>
      <w:r w:rsidR="00B07C51">
        <w:rPr>
          <w:sz w:val="22"/>
          <w:szCs w:val="22"/>
        </w:rPr>
        <w:t>by</w:t>
      </w:r>
      <w:r w:rsidRPr="28E960E0">
        <w:rPr>
          <w:sz w:val="22"/>
          <w:szCs w:val="22"/>
        </w:rPr>
        <w:t xml:space="preserve"> other members of the </w:t>
      </w:r>
      <w:proofErr w:type="spellStart"/>
      <w:r w:rsidRPr="28E960E0">
        <w:rPr>
          <w:sz w:val="22"/>
          <w:szCs w:val="22"/>
        </w:rPr>
        <w:t>interprofessional</w:t>
      </w:r>
      <w:proofErr w:type="spellEnd"/>
      <w:r w:rsidRPr="28E960E0">
        <w:rPr>
          <w:sz w:val="22"/>
          <w:szCs w:val="22"/>
        </w:rPr>
        <w:t xml:space="preserve"> team (social work, spiritual care, etc.). The MRP will document </w:t>
      </w:r>
      <w:r w:rsidR="64507CC9" w:rsidRPr="28E960E0">
        <w:rPr>
          <w:sz w:val="22"/>
          <w:szCs w:val="22"/>
        </w:rPr>
        <w:t>whether the patient</w:t>
      </w:r>
      <w:r w:rsidR="00B07C51">
        <w:rPr>
          <w:sz w:val="22"/>
          <w:szCs w:val="22"/>
        </w:rPr>
        <w:t xml:space="preserve"> or SDM</w:t>
      </w:r>
      <w:r w:rsidR="64507CC9" w:rsidRPr="28E960E0">
        <w:rPr>
          <w:sz w:val="22"/>
          <w:szCs w:val="22"/>
        </w:rPr>
        <w:t xml:space="preserve"> consented to the treatment plan </w:t>
      </w:r>
      <w:r w:rsidR="2C839C98" w:rsidRPr="28E960E0">
        <w:rPr>
          <w:sz w:val="22"/>
          <w:szCs w:val="22"/>
        </w:rPr>
        <w:t>in t</w:t>
      </w:r>
      <w:r w:rsidRPr="28E960E0">
        <w:rPr>
          <w:sz w:val="22"/>
          <w:szCs w:val="22"/>
        </w:rPr>
        <w:t>he patient’s medical record. The MRP should continue to offer all other indicated medical treatments</w:t>
      </w:r>
      <w:r w:rsidR="60A71ACC" w:rsidRPr="28E960E0">
        <w:rPr>
          <w:sz w:val="22"/>
          <w:szCs w:val="22"/>
        </w:rPr>
        <w:t>,</w:t>
      </w:r>
      <w:r w:rsidRPr="28E960E0">
        <w:rPr>
          <w:sz w:val="22"/>
          <w:szCs w:val="22"/>
        </w:rPr>
        <w:t xml:space="preserve"> </w:t>
      </w:r>
      <w:r w:rsidR="7947D90B" w:rsidRPr="28E960E0">
        <w:rPr>
          <w:sz w:val="22"/>
          <w:szCs w:val="22"/>
        </w:rPr>
        <w:t xml:space="preserve">including </w:t>
      </w:r>
      <w:r w:rsidRPr="28E960E0">
        <w:rPr>
          <w:sz w:val="22"/>
          <w:szCs w:val="22"/>
        </w:rPr>
        <w:t>palliative care</w:t>
      </w:r>
      <w:r w:rsidR="75DBB78A" w:rsidRPr="28E960E0">
        <w:rPr>
          <w:sz w:val="22"/>
          <w:szCs w:val="22"/>
        </w:rPr>
        <w:t xml:space="preserve"> i</w:t>
      </w:r>
      <w:r w:rsidR="5B3B77F8" w:rsidRPr="28E960E0">
        <w:rPr>
          <w:sz w:val="22"/>
          <w:szCs w:val="22"/>
        </w:rPr>
        <w:t>f appropriate</w:t>
      </w:r>
      <w:r w:rsidRPr="28E960E0">
        <w:rPr>
          <w:sz w:val="22"/>
          <w:szCs w:val="22"/>
        </w:rPr>
        <w:t>.</w:t>
      </w:r>
    </w:p>
    <w:p w14:paraId="4A3C406B" w14:textId="77777777" w:rsidR="0019255A" w:rsidRDefault="0019255A" w:rsidP="0019255A">
      <w:pPr>
        <w:rPr>
          <w:sz w:val="22"/>
          <w:szCs w:val="22"/>
        </w:rPr>
      </w:pPr>
    </w:p>
    <w:p w14:paraId="41284427" w14:textId="473589A2" w:rsidR="007D5F7D" w:rsidRDefault="007D5F7D" w:rsidP="005D7B4E">
      <w:pPr>
        <w:ind w:left="709"/>
        <w:rPr>
          <w:sz w:val="22"/>
          <w:szCs w:val="22"/>
        </w:rPr>
      </w:pPr>
      <w:r w:rsidRPr="28E960E0">
        <w:rPr>
          <w:sz w:val="22"/>
          <w:szCs w:val="22"/>
        </w:rPr>
        <w:t>Additional suggestions for implementation at the institutional level, including policies, tools, descriptions of roles and responsibilities of triage teams, and communications suggestions, have been developed by Hamilton Health Sci</w:t>
      </w:r>
      <w:r w:rsidR="00660951">
        <w:rPr>
          <w:sz w:val="22"/>
          <w:szCs w:val="22"/>
        </w:rPr>
        <w:t xml:space="preserve">ences and can be accessed </w:t>
      </w:r>
      <w:hyperlink r:id="rId13" w:history="1">
        <w:r w:rsidR="00660951" w:rsidRPr="00660951">
          <w:rPr>
            <w:rStyle w:val="Hyperlink"/>
            <w:sz w:val="22"/>
            <w:szCs w:val="22"/>
          </w:rPr>
          <w:t>here</w:t>
        </w:r>
      </w:hyperlink>
      <w:r w:rsidR="00660951">
        <w:rPr>
          <w:sz w:val="22"/>
          <w:szCs w:val="22"/>
        </w:rPr>
        <w:t xml:space="preserve"> </w:t>
      </w:r>
      <w:r w:rsidR="00570A98">
        <w:rPr>
          <w:sz w:val="22"/>
          <w:szCs w:val="22"/>
        </w:rPr>
        <w:t>(s</w:t>
      </w:r>
      <w:r w:rsidR="643CFC5E" w:rsidRPr="28E960E0">
        <w:rPr>
          <w:sz w:val="22"/>
          <w:szCs w:val="22"/>
        </w:rPr>
        <w:t>ee also</w:t>
      </w:r>
      <w:r w:rsidR="00570A98">
        <w:rPr>
          <w:sz w:val="22"/>
          <w:szCs w:val="22"/>
        </w:rPr>
        <w:t xml:space="preserve"> the </w:t>
      </w:r>
      <w:r w:rsidR="643CFC5E" w:rsidRPr="28E960E0">
        <w:rPr>
          <w:sz w:val="22"/>
          <w:szCs w:val="22"/>
        </w:rPr>
        <w:t xml:space="preserve"> concluding recommendations </w:t>
      </w:r>
      <w:r w:rsidR="00570A98">
        <w:rPr>
          <w:sz w:val="22"/>
          <w:szCs w:val="22"/>
        </w:rPr>
        <w:t xml:space="preserve">in this </w:t>
      </w:r>
      <w:r w:rsidR="00570A98">
        <w:rPr>
          <w:i/>
          <w:iCs/>
          <w:sz w:val="22"/>
          <w:szCs w:val="22"/>
        </w:rPr>
        <w:t>Proposed Framework</w:t>
      </w:r>
      <w:r w:rsidR="00570A98">
        <w:rPr>
          <w:sz w:val="22"/>
          <w:szCs w:val="22"/>
        </w:rPr>
        <w:t xml:space="preserve"> </w:t>
      </w:r>
      <w:r w:rsidR="643CFC5E" w:rsidRPr="28E960E0">
        <w:rPr>
          <w:sz w:val="22"/>
          <w:szCs w:val="22"/>
        </w:rPr>
        <w:t>regarding recommended next steps to further guide implementation</w:t>
      </w:r>
      <w:r w:rsidR="00570A98">
        <w:rPr>
          <w:sz w:val="22"/>
          <w:szCs w:val="22"/>
        </w:rPr>
        <w:t>)</w:t>
      </w:r>
    </w:p>
    <w:p w14:paraId="21774542" w14:textId="0F943C85" w:rsidR="00AB5961" w:rsidRPr="002A56F6" w:rsidRDefault="00AB5961" w:rsidP="28E960E0">
      <w:pPr>
        <w:rPr>
          <w:i/>
          <w:iCs/>
          <w:sz w:val="22"/>
          <w:szCs w:val="22"/>
        </w:rPr>
      </w:pPr>
    </w:p>
    <w:p w14:paraId="77A8B197" w14:textId="4AC1CCF6" w:rsidR="00DC7709" w:rsidRPr="005F772D" w:rsidRDefault="004555AC" w:rsidP="00CD465C">
      <w:pPr>
        <w:pStyle w:val="ListParagraph"/>
        <w:numPr>
          <w:ilvl w:val="0"/>
          <w:numId w:val="21"/>
        </w:numPr>
        <w:ind w:left="567" w:hanging="283"/>
        <w:rPr>
          <w:i/>
          <w:iCs/>
          <w:sz w:val="22"/>
          <w:szCs w:val="22"/>
        </w:rPr>
      </w:pPr>
      <w:r w:rsidRPr="28E960E0">
        <w:rPr>
          <w:i/>
          <w:iCs/>
          <w:sz w:val="22"/>
          <w:szCs w:val="22"/>
        </w:rPr>
        <w:t xml:space="preserve">Patient </w:t>
      </w:r>
      <w:r w:rsidR="007D5F7D" w:rsidRPr="28E960E0">
        <w:rPr>
          <w:i/>
          <w:iCs/>
          <w:sz w:val="22"/>
          <w:szCs w:val="22"/>
        </w:rPr>
        <w:t xml:space="preserve">and Public </w:t>
      </w:r>
      <w:r w:rsidRPr="28E960E0">
        <w:rPr>
          <w:i/>
          <w:iCs/>
          <w:sz w:val="22"/>
          <w:szCs w:val="22"/>
        </w:rPr>
        <w:t>Communication</w:t>
      </w:r>
    </w:p>
    <w:p w14:paraId="1DB1EC0A" w14:textId="163CD007" w:rsidR="005D0074" w:rsidRPr="002A56F6" w:rsidRDefault="058AC609" w:rsidP="00DD53AE">
      <w:pPr>
        <w:ind w:left="567"/>
        <w:rPr>
          <w:sz w:val="22"/>
          <w:szCs w:val="22"/>
        </w:rPr>
      </w:pPr>
      <w:r w:rsidRPr="28E960E0">
        <w:rPr>
          <w:rFonts w:ascii="Calibri" w:eastAsia="Times New Roman" w:hAnsi="Calibri" w:cs="Calibri"/>
          <w:color w:val="222222"/>
          <w:sz w:val="22"/>
          <w:szCs w:val="22"/>
          <w:lang w:eastAsia="en-CA"/>
        </w:rPr>
        <w:t>In the context of the COVID-19 pandemic, t</w:t>
      </w:r>
      <w:r w:rsidR="76B2AE3C" w:rsidRPr="28E960E0">
        <w:rPr>
          <w:rFonts w:ascii="Calibri" w:eastAsia="Times New Roman" w:hAnsi="Calibri" w:cs="Calibri"/>
          <w:color w:val="222222"/>
          <w:sz w:val="22"/>
          <w:szCs w:val="22"/>
          <w:lang w:eastAsia="en-CA"/>
        </w:rPr>
        <w:t xml:space="preserve">ransparency is key to maintaining patient and public trust. </w:t>
      </w:r>
      <w:r w:rsidRPr="28E960E0">
        <w:rPr>
          <w:rFonts w:ascii="Calibri" w:eastAsia="Times New Roman" w:hAnsi="Calibri" w:cs="Calibri"/>
          <w:color w:val="222222"/>
          <w:sz w:val="22"/>
          <w:szCs w:val="22"/>
          <w:lang w:eastAsia="en-CA"/>
        </w:rPr>
        <w:t>T</w:t>
      </w:r>
      <w:r w:rsidR="76B2AE3C" w:rsidRPr="28E960E0">
        <w:rPr>
          <w:rFonts w:ascii="Calibri" w:eastAsia="Times New Roman" w:hAnsi="Calibri" w:cs="Calibri"/>
          <w:color w:val="222222"/>
          <w:sz w:val="22"/>
          <w:szCs w:val="22"/>
          <w:lang w:eastAsia="en-CA"/>
        </w:rPr>
        <w:t xml:space="preserve">his includes being transparent about why critical care triage </w:t>
      </w:r>
      <w:r w:rsidRPr="28E960E0">
        <w:rPr>
          <w:rFonts w:ascii="Calibri" w:eastAsia="Times New Roman" w:hAnsi="Calibri" w:cs="Calibri"/>
          <w:color w:val="222222"/>
          <w:sz w:val="22"/>
          <w:szCs w:val="22"/>
          <w:lang w:eastAsia="en-CA"/>
        </w:rPr>
        <w:t>may be</w:t>
      </w:r>
      <w:r w:rsidR="76B2AE3C" w:rsidRPr="28E960E0">
        <w:rPr>
          <w:rFonts w:ascii="Calibri" w:eastAsia="Times New Roman" w:hAnsi="Calibri" w:cs="Calibri"/>
          <w:color w:val="222222"/>
          <w:sz w:val="22"/>
          <w:szCs w:val="22"/>
          <w:lang w:eastAsia="en-CA"/>
        </w:rPr>
        <w:t xml:space="preserve"> needed </w:t>
      </w:r>
      <w:r w:rsidR="00546F75">
        <w:rPr>
          <w:rFonts w:ascii="Calibri" w:eastAsia="Times New Roman" w:hAnsi="Calibri" w:cs="Calibri"/>
          <w:color w:val="222222"/>
          <w:sz w:val="22"/>
          <w:szCs w:val="22"/>
          <w:lang w:eastAsia="en-CA"/>
        </w:rPr>
        <w:t>during a</w:t>
      </w:r>
      <w:r w:rsidR="76B2AE3C" w:rsidRPr="28E960E0">
        <w:rPr>
          <w:rFonts w:ascii="Calibri" w:eastAsia="Times New Roman" w:hAnsi="Calibri" w:cs="Calibri"/>
          <w:color w:val="222222"/>
          <w:sz w:val="22"/>
          <w:szCs w:val="22"/>
          <w:lang w:eastAsia="en-CA"/>
        </w:rPr>
        <w:t xml:space="preserve"> major surge, how triage decisions will be made and by whom, </w:t>
      </w:r>
      <w:r w:rsidRPr="28E960E0">
        <w:rPr>
          <w:rFonts w:ascii="Calibri" w:eastAsia="Times New Roman" w:hAnsi="Calibri" w:cs="Calibri"/>
          <w:color w:val="222222"/>
          <w:sz w:val="22"/>
          <w:szCs w:val="22"/>
          <w:lang w:eastAsia="en-CA"/>
        </w:rPr>
        <w:t xml:space="preserve">when an institution or region has initiated critical care triage for major surge, and how patients will be supported during this difficult time. Patient and public-facing communication materials (e.g., signage, information sheets) will be essential. </w:t>
      </w:r>
      <w:r w:rsidRPr="28E960E0">
        <w:rPr>
          <w:sz w:val="22"/>
          <w:szCs w:val="22"/>
        </w:rPr>
        <w:t>To ensure effective communication, some patients may require accommodated communication (e.g., plain language, use of communication device</w:t>
      </w:r>
      <w:r w:rsidR="6522A82D" w:rsidRPr="28E960E0">
        <w:rPr>
          <w:sz w:val="22"/>
          <w:szCs w:val="22"/>
        </w:rPr>
        <w:t xml:space="preserve">s) and </w:t>
      </w:r>
      <w:r w:rsidRPr="28E960E0">
        <w:rPr>
          <w:sz w:val="22"/>
          <w:szCs w:val="22"/>
        </w:rPr>
        <w:t xml:space="preserve">access to interpretation services. </w:t>
      </w:r>
      <w:r w:rsidR="4A5FDD03" w:rsidRPr="28E960E0">
        <w:rPr>
          <w:sz w:val="22"/>
          <w:szCs w:val="22"/>
        </w:rPr>
        <w:t>Patients may wish to involve f</w:t>
      </w:r>
      <w:r w:rsidR="6AA2382D" w:rsidRPr="28E960E0">
        <w:rPr>
          <w:sz w:val="22"/>
          <w:szCs w:val="22"/>
        </w:rPr>
        <w:t xml:space="preserve">amily care providers </w:t>
      </w:r>
      <w:r w:rsidR="6522A82D" w:rsidRPr="28E960E0">
        <w:rPr>
          <w:sz w:val="22"/>
          <w:szCs w:val="22"/>
        </w:rPr>
        <w:t>or other personal support persons</w:t>
      </w:r>
      <w:r w:rsidR="3A3298B3" w:rsidRPr="28E960E0">
        <w:rPr>
          <w:sz w:val="22"/>
          <w:szCs w:val="22"/>
        </w:rPr>
        <w:t xml:space="preserve"> who can play a role</w:t>
      </w:r>
      <w:r w:rsidR="6522A82D" w:rsidRPr="28E960E0">
        <w:rPr>
          <w:sz w:val="22"/>
          <w:szCs w:val="22"/>
        </w:rPr>
        <w:t xml:space="preserve"> in informing individual treatment plans and advising on an individual patient’s clinical history</w:t>
      </w:r>
      <w:r w:rsidR="6474575E" w:rsidRPr="28E960E0">
        <w:rPr>
          <w:sz w:val="22"/>
          <w:szCs w:val="22"/>
        </w:rPr>
        <w:t xml:space="preserve">, </w:t>
      </w:r>
      <w:r w:rsidR="6522A82D" w:rsidRPr="28E960E0">
        <w:rPr>
          <w:sz w:val="22"/>
          <w:szCs w:val="22"/>
        </w:rPr>
        <w:t>functional status</w:t>
      </w:r>
      <w:r w:rsidR="437C40CC" w:rsidRPr="28E960E0">
        <w:rPr>
          <w:sz w:val="22"/>
          <w:szCs w:val="22"/>
        </w:rPr>
        <w:t>, wishes, beliefs, and goals of care</w:t>
      </w:r>
      <w:r w:rsidR="6522A82D" w:rsidRPr="28E960E0">
        <w:rPr>
          <w:sz w:val="22"/>
          <w:szCs w:val="22"/>
        </w:rPr>
        <w:t>. This may require accommodation within institutional visitor policies</w:t>
      </w:r>
      <w:r w:rsidR="1BA040C1" w:rsidRPr="28E960E0">
        <w:rPr>
          <w:sz w:val="22"/>
          <w:szCs w:val="22"/>
        </w:rPr>
        <w:t xml:space="preserve"> to the extent possible to comply with infection control guidelines</w:t>
      </w:r>
      <w:r w:rsidR="6522A82D" w:rsidRPr="28E960E0">
        <w:rPr>
          <w:sz w:val="22"/>
          <w:szCs w:val="22"/>
        </w:rPr>
        <w:t xml:space="preserve">. </w:t>
      </w:r>
    </w:p>
    <w:p w14:paraId="4DB8EA9D" w14:textId="77777777" w:rsidR="00E917A4" w:rsidRDefault="00E917A4" w:rsidP="00196345">
      <w:pPr>
        <w:rPr>
          <w:bCs/>
          <w:i/>
          <w:sz w:val="22"/>
          <w:szCs w:val="22"/>
        </w:rPr>
      </w:pPr>
    </w:p>
    <w:p w14:paraId="4A0D5E9A" w14:textId="64223C73" w:rsidR="007D5F7D" w:rsidRPr="00721014" w:rsidRDefault="007D5F7D" w:rsidP="00CD465C">
      <w:pPr>
        <w:pStyle w:val="ListParagraph"/>
        <w:numPr>
          <w:ilvl w:val="0"/>
          <w:numId w:val="21"/>
        </w:numPr>
        <w:ind w:left="567" w:hanging="283"/>
        <w:rPr>
          <w:i/>
          <w:iCs/>
          <w:sz w:val="22"/>
          <w:szCs w:val="22"/>
        </w:rPr>
      </w:pPr>
      <w:r w:rsidRPr="00721014">
        <w:rPr>
          <w:i/>
          <w:iCs/>
          <w:sz w:val="22"/>
          <w:szCs w:val="22"/>
        </w:rPr>
        <w:t xml:space="preserve">Clinician </w:t>
      </w:r>
      <w:r w:rsidR="004A2227" w:rsidRPr="00721014">
        <w:rPr>
          <w:i/>
          <w:iCs/>
          <w:sz w:val="22"/>
          <w:szCs w:val="22"/>
        </w:rPr>
        <w:t>Support</w:t>
      </w:r>
      <w:r w:rsidR="7EDF93F7" w:rsidRPr="00721014">
        <w:rPr>
          <w:i/>
          <w:iCs/>
          <w:sz w:val="22"/>
          <w:szCs w:val="22"/>
        </w:rPr>
        <w:t>s</w:t>
      </w:r>
    </w:p>
    <w:p w14:paraId="7DF3246A" w14:textId="2690B9D9" w:rsidR="007D5F7D" w:rsidRPr="00C113D2" w:rsidRDefault="00B902CA" w:rsidP="00DD53AE">
      <w:pPr>
        <w:ind w:left="567"/>
        <w:rPr>
          <w:sz w:val="22"/>
          <w:szCs w:val="22"/>
        </w:rPr>
      </w:pPr>
      <w:r w:rsidRPr="00721014">
        <w:rPr>
          <w:sz w:val="22"/>
          <w:szCs w:val="22"/>
        </w:rPr>
        <w:t>Critical care triage</w:t>
      </w:r>
      <w:r w:rsidRPr="28E960E0">
        <w:rPr>
          <w:sz w:val="22"/>
          <w:szCs w:val="22"/>
        </w:rPr>
        <w:t xml:space="preserve"> in a major surge will entail a significant cognitive, psychological, and moral burden on clinicians and underlines the need to support and </w:t>
      </w:r>
      <w:r w:rsidR="00B07C51">
        <w:rPr>
          <w:sz w:val="22"/>
          <w:szCs w:val="22"/>
        </w:rPr>
        <w:t>prepare</w:t>
      </w:r>
      <w:r w:rsidRPr="28E960E0">
        <w:rPr>
          <w:sz w:val="22"/>
          <w:szCs w:val="22"/>
        </w:rPr>
        <w:t xml:space="preserve"> critical care clinicians for major surge. Clinical guidance, including explicit triage criteria, institutional supports, such as </w:t>
      </w:r>
      <w:r w:rsidR="0D8315E5" w:rsidRPr="28E960E0">
        <w:rPr>
          <w:sz w:val="22"/>
          <w:szCs w:val="22"/>
        </w:rPr>
        <w:t xml:space="preserve">critical care </w:t>
      </w:r>
      <w:r w:rsidRPr="28E960E0">
        <w:rPr>
          <w:sz w:val="22"/>
          <w:szCs w:val="22"/>
        </w:rPr>
        <w:t>triage teams, and assurance of legal protection will go some distance to support clinicians. A</w:t>
      </w:r>
      <w:r w:rsidR="000E7B5B" w:rsidRPr="28E960E0">
        <w:rPr>
          <w:sz w:val="22"/>
          <w:szCs w:val="22"/>
        </w:rPr>
        <w:t>dditional</w:t>
      </w:r>
      <w:r w:rsidR="007D5F7D" w:rsidRPr="28E960E0">
        <w:rPr>
          <w:sz w:val="22"/>
          <w:szCs w:val="22"/>
        </w:rPr>
        <w:t xml:space="preserve"> </w:t>
      </w:r>
      <w:r w:rsidR="000E7B5B" w:rsidRPr="28E960E0">
        <w:rPr>
          <w:sz w:val="22"/>
          <w:szCs w:val="22"/>
        </w:rPr>
        <w:t xml:space="preserve">clinician </w:t>
      </w:r>
      <w:r w:rsidRPr="28E960E0">
        <w:rPr>
          <w:sz w:val="22"/>
          <w:szCs w:val="22"/>
        </w:rPr>
        <w:t>supports identified in stakeholder feedback include</w:t>
      </w:r>
      <w:r w:rsidR="000E7B5B" w:rsidRPr="28E960E0">
        <w:rPr>
          <w:sz w:val="22"/>
          <w:szCs w:val="22"/>
        </w:rPr>
        <w:t xml:space="preserve">: </w:t>
      </w:r>
      <w:proofErr w:type="spellStart"/>
      <w:r w:rsidR="000E7B5B" w:rsidRPr="28E960E0">
        <w:rPr>
          <w:sz w:val="22"/>
          <w:szCs w:val="22"/>
        </w:rPr>
        <w:t>i</w:t>
      </w:r>
      <w:proofErr w:type="spellEnd"/>
      <w:r w:rsidR="000E7B5B" w:rsidRPr="28E960E0">
        <w:rPr>
          <w:sz w:val="22"/>
          <w:szCs w:val="22"/>
        </w:rPr>
        <w:t xml:space="preserve">) </w:t>
      </w:r>
      <w:r w:rsidR="007D5F7D" w:rsidRPr="28E960E0">
        <w:rPr>
          <w:sz w:val="22"/>
          <w:szCs w:val="22"/>
        </w:rPr>
        <w:t>education</w:t>
      </w:r>
      <w:r w:rsidR="000E7B5B" w:rsidRPr="28E960E0">
        <w:rPr>
          <w:sz w:val="22"/>
          <w:szCs w:val="22"/>
        </w:rPr>
        <w:t xml:space="preserve"> and training about the critical care triage approach for critical care teams, ii)</w:t>
      </w:r>
      <w:r w:rsidR="007D5F7D" w:rsidRPr="28E960E0">
        <w:rPr>
          <w:sz w:val="22"/>
          <w:szCs w:val="22"/>
        </w:rPr>
        <w:t xml:space="preserve"> </w:t>
      </w:r>
      <w:r w:rsidR="000E7B5B" w:rsidRPr="00D277E5">
        <w:rPr>
          <w:sz w:val="22"/>
          <w:szCs w:val="22"/>
        </w:rPr>
        <w:t>creation of decision support tools,</w:t>
      </w:r>
      <w:r w:rsidR="000E7B5B" w:rsidRPr="28E960E0">
        <w:rPr>
          <w:sz w:val="22"/>
          <w:szCs w:val="22"/>
        </w:rPr>
        <w:t xml:space="preserve"> e.g., translating the critical care triage criteria into an accessible format for ease of use in clinical practice, iii) g</w:t>
      </w:r>
      <w:r w:rsidR="007D5F7D" w:rsidRPr="28E960E0">
        <w:rPr>
          <w:sz w:val="22"/>
          <w:szCs w:val="22"/>
        </w:rPr>
        <w:t>uidelines</w:t>
      </w:r>
      <w:r w:rsidR="000E7B5B" w:rsidRPr="28E960E0">
        <w:rPr>
          <w:sz w:val="22"/>
          <w:szCs w:val="22"/>
        </w:rPr>
        <w:t xml:space="preserve"> for emergency department staff and EMS, and iv) general information </w:t>
      </w:r>
      <w:r w:rsidR="006B3516" w:rsidRPr="28E960E0">
        <w:rPr>
          <w:sz w:val="22"/>
          <w:szCs w:val="22"/>
        </w:rPr>
        <w:t>for clinicians in other clinical areas and settings about th</w:t>
      </w:r>
      <w:r w:rsidRPr="28E960E0">
        <w:rPr>
          <w:sz w:val="22"/>
          <w:szCs w:val="22"/>
        </w:rPr>
        <w:t>e critical care triage approach to foster effective collaboration among clinical teams.</w:t>
      </w:r>
    </w:p>
    <w:p w14:paraId="5E8048F0" w14:textId="2F95EB15" w:rsidR="109A04B4" w:rsidRDefault="109A04B4" w:rsidP="109A04B4">
      <w:pPr>
        <w:rPr>
          <w:i/>
          <w:iCs/>
          <w:sz w:val="22"/>
          <w:szCs w:val="22"/>
        </w:rPr>
      </w:pPr>
    </w:p>
    <w:p w14:paraId="00514E6C" w14:textId="5D0BA799" w:rsidR="000E10A2" w:rsidRPr="00B902CA" w:rsidRDefault="004555AC" w:rsidP="00CD465C">
      <w:pPr>
        <w:pStyle w:val="ListParagraph"/>
        <w:numPr>
          <w:ilvl w:val="0"/>
          <w:numId w:val="21"/>
        </w:numPr>
        <w:ind w:left="567" w:hanging="283"/>
        <w:rPr>
          <w:i/>
          <w:iCs/>
          <w:sz w:val="22"/>
          <w:szCs w:val="22"/>
        </w:rPr>
      </w:pPr>
      <w:r w:rsidRPr="28E960E0">
        <w:rPr>
          <w:i/>
          <w:iCs/>
          <w:sz w:val="22"/>
          <w:szCs w:val="22"/>
        </w:rPr>
        <w:lastRenderedPageBreak/>
        <w:t>Dispute Resolution</w:t>
      </w:r>
      <w:r w:rsidR="00560BA1" w:rsidRPr="28E960E0">
        <w:rPr>
          <w:i/>
          <w:iCs/>
          <w:sz w:val="22"/>
          <w:szCs w:val="22"/>
        </w:rPr>
        <w:t xml:space="preserve"> and Appeals</w:t>
      </w:r>
    </w:p>
    <w:p w14:paraId="09FE6E77" w14:textId="67DF6E08" w:rsidR="00081CE5" w:rsidRDefault="004555AC" w:rsidP="00DD53AE">
      <w:pPr>
        <w:ind w:left="567"/>
        <w:rPr>
          <w:sz w:val="22"/>
          <w:szCs w:val="22"/>
        </w:rPr>
      </w:pPr>
      <w:r w:rsidRPr="28E960E0">
        <w:rPr>
          <w:sz w:val="22"/>
          <w:szCs w:val="22"/>
        </w:rPr>
        <w:t xml:space="preserve">Disagreement amongst clinicians </w:t>
      </w:r>
      <w:r w:rsidR="3536FECD" w:rsidRPr="28E960E0">
        <w:rPr>
          <w:sz w:val="22"/>
          <w:szCs w:val="22"/>
        </w:rPr>
        <w:t xml:space="preserve">on the </w:t>
      </w:r>
      <w:r w:rsidR="00546F75">
        <w:rPr>
          <w:sz w:val="22"/>
          <w:szCs w:val="22"/>
        </w:rPr>
        <w:t>c</w:t>
      </w:r>
      <w:r w:rsidR="3536FECD" w:rsidRPr="28E960E0">
        <w:rPr>
          <w:sz w:val="22"/>
          <w:szCs w:val="22"/>
        </w:rPr>
        <w:t xml:space="preserve">ritical </w:t>
      </w:r>
      <w:r w:rsidR="00546F75">
        <w:rPr>
          <w:sz w:val="22"/>
          <w:szCs w:val="22"/>
        </w:rPr>
        <w:t>c</w:t>
      </w:r>
      <w:r w:rsidR="3536FECD" w:rsidRPr="28E960E0">
        <w:rPr>
          <w:sz w:val="22"/>
          <w:szCs w:val="22"/>
        </w:rPr>
        <w:t xml:space="preserve">are </w:t>
      </w:r>
      <w:r w:rsidR="00546F75">
        <w:rPr>
          <w:sz w:val="22"/>
          <w:szCs w:val="22"/>
        </w:rPr>
        <w:t>t</w:t>
      </w:r>
      <w:r w:rsidR="3536FECD" w:rsidRPr="28E960E0">
        <w:rPr>
          <w:sz w:val="22"/>
          <w:szCs w:val="22"/>
        </w:rPr>
        <w:t xml:space="preserve">riage </w:t>
      </w:r>
      <w:r w:rsidR="00546F75">
        <w:rPr>
          <w:sz w:val="22"/>
          <w:szCs w:val="22"/>
        </w:rPr>
        <w:t>t</w:t>
      </w:r>
      <w:r w:rsidR="3536FECD" w:rsidRPr="28E960E0">
        <w:rPr>
          <w:sz w:val="22"/>
          <w:szCs w:val="22"/>
        </w:rPr>
        <w:t xml:space="preserve">eam </w:t>
      </w:r>
      <w:r w:rsidRPr="28E960E0">
        <w:rPr>
          <w:sz w:val="22"/>
          <w:szCs w:val="22"/>
        </w:rPr>
        <w:t>may arise regarding the eligibility</w:t>
      </w:r>
      <w:r w:rsidR="035C2D64" w:rsidRPr="28E960E0">
        <w:rPr>
          <w:sz w:val="22"/>
          <w:szCs w:val="22"/>
        </w:rPr>
        <w:t xml:space="preserve"> and </w:t>
      </w:r>
      <w:r w:rsidR="00560BA1" w:rsidRPr="28E960E0">
        <w:rPr>
          <w:sz w:val="22"/>
          <w:szCs w:val="22"/>
        </w:rPr>
        <w:t xml:space="preserve">prioritization </w:t>
      </w:r>
      <w:r w:rsidRPr="28E960E0">
        <w:rPr>
          <w:sz w:val="22"/>
          <w:szCs w:val="22"/>
        </w:rPr>
        <w:t>of a patient for critical care</w:t>
      </w:r>
      <w:r w:rsidR="29C2A34B" w:rsidRPr="28E960E0">
        <w:rPr>
          <w:sz w:val="22"/>
          <w:szCs w:val="22"/>
        </w:rPr>
        <w:t xml:space="preserve"> in a major surge using the </w:t>
      </w:r>
      <w:r w:rsidR="00081CE5" w:rsidRPr="28E960E0">
        <w:rPr>
          <w:i/>
          <w:iCs/>
          <w:sz w:val="22"/>
          <w:szCs w:val="22"/>
        </w:rPr>
        <w:t>P</w:t>
      </w:r>
      <w:r w:rsidR="29C2A34B" w:rsidRPr="28E960E0">
        <w:rPr>
          <w:i/>
          <w:iCs/>
          <w:sz w:val="22"/>
          <w:szCs w:val="22"/>
        </w:rPr>
        <w:t xml:space="preserve">roposed </w:t>
      </w:r>
      <w:r w:rsidR="00081CE5" w:rsidRPr="28E960E0">
        <w:rPr>
          <w:i/>
          <w:iCs/>
          <w:sz w:val="22"/>
          <w:szCs w:val="22"/>
        </w:rPr>
        <w:t>F</w:t>
      </w:r>
      <w:r w:rsidR="29C2A34B" w:rsidRPr="28E960E0">
        <w:rPr>
          <w:i/>
          <w:iCs/>
          <w:sz w:val="22"/>
          <w:szCs w:val="22"/>
        </w:rPr>
        <w:t>ramework</w:t>
      </w:r>
      <w:r w:rsidRPr="28E960E0">
        <w:rPr>
          <w:sz w:val="22"/>
          <w:szCs w:val="22"/>
        </w:rPr>
        <w:t xml:space="preserve">. </w:t>
      </w:r>
      <w:r w:rsidR="0076408A" w:rsidRPr="28E960E0">
        <w:rPr>
          <w:sz w:val="22"/>
          <w:szCs w:val="22"/>
        </w:rPr>
        <w:t>Although consensus-based decision-making is ideal, a</w:t>
      </w:r>
      <w:r w:rsidRPr="28E960E0">
        <w:rPr>
          <w:sz w:val="22"/>
          <w:szCs w:val="22"/>
        </w:rPr>
        <w:t xml:space="preserve"> mechanism for resolving disagreement may be needed. Options for dispute resolution may include additional consultation with appropriate medical specialists</w:t>
      </w:r>
      <w:r w:rsidR="72E9FF60" w:rsidRPr="28E960E0">
        <w:rPr>
          <w:sz w:val="22"/>
          <w:szCs w:val="22"/>
        </w:rPr>
        <w:t>.</w:t>
      </w:r>
      <w:r w:rsidRPr="28E960E0">
        <w:rPr>
          <w:sz w:val="22"/>
          <w:szCs w:val="22"/>
        </w:rPr>
        <w:t xml:space="preserve"> </w:t>
      </w:r>
    </w:p>
    <w:p w14:paraId="018D084B" w14:textId="77777777" w:rsidR="00DD53AE" w:rsidRDefault="00DD53AE" w:rsidP="00DD53AE">
      <w:pPr>
        <w:ind w:left="567"/>
        <w:rPr>
          <w:sz w:val="22"/>
          <w:szCs w:val="22"/>
        </w:rPr>
      </w:pPr>
    </w:p>
    <w:p w14:paraId="4A3A339D" w14:textId="2BBD828D" w:rsidR="00D153A7" w:rsidRDefault="000E10A2" w:rsidP="00DD53AE">
      <w:pPr>
        <w:ind w:left="567"/>
        <w:rPr>
          <w:sz w:val="22"/>
          <w:szCs w:val="22"/>
        </w:rPr>
      </w:pPr>
      <w:r w:rsidRPr="28E960E0">
        <w:rPr>
          <w:sz w:val="22"/>
          <w:szCs w:val="22"/>
        </w:rPr>
        <w:t>Where a patient</w:t>
      </w:r>
      <w:r w:rsidR="00081CE5" w:rsidRPr="28E960E0">
        <w:rPr>
          <w:sz w:val="22"/>
          <w:szCs w:val="22"/>
        </w:rPr>
        <w:t xml:space="preserve"> or their substitute decision-maker </w:t>
      </w:r>
      <w:r w:rsidRPr="28E960E0">
        <w:rPr>
          <w:sz w:val="22"/>
          <w:szCs w:val="22"/>
        </w:rPr>
        <w:t xml:space="preserve">disagrees with the </w:t>
      </w:r>
      <w:r w:rsidR="20939909" w:rsidRPr="28E960E0">
        <w:rPr>
          <w:sz w:val="22"/>
          <w:szCs w:val="22"/>
        </w:rPr>
        <w:t xml:space="preserve">proposed treatment plan based on the </w:t>
      </w:r>
      <w:r w:rsidR="00546F75">
        <w:rPr>
          <w:sz w:val="22"/>
          <w:szCs w:val="22"/>
        </w:rPr>
        <w:t>c</w:t>
      </w:r>
      <w:r w:rsidR="20939909" w:rsidRPr="28E960E0">
        <w:rPr>
          <w:sz w:val="22"/>
          <w:szCs w:val="22"/>
        </w:rPr>
        <w:t xml:space="preserve">ritical </w:t>
      </w:r>
      <w:r w:rsidR="00546F75">
        <w:rPr>
          <w:sz w:val="22"/>
          <w:szCs w:val="22"/>
        </w:rPr>
        <w:t>c</w:t>
      </w:r>
      <w:r w:rsidR="20939909" w:rsidRPr="28E960E0">
        <w:rPr>
          <w:sz w:val="22"/>
          <w:szCs w:val="22"/>
        </w:rPr>
        <w:t xml:space="preserve">are </w:t>
      </w:r>
      <w:r w:rsidR="00546F75">
        <w:rPr>
          <w:sz w:val="22"/>
          <w:szCs w:val="22"/>
        </w:rPr>
        <w:t>t</w:t>
      </w:r>
      <w:r w:rsidR="20939909" w:rsidRPr="28E960E0">
        <w:rPr>
          <w:sz w:val="22"/>
          <w:szCs w:val="22"/>
        </w:rPr>
        <w:t xml:space="preserve">riage </w:t>
      </w:r>
      <w:r w:rsidR="00546F75">
        <w:rPr>
          <w:sz w:val="22"/>
          <w:szCs w:val="22"/>
        </w:rPr>
        <w:t>a</w:t>
      </w:r>
      <w:r w:rsidR="20939909" w:rsidRPr="28E960E0">
        <w:rPr>
          <w:sz w:val="22"/>
          <w:szCs w:val="22"/>
        </w:rPr>
        <w:t xml:space="preserve">ssessment </w:t>
      </w:r>
      <w:r w:rsidR="1F390AE3" w:rsidRPr="28E960E0">
        <w:rPr>
          <w:sz w:val="22"/>
          <w:szCs w:val="22"/>
        </w:rPr>
        <w:t>t</w:t>
      </w:r>
      <w:r w:rsidRPr="28E960E0">
        <w:rPr>
          <w:sz w:val="22"/>
          <w:szCs w:val="22"/>
        </w:rPr>
        <w:t xml:space="preserve">he </w:t>
      </w:r>
      <w:r w:rsidR="00546F75">
        <w:rPr>
          <w:sz w:val="22"/>
          <w:szCs w:val="22"/>
        </w:rPr>
        <w:t>c</w:t>
      </w:r>
      <w:r w:rsidR="3AB4CCAA" w:rsidRPr="28E960E0">
        <w:rPr>
          <w:sz w:val="22"/>
          <w:szCs w:val="22"/>
        </w:rPr>
        <w:t xml:space="preserve">ritical </w:t>
      </w:r>
      <w:r w:rsidR="00546F75">
        <w:rPr>
          <w:sz w:val="22"/>
          <w:szCs w:val="22"/>
        </w:rPr>
        <w:t>c</w:t>
      </w:r>
      <w:r w:rsidR="3AB4CCAA" w:rsidRPr="28E960E0">
        <w:rPr>
          <w:sz w:val="22"/>
          <w:szCs w:val="22"/>
        </w:rPr>
        <w:t xml:space="preserve">are </w:t>
      </w:r>
      <w:r w:rsidR="00546F75">
        <w:rPr>
          <w:sz w:val="22"/>
          <w:szCs w:val="22"/>
        </w:rPr>
        <w:t>t</w:t>
      </w:r>
      <w:r w:rsidRPr="28E960E0">
        <w:rPr>
          <w:sz w:val="22"/>
          <w:szCs w:val="22"/>
        </w:rPr>
        <w:t xml:space="preserve">riage </w:t>
      </w:r>
      <w:r w:rsidR="00546F75">
        <w:rPr>
          <w:sz w:val="22"/>
          <w:szCs w:val="22"/>
        </w:rPr>
        <w:t>t</w:t>
      </w:r>
      <w:r w:rsidRPr="28E960E0">
        <w:rPr>
          <w:sz w:val="22"/>
          <w:szCs w:val="22"/>
        </w:rPr>
        <w:t>eam</w:t>
      </w:r>
      <w:r w:rsidR="00081CE5" w:rsidRPr="28E960E0">
        <w:rPr>
          <w:sz w:val="22"/>
          <w:szCs w:val="22"/>
        </w:rPr>
        <w:t xml:space="preserve"> should reiterate and make clear to the patient or their substitute decision-maker that an appeals process exists, and should explain the process </w:t>
      </w:r>
      <w:r w:rsidR="00B07C51">
        <w:rPr>
          <w:sz w:val="22"/>
          <w:szCs w:val="22"/>
        </w:rPr>
        <w:t>for</w:t>
      </w:r>
      <w:r w:rsidR="00081CE5" w:rsidRPr="28E960E0">
        <w:rPr>
          <w:sz w:val="22"/>
          <w:szCs w:val="22"/>
        </w:rPr>
        <w:t xml:space="preserve"> making an appeal.</w:t>
      </w:r>
      <w:r w:rsidRPr="28E960E0">
        <w:rPr>
          <w:sz w:val="22"/>
          <w:szCs w:val="22"/>
        </w:rPr>
        <w:t xml:space="preserve"> </w:t>
      </w:r>
      <w:r w:rsidR="12D27422" w:rsidRPr="28E960E0">
        <w:rPr>
          <w:sz w:val="22"/>
          <w:szCs w:val="22"/>
        </w:rPr>
        <w:t>All available support</w:t>
      </w:r>
      <w:r w:rsidR="00081CE5" w:rsidRPr="28E960E0">
        <w:rPr>
          <w:sz w:val="22"/>
          <w:szCs w:val="22"/>
        </w:rPr>
        <w:t>s and accommodations</w:t>
      </w:r>
      <w:r w:rsidR="12D27422" w:rsidRPr="28E960E0">
        <w:rPr>
          <w:sz w:val="22"/>
          <w:szCs w:val="22"/>
        </w:rPr>
        <w:t xml:space="preserve"> should be made avail</w:t>
      </w:r>
      <w:r w:rsidR="6A80E9CF" w:rsidRPr="28E960E0">
        <w:rPr>
          <w:sz w:val="22"/>
          <w:szCs w:val="22"/>
        </w:rPr>
        <w:t>a</w:t>
      </w:r>
      <w:r w:rsidR="12D27422" w:rsidRPr="28E960E0">
        <w:rPr>
          <w:sz w:val="22"/>
          <w:szCs w:val="22"/>
        </w:rPr>
        <w:t xml:space="preserve">ble to the patient </w:t>
      </w:r>
      <w:r w:rsidR="00081CE5" w:rsidRPr="28E960E0">
        <w:rPr>
          <w:sz w:val="22"/>
          <w:szCs w:val="22"/>
        </w:rPr>
        <w:t>and/or their substitute decision-maker</w:t>
      </w:r>
      <w:r w:rsidR="12D27422" w:rsidRPr="28E960E0">
        <w:rPr>
          <w:sz w:val="22"/>
          <w:szCs w:val="22"/>
        </w:rPr>
        <w:t>.</w:t>
      </w:r>
    </w:p>
    <w:p w14:paraId="0AAB9937" w14:textId="74217FC9" w:rsidR="00560BA1" w:rsidRDefault="00560BA1" w:rsidP="12B8EC8C">
      <w:pPr>
        <w:rPr>
          <w:sz w:val="22"/>
          <w:szCs w:val="22"/>
        </w:rPr>
      </w:pPr>
    </w:p>
    <w:p w14:paraId="3783BE38" w14:textId="20E57C7A" w:rsidR="00560BA1" w:rsidRPr="00560BA1" w:rsidRDefault="00560BA1" w:rsidP="00DD53AE">
      <w:pPr>
        <w:pStyle w:val="Default"/>
        <w:ind w:left="567"/>
        <w:rPr>
          <w:rFonts w:asciiTheme="minorHAnsi" w:hAnsiTheme="minorHAnsi" w:cstheme="minorBidi"/>
          <w:sz w:val="22"/>
          <w:szCs w:val="22"/>
        </w:rPr>
      </w:pPr>
      <w:r w:rsidRPr="28E960E0">
        <w:rPr>
          <w:rFonts w:asciiTheme="minorHAnsi" w:hAnsiTheme="minorHAnsi" w:cstheme="minorBidi"/>
          <w:sz w:val="22"/>
          <w:szCs w:val="22"/>
        </w:rPr>
        <w:t xml:space="preserve">Due process and procedural fairness require that patients or their substitute decision-makers have an opportunity to appeal individual </w:t>
      </w:r>
      <w:r w:rsidR="72A55E54" w:rsidRPr="28E960E0">
        <w:rPr>
          <w:rFonts w:asciiTheme="minorHAnsi" w:hAnsiTheme="minorHAnsi" w:cstheme="minorBidi"/>
          <w:sz w:val="22"/>
          <w:szCs w:val="22"/>
        </w:rPr>
        <w:t xml:space="preserve">critical care </w:t>
      </w:r>
      <w:r w:rsidRPr="28E960E0">
        <w:rPr>
          <w:rFonts w:asciiTheme="minorHAnsi" w:hAnsiTheme="minorHAnsi" w:cstheme="minorBidi"/>
          <w:sz w:val="22"/>
          <w:szCs w:val="22"/>
        </w:rPr>
        <w:t>triage decisions</w:t>
      </w:r>
      <w:r w:rsidR="3A8FD86C" w:rsidRPr="28E960E0">
        <w:rPr>
          <w:rFonts w:asciiTheme="minorHAnsi" w:hAnsiTheme="minorHAnsi" w:cstheme="minorBidi"/>
          <w:sz w:val="22"/>
          <w:szCs w:val="22"/>
        </w:rPr>
        <w:t xml:space="preserve"> in a major surge</w:t>
      </w:r>
      <w:r w:rsidRPr="28E960E0">
        <w:rPr>
          <w:rFonts w:asciiTheme="minorHAnsi" w:hAnsiTheme="minorHAnsi" w:cstheme="minorBidi"/>
          <w:sz w:val="22"/>
          <w:szCs w:val="22"/>
        </w:rPr>
        <w:t>. An appeal</w:t>
      </w:r>
      <w:r w:rsidR="00546F75">
        <w:rPr>
          <w:rFonts w:asciiTheme="minorHAnsi" w:hAnsiTheme="minorHAnsi" w:cstheme="minorBidi"/>
          <w:sz w:val="22"/>
          <w:szCs w:val="22"/>
        </w:rPr>
        <w:t>s</w:t>
      </w:r>
      <w:r w:rsidRPr="28E960E0">
        <w:rPr>
          <w:rFonts w:asciiTheme="minorHAnsi" w:hAnsiTheme="minorHAnsi" w:cstheme="minorBidi"/>
          <w:sz w:val="22"/>
          <w:szCs w:val="22"/>
        </w:rPr>
        <w:t xml:space="preserve"> process should therefore be implemented to hear and adjudicate appeals made by patients or their substitute decision-makers with respect to triage decisions where patients are not prioritized for/admitted to critical </w:t>
      </w:r>
      <w:r w:rsidR="4C0E0D7B" w:rsidRPr="28E960E0">
        <w:rPr>
          <w:rFonts w:asciiTheme="minorHAnsi" w:hAnsiTheme="minorHAnsi" w:cstheme="minorBidi"/>
          <w:sz w:val="22"/>
          <w:szCs w:val="22"/>
        </w:rPr>
        <w:t>c</w:t>
      </w:r>
      <w:r w:rsidRPr="28E960E0">
        <w:rPr>
          <w:rFonts w:asciiTheme="minorHAnsi" w:hAnsiTheme="minorHAnsi" w:cstheme="minorBidi"/>
          <w:sz w:val="22"/>
          <w:szCs w:val="22"/>
        </w:rPr>
        <w:t xml:space="preserve">are or where life-sustaining measures are </w:t>
      </w:r>
      <w:r w:rsidR="00CF49C2">
        <w:rPr>
          <w:rFonts w:asciiTheme="minorHAnsi" w:hAnsiTheme="minorHAnsi" w:cstheme="minorBidi"/>
          <w:sz w:val="22"/>
          <w:szCs w:val="22"/>
        </w:rPr>
        <w:t xml:space="preserve">proposed to be </w:t>
      </w:r>
      <w:r w:rsidRPr="28E960E0">
        <w:rPr>
          <w:rFonts w:asciiTheme="minorHAnsi" w:hAnsiTheme="minorHAnsi" w:cstheme="minorBidi"/>
          <w:sz w:val="22"/>
          <w:szCs w:val="22"/>
        </w:rPr>
        <w:t>withdrawn because they are no longer benefitting from critical care resources or no longer meet prioritization criteria due to continued surge in demand. Because the former scenario is more time-sensitive, separate appeals processes may be required in order to facilitate rapid hearing of appeals in these cases.</w:t>
      </w:r>
    </w:p>
    <w:p w14:paraId="3A4956FD" w14:textId="1075E3A5" w:rsidR="00560BA1" w:rsidRDefault="00560BA1" w:rsidP="00560BA1">
      <w:pPr>
        <w:pStyle w:val="Default"/>
        <w:rPr>
          <w:rFonts w:asciiTheme="minorHAnsi" w:hAnsiTheme="minorHAnsi" w:cstheme="minorHAnsi"/>
          <w:sz w:val="22"/>
          <w:szCs w:val="22"/>
        </w:rPr>
      </w:pPr>
    </w:p>
    <w:p w14:paraId="2A9AEAAC" w14:textId="7EE55C00" w:rsidR="00560BA1" w:rsidRPr="00560BA1" w:rsidRDefault="00721014" w:rsidP="00DD53AE">
      <w:pPr>
        <w:pStyle w:val="Default"/>
        <w:ind w:left="567"/>
        <w:rPr>
          <w:rFonts w:asciiTheme="minorHAnsi" w:hAnsiTheme="minorHAnsi" w:cstheme="minorBidi"/>
          <w:sz w:val="22"/>
          <w:szCs w:val="22"/>
        </w:rPr>
      </w:pPr>
      <w:r>
        <w:rPr>
          <w:rFonts w:asciiTheme="minorHAnsi" w:hAnsiTheme="minorHAnsi" w:cstheme="minorHAnsi"/>
          <w:sz w:val="22"/>
          <w:szCs w:val="22"/>
        </w:rPr>
        <w:t>Appeals have important legal implications, and processes of appeals must be developed such that they work within the multiple contexts of Ontario’s health system. Consequently, we recommend that health system stakeholders be engaged to further develop a plan for appeals. With that said, we believe that e</w:t>
      </w:r>
      <w:r w:rsidR="00560BA1" w:rsidRPr="6553F404">
        <w:rPr>
          <w:rFonts w:asciiTheme="minorHAnsi" w:hAnsiTheme="minorHAnsi" w:cstheme="minorBidi"/>
          <w:sz w:val="22"/>
          <w:szCs w:val="22"/>
        </w:rPr>
        <w:t>lements of this appeals process should include</w:t>
      </w:r>
      <w:r w:rsidR="00546F75">
        <w:rPr>
          <w:rFonts w:asciiTheme="minorHAnsi" w:hAnsiTheme="minorHAnsi" w:cstheme="minorBidi"/>
          <w:sz w:val="22"/>
          <w:szCs w:val="22"/>
        </w:rPr>
        <w:t xml:space="preserve"> the following</w:t>
      </w:r>
      <w:r w:rsidR="00560BA1" w:rsidRPr="6553F404">
        <w:rPr>
          <w:rFonts w:asciiTheme="minorHAnsi" w:hAnsiTheme="minorHAnsi" w:cstheme="minorBidi"/>
          <w:sz w:val="22"/>
          <w:szCs w:val="22"/>
        </w:rPr>
        <w:t>:</w:t>
      </w:r>
      <w:r w:rsidR="00560BA1" w:rsidRPr="6553F404">
        <w:rPr>
          <w:rStyle w:val="FootnoteReference"/>
          <w:rFonts w:asciiTheme="minorHAnsi" w:hAnsiTheme="minorHAnsi" w:cstheme="minorBidi"/>
          <w:sz w:val="22"/>
          <w:szCs w:val="22"/>
        </w:rPr>
        <w:footnoteReference w:id="11"/>
      </w:r>
      <w:r w:rsidR="00560BA1" w:rsidRPr="6553F404">
        <w:rPr>
          <w:rFonts w:asciiTheme="minorHAnsi" w:hAnsiTheme="minorHAnsi" w:cstheme="minorBidi"/>
          <w:sz w:val="22"/>
          <w:szCs w:val="22"/>
        </w:rPr>
        <w:t xml:space="preserve"> </w:t>
      </w:r>
    </w:p>
    <w:p w14:paraId="28998E56" w14:textId="76608F0B" w:rsidR="00577096" w:rsidRDefault="00577096" w:rsidP="00CD465C">
      <w:pPr>
        <w:pStyle w:val="Default"/>
        <w:numPr>
          <w:ilvl w:val="0"/>
          <w:numId w:val="26"/>
        </w:numPr>
        <w:rPr>
          <w:rFonts w:asciiTheme="minorHAnsi" w:hAnsiTheme="minorHAnsi" w:cstheme="minorBidi"/>
          <w:sz w:val="22"/>
          <w:szCs w:val="22"/>
        </w:rPr>
      </w:pPr>
      <w:r>
        <w:rPr>
          <w:rFonts w:asciiTheme="minorHAnsi" w:hAnsiTheme="minorHAnsi" w:cstheme="minorBidi"/>
          <w:sz w:val="22"/>
          <w:szCs w:val="22"/>
        </w:rPr>
        <w:t xml:space="preserve">The appeals </w:t>
      </w:r>
      <w:r w:rsidRPr="00577096">
        <w:rPr>
          <w:rFonts w:asciiTheme="minorHAnsi" w:hAnsiTheme="minorHAnsi" w:cstheme="minorBidi"/>
          <w:sz w:val="22"/>
          <w:szCs w:val="22"/>
        </w:rPr>
        <w:t>process should be clear and easy for a lay person to trigger and conduct.</w:t>
      </w:r>
    </w:p>
    <w:p w14:paraId="715C8B1C" w14:textId="46122AB7" w:rsidR="00CF432E" w:rsidRDefault="00CF432E" w:rsidP="00CD465C">
      <w:pPr>
        <w:pStyle w:val="Default"/>
        <w:numPr>
          <w:ilvl w:val="0"/>
          <w:numId w:val="26"/>
        </w:numPr>
        <w:rPr>
          <w:rFonts w:asciiTheme="minorHAnsi" w:hAnsiTheme="minorHAnsi" w:cstheme="minorBidi"/>
          <w:sz w:val="22"/>
          <w:szCs w:val="22"/>
        </w:rPr>
      </w:pPr>
      <w:r>
        <w:rPr>
          <w:rFonts w:asciiTheme="minorHAnsi" w:hAnsiTheme="minorHAnsi" w:cstheme="minorBidi"/>
          <w:sz w:val="22"/>
          <w:szCs w:val="22"/>
        </w:rPr>
        <w:t xml:space="preserve">Patient advocates, including </w:t>
      </w:r>
      <w:r w:rsidR="00D328F5">
        <w:rPr>
          <w:rFonts w:asciiTheme="minorHAnsi" w:hAnsiTheme="minorHAnsi" w:cstheme="minorBidi"/>
          <w:sz w:val="22"/>
          <w:szCs w:val="22"/>
        </w:rPr>
        <w:t xml:space="preserve">a rights advisor or </w:t>
      </w:r>
      <w:r w:rsidR="00D328F5" w:rsidRPr="00D328F5">
        <w:rPr>
          <w:rFonts w:asciiTheme="minorHAnsi" w:hAnsiTheme="minorHAnsi" w:cstheme="minorBidi"/>
          <w:sz w:val="22"/>
          <w:szCs w:val="22"/>
        </w:rPr>
        <w:t>a member of the patient's circle of care</w:t>
      </w:r>
      <w:r w:rsidR="00D328F5">
        <w:rPr>
          <w:rFonts w:asciiTheme="minorHAnsi" w:hAnsiTheme="minorHAnsi" w:cstheme="minorBidi"/>
          <w:sz w:val="22"/>
          <w:szCs w:val="22"/>
        </w:rPr>
        <w:t>,</w:t>
      </w:r>
      <w:r w:rsidR="00D328F5" w:rsidRPr="00D328F5">
        <w:rPr>
          <w:rFonts w:asciiTheme="minorHAnsi" w:hAnsiTheme="minorHAnsi" w:cstheme="minorBidi"/>
          <w:sz w:val="22"/>
          <w:szCs w:val="22"/>
        </w:rPr>
        <w:t xml:space="preserve"> </w:t>
      </w:r>
      <w:r>
        <w:rPr>
          <w:rFonts w:asciiTheme="minorHAnsi" w:hAnsiTheme="minorHAnsi" w:cstheme="minorBidi"/>
          <w:sz w:val="22"/>
          <w:szCs w:val="22"/>
        </w:rPr>
        <w:t xml:space="preserve">should be able to </w:t>
      </w:r>
      <w:r w:rsidR="00D328F5">
        <w:rPr>
          <w:rFonts w:asciiTheme="minorHAnsi" w:hAnsiTheme="minorHAnsi" w:cstheme="minorBidi"/>
          <w:sz w:val="22"/>
          <w:szCs w:val="22"/>
        </w:rPr>
        <w:t>initiate</w:t>
      </w:r>
      <w:r>
        <w:rPr>
          <w:rFonts w:asciiTheme="minorHAnsi" w:hAnsiTheme="minorHAnsi" w:cstheme="minorBidi"/>
          <w:sz w:val="22"/>
          <w:szCs w:val="22"/>
        </w:rPr>
        <w:t xml:space="preserve"> an appeal on behalf of a patient with the patient or their substitute decision-maker’s consent.</w:t>
      </w:r>
    </w:p>
    <w:p w14:paraId="1B5C464D" w14:textId="4E4AD9FD" w:rsidR="00560BA1" w:rsidRPr="00560BA1" w:rsidRDefault="00560BA1" w:rsidP="00CD465C">
      <w:pPr>
        <w:pStyle w:val="Default"/>
        <w:numPr>
          <w:ilvl w:val="0"/>
          <w:numId w:val="26"/>
        </w:numPr>
        <w:rPr>
          <w:rFonts w:asciiTheme="minorHAnsi" w:hAnsiTheme="minorHAnsi" w:cstheme="minorBidi"/>
          <w:sz w:val="22"/>
          <w:szCs w:val="22"/>
        </w:rPr>
      </w:pPr>
      <w:r w:rsidRPr="109A04B4">
        <w:rPr>
          <w:rFonts w:asciiTheme="minorHAnsi" w:hAnsiTheme="minorHAnsi" w:cstheme="minorBidi"/>
          <w:sz w:val="22"/>
          <w:szCs w:val="22"/>
        </w:rPr>
        <w:t xml:space="preserve">The </w:t>
      </w:r>
      <w:r w:rsidR="00163BC5">
        <w:rPr>
          <w:rFonts w:asciiTheme="minorHAnsi" w:hAnsiTheme="minorHAnsi" w:cstheme="minorBidi"/>
          <w:sz w:val="22"/>
          <w:szCs w:val="22"/>
        </w:rPr>
        <w:t>c</w:t>
      </w:r>
      <w:r w:rsidR="15E29862" w:rsidRPr="109A04B4">
        <w:rPr>
          <w:rFonts w:asciiTheme="minorHAnsi" w:hAnsiTheme="minorHAnsi" w:cstheme="minorBidi"/>
          <w:sz w:val="22"/>
          <w:szCs w:val="22"/>
        </w:rPr>
        <w:t xml:space="preserve">ritical </w:t>
      </w:r>
      <w:r w:rsidR="00163BC5">
        <w:rPr>
          <w:rFonts w:asciiTheme="minorHAnsi" w:hAnsiTheme="minorHAnsi" w:cstheme="minorBidi"/>
          <w:sz w:val="22"/>
          <w:szCs w:val="22"/>
        </w:rPr>
        <w:t>c</w:t>
      </w:r>
      <w:r w:rsidR="15E29862" w:rsidRPr="109A04B4">
        <w:rPr>
          <w:rFonts w:asciiTheme="minorHAnsi" w:hAnsiTheme="minorHAnsi" w:cstheme="minorBidi"/>
          <w:sz w:val="22"/>
          <w:szCs w:val="22"/>
        </w:rPr>
        <w:t xml:space="preserve">are </w:t>
      </w:r>
      <w:r w:rsidRPr="109A04B4">
        <w:rPr>
          <w:rFonts w:asciiTheme="minorHAnsi" w:hAnsiTheme="minorHAnsi" w:cstheme="minorBidi"/>
          <w:sz w:val="22"/>
          <w:szCs w:val="22"/>
        </w:rPr>
        <w:t xml:space="preserve">triage team should explain the grounds for the </w:t>
      </w:r>
      <w:r w:rsidR="1843A3D9" w:rsidRPr="109A04B4">
        <w:rPr>
          <w:rFonts w:asciiTheme="minorHAnsi" w:hAnsiTheme="minorHAnsi" w:cstheme="minorBidi"/>
          <w:sz w:val="22"/>
          <w:szCs w:val="22"/>
        </w:rPr>
        <w:t xml:space="preserve">critical care </w:t>
      </w:r>
      <w:r w:rsidRPr="109A04B4">
        <w:rPr>
          <w:rFonts w:asciiTheme="minorHAnsi" w:hAnsiTheme="minorHAnsi" w:cstheme="minorBidi"/>
          <w:sz w:val="22"/>
          <w:szCs w:val="22"/>
        </w:rPr>
        <w:t xml:space="preserve">triage </w:t>
      </w:r>
      <w:r w:rsidR="44636B08" w:rsidRPr="109A04B4">
        <w:rPr>
          <w:rFonts w:asciiTheme="minorHAnsi" w:hAnsiTheme="minorHAnsi" w:cstheme="minorBidi"/>
          <w:sz w:val="22"/>
          <w:szCs w:val="22"/>
        </w:rPr>
        <w:t xml:space="preserve">assessment </w:t>
      </w:r>
      <w:r w:rsidRPr="109A04B4">
        <w:rPr>
          <w:rFonts w:asciiTheme="minorHAnsi" w:hAnsiTheme="minorHAnsi" w:cstheme="minorBidi"/>
          <w:sz w:val="22"/>
          <w:szCs w:val="22"/>
        </w:rPr>
        <w:t xml:space="preserve">decision that was made. </w:t>
      </w:r>
      <w:r w:rsidR="3D6C2CA2" w:rsidRPr="109A04B4">
        <w:rPr>
          <w:rFonts w:asciiTheme="minorHAnsi" w:hAnsiTheme="minorHAnsi" w:cstheme="minorBidi"/>
          <w:sz w:val="22"/>
          <w:szCs w:val="22"/>
        </w:rPr>
        <w:t xml:space="preserve">They should also consider reassessing the patient at regular intervals. </w:t>
      </w:r>
    </w:p>
    <w:p w14:paraId="3E01C5E6" w14:textId="07976D93" w:rsidR="00560BA1" w:rsidRDefault="00560BA1" w:rsidP="00CD465C">
      <w:pPr>
        <w:pStyle w:val="Default"/>
        <w:numPr>
          <w:ilvl w:val="0"/>
          <w:numId w:val="26"/>
        </w:numPr>
        <w:rPr>
          <w:rFonts w:asciiTheme="minorHAnsi" w:hAnsiTheme="minorHAnsi" w:cstheme="minorBidi"/>
          <w:sz w:val="22"/>
          <w:szCs w:val="22"/>
        </w:rPr>
      </w:pPr>
      <w:r w:rsidRPr="28E960E0">
        <w:rPr>
          <w:rFonts w:asciiTheme="minorHAnsi" w:hAnsiTheme="minorHAnsi" w:cstheme="minorBidi"/>
          <w:sz w:val="22"/>
          <w:szCs w:val="22"/>
        </w:rPr>
        <w:t xml:space="preserve">Appeals </w:t>
      </w:r>
      <w:r w:rsidR="6339485F" w:rsidRPr="28E960E0">
        <w:rPr>
          <w:rFonts w:asciiTheme="minorHAnsi" w:hAnsiTheme="minorHAnsi" w:cstheme="minorBidi"/>
          <w:sz w:val="22"/>
          <w:szCs w:val="22"/>
        </w:rPr>
        <w:t xml:space="preserve">should </w:t>
      </w:r>
      <w:r w:rsidRPr="28E960E0">
        <w:rPr>
          <w:rFonts w:asciiTheme="minorHAnsi" w:hAnsiTheme="minorHAnsi" w:cstheme="minorBidi"/>
          <w:sz w:val="22"/>
          <w:szCs w:val="22"/>
        </w:rPr>
        <w:t xml:space="preserve">immediately be brought to a </w:t>
      </w:r>
      <w:r w:rsidR="25DE00FC" w:rsidRPr="28E960E0">
        <w:rPr>
          <w:rFonts w:asciiTheme="minorHAnsi" w:hAnsiTheme="minorHAnsi" w:cstheme="minorBidi"/>
          <w:sz w:val="22"/>
          <w:szCs w:val="22"/>
        </w:rPr>
        <w:t xml:space="preserve">Critical Care </w:t>
      </w:r>
      <w:r w:rsidRPr="28E960E0">
        <w:rPr>
          <w:rFonts w:asciiTheme="minorHAnsi" w:hAnsiTheme="minorHAnsi" w:cstheme="minorBidi"/>
          <w:sz w:val="22"/>
          <w:szCs w:val="22"/>
        </w:rPr>
        <w:t xml:space="preserve">Triage </w:t>
      </w:r>
      <w:r w:rsidR="00721014">
        <w:rPr>
          <w:rFonts w:asciiTheme="minorHAnsi" w:hAnsiTheme="minorHAnsi" w:cstheme="minorBidi"/>
          <w:sz w:val="22"/>
          <w:szCs w:val="22"/>
        </w:rPr>
        <w:t>Appeals</w:t>
      </w:r>
      <w:r w:rsidRPr="28E960E0">
        <w:rPr>
          <w:rFonts w:asciiTheme="minorHAnsi" w:hAnsiTheme="minorHAnsi" w:cstheme="minorBidi"/>
          <w:sz w:val="22"/>
          <w:szCs w:val="22"/>
        </w:rPr>
        <w:t xml:space="preserve"> Committee that is independent of the </w:t>
      </w:r>
      <w:r w:rsidR="08A6C745" w:rsidRPr="28E960E0">
        <w:rPr>
          <w:rFonts w:asciiTheme="minorHAnsi" w:hAnsiTheme="minorHAnsi" w:cstheme="minorBidi"/>
          <w:sz w:val="22"/>
          <w:szCs w:val="22"/>
        </w:rPr>
        <w:t xml:space="preserve">critical care </w:t>
      </w:r>
      <w:r w:rsidRPr="28E960E0">
        <w:rPr>
          <w:rFonts w:asciiTheme="minorHAnsi" w:hAnsiTheme="minorHAnsi" w:cstheme="minorBidi"/>
          <w:sz w:val="22"/>
          <w:szCs w:val="22"/>
        </w:rPr>
        <w:t>triage team and of the patient’s care.</w:t>
      </w:r>
    </w:p>
    <w:p w14:paraId="5B93EA29" w14:textId="09C866A8" w:rsidR="00721014" w:rsidRPr="00560BA1" w:rsidRDefault="00721014" w:rsidP="00CD465C">
      <w:pPr>
        <w:pStyle w:val="Default"/>
        <w:numPr>
          <w:ilvl w:val="0"/>
          <w:numId w:val="26"/>
        </w:numPr>
        <w:rPr>
          <w:rFonts w:asciiTheme="minorHAnsi" w:hAnsiTheme="minorHAnsi" w:cstheme="minorBidi"/>
          <w:sz w:val="22"/>
          <w:szCs w:val="22"/>
        </w:rPr>
      </w:pPr>
      <w:r w:rsidRPr="28E960E0">
        <w:rPr>
          <w:rFonts w:asciiTheme="minorHAnsi" w:hAnsiTheme="minorHAnsi" w:cstheme="minorBidi"/>
          <w:sz w:val="22"/>
          <w:szCs w:val="22"/>
        </w:rPr>
        <w:t xml:space="preserve">Critical Care Triage </w:t>
      </w:r>
      <w:r>
        <w:rPr>
          <w:rFonts w:asciiTheme="minorHAnsi" w:hAnsiTheme="minorHAnsi" w:cstheme="minorBidi"/>
          <w:sz w:val="22"/>
          <w:szCs w:val="22"/>
        </w:rPr>
        <w:t>Appeals</w:t>
      </w:r>
      <w:r w:rsidRPr="28E960E0">
        <w:rPr>
          <w:rFonts w:asciiTheme="minorHAnsi" w:hAnsiTheme="minorHAnsi" w:cstheme="minorBidi"/>
          <w:sz w:val="22"/>
          <w:szCs w:val="22"/>
        </w:rPr>
        <w:t xml:space="preserve"> Committees should be established at a regional</w:t>
      </w:r>
      <w:r w:rsidR="00CF49C2">
        <w:rPr>
          <w:rFonts w:asciiTheme="minorHAnsi" w:hAnsiTheme="minorHAnsi" w:cstheme="minorBidi"/>
          <w:sz w:val="22"/>
          <w:szCs w:val="22"/>
        </w:rPr>
        <w:t xml:space="preserve"> or provincial</w:t>
      </w:r>
      <w:r w:rsidRPr="28E960E0">
        <w:rPr>
          <w:rFonts w:asciiTheme="minorHAnsi" w:hAnsiTheme="minorHAnsi" w:cstheme="minorBidi"/>
          <w:sz w:val="22"/>
          <w:szCs w:val="22"/>
        </w:rPr>
        <w:t>, rather than institutional, level. A regional model is capable of enhancing consistency across hospitals, bridges capacity gaps (e.g., small vs. large hospitals</w:t>
      </w:r>
      <w:r w:rsidR="00546F75">
        <w:rPr>
          <w:rFonts w:asciiTheme="minorHAnsi" w:hAnsiTheme="minorHAnsi" w:cstheme="minorBidi"/>
          <w:sz w:val="22"/>
          <w:szCs w:val="22"/>
        </w:rPr>
        <w:t>)</w:t>
      </w:r>
      <w:r w:rsidRPr="28E960E0">
        <w:rPr>
          <w:rFonts w:asciiTheme="minorHAnsi" w:hAnsiTheme="minorHAnsi" w:cstheme="minorBidi"/>
          <w:sz w:val="22"/>
          <w:szCs w:val="22"/>
        </w:rPr>
        <w:t xml:space="preserve">, and draws from a larger pool of relevant expertise and perspectives. All Critical Care Triage </w:t>
      </w:r>
      <w:r>
        <w:rPr>
          <w:rFonts w:asciiTheme="minorHAnsi" w:hAnsiTheme="minorHAnsi" w:cstheme="minorBidi"/>
          <w:sz w:val="22"/>
          <w:szCs w:val="22"/>
        </w:rPr>
        <w:t>Appeals</w:t>
      </w:r>
      <w:r w:rsidRPr="28E960E0">
        <w:rPr>
          <w:rFonts w:asciiTheme="minorHAnsi" w:hAnsiTheme="minorHAnsi" w:cstheme="minorBidi"/>
          <w:sz w:val="22"/>
          <w:szCs w:val="22"/>
        </w:rPr>
        <w:t xml:space="preserve"> Committees should be made up of at least five individuals</w:t>
      </w:r>
      <w:r>
        <w:rPr>
          <w:rFonts w:asciiTheme="minorHAnsi" w:hAnsiTheme="minorHAnsi" w:cstheme="minorBidi"/>
          <w:sz w:val="22"/>
          <w:szCs w:val="22"/>
        </w:rPr>
        <w:t xml:space="preserve"> and include the perspectives of those with expertise in critical care, fair processes, and </w:t>
      </w:r>
      <w:r w:rsidR="003A3A7D">
        <w:rPr>
          <w:rFonts w:asciiTheme="minorHAnsi" w:hAnsiTheme="minorHAnsi" w:cstheme="minorBidi"/>
          <w:sz w:val="22"/>
          <w:szCs w:val="22"/>
        </w:rPr>
        <w:t xml:space="preserve">members of </w:t>
      </w:r>
      <w:r>
        <w:rPr>
          <w:rFonts w:asciiTheme="minorHAnsi" w:hAnsiTheme="minorHAnsi" w:cstheme="minorBidi"/>
          <w:sz w:val="22"/>
          <w:szCs w:val="22"/>
        </w:rPr>
        <w:t>the community. The</w:t>
      </w:r>
      <w:r w:rsidRPr="6553F404">
        <w:rPr>
          <w:rFonts w:asciiTheme="minorHAnsi" w:hAnsiTheme="minorHAnsi" w:cstheme="minorBidi"/>
          <w:sz w:val="22"/>
          <w:szCs w:val="22"/>
        </w:rPr>
        <w:t xml:space="preserve"> inclusion of perspectives from Black </w:t>
      </w:r>
      <w:r>
        <w:rPr>
          <w:rFonts w:asciiTheme="minorHAnsi" w:hAnsiTheme="minorHAnsi" w:cstheme="minorBidi"/>
          <w:sz w:val="22"/>
          <w:szCs w:val="22"/>
        </w:rPr>
        <w:t xml:space="preserve">and other racialized </w:t>
      </w:r>
      <w:r w:rsidRPr="6553F404">
        <w:rPr>
          <w:rFonts w:asciiTheme="minorHAnsi" w:hAnsiTheme="minorHAnsi" w:cstheme="minorBidi"/>
          <w:sz w:val="22"/>
          <w:szCs w:val="22"/>
        </w:rPr>
        <w:t xml:space="preserve">populations, Indigenous populations, </w:t>
      </w:r>
      <w:r>
        <w:rPr>
          <w:rFonts w:asciiTheme="minorHAnsi" w:hAnsiTheme="minorHAnsi" w:cstheme="minorBidi"/>
          <w:sz w:val="22"/>
          <w:szCs w:val="22"/>
        </w:rPr>
        <w:t>and persons with disabilities should exist a</w:t>
      </w:r>
      <w:r w:rsidRPr="00721014">
        <w:rPr>
          <w:rFonts w:asciiTheme="minorHAnsi" w:hAnsiTheme="minorHAnsi" w:cstheme="minorBidi"/>
          <w:sz w:val="22"/>
          <w:szCs w:val="22"/>
        </w:rPr>
        <w:t xml:space="preserve">cross all members of Critical Care Triage </w:t>
      </w:r>
      <w:r>
        <w:rPr>
          <w:rFonts w:asciiTheme="minorHAnsi" w:hAnsiTheme="minorHAnsi" w:cstheme="minorBidi"/>
          <w:sz w:val="22"/>
          <w:szCs w:val="22"/>
        </w:rPr>
        <w:t>Appeals</w:t>
      </w:r>
      <w:r w:rsidRPr="00721014">
        <w:rPr>
          <w:rFonts w:asciiTheme="minorHAnsi" w:hAnsiTheme="minorHAnsi" w:cstheme="minorBidi"/>
          <w:sz w:val="22"/>
          <w:szCs w:val="22"/>
        </w:rPr>
        <w:t xml:space="preserve"> Committees</w:t>
      </w:r>
      <w:r>
        <w:rPr>
          <w:rFonts w:asciiTheme="minorHAnsi" w:hAnsiTheme="minorHAnsi" w:cstheme="minorBidi"/>
          <w:sz w:val="22"/>
          <w:szCs w:val="22"/>
        </w:rPr>
        <w:t xml:space="preserve">. </w:t>
      </w:r>
      <w:r w:rsidRPr="00721014">
        <w:rPr>
          <w:rFonts w:asciiTheme="minorHAnsi" w:hAnsiTheme="minorHAnsi" w:cstheme="minorBidi"/>
          <w:sz w:val="22"/>
          <w:szCs w:val="22"/>
        </w:rPr>
        <w:t xml:space="preserve">Three </w:t>
      </w:r>
      <w:r>
        <w:rPr>
          <w:rFonts w:asciiTheme="minorHAnsi" w:hAnsiTheme="minorHAnsi" w:cstheme="minorBidi"/>
          <w:sz w:val="22"/>
          <w:szCs w:val="22"/>
        </w:rPr>
        <w:t xml:space="preserve">Critical Care </w:t>
      </w:r>
      <w:r w:rsidRPr="00721014">
        <w:rPr>
          <w:rFonts w:asciiTheme="minorHAnsi" w:hAnsiTheme="minorHAnsi" w:cstheme="minorBidi"/>
          <w:sz w:val="22"/>
          <w:szCs w:val="22"/>
        </w:rPr>
        <w:t xml:space="preserve">Triage </w:t>
      </w:r>
      <w:r>
        <w:rPr>
          <w:rFonts w:asciiTheme="minorHAnsi" w:hAnsiTheme="minorHAnsi" w:cstheme="minorBidi"/>
          <w:sz w:val="22"/>
          <w:szCs w:val="22"/>
        </w:rPr>
        <w:t xml:space="preserve">Appeals Committee </w:t>
      </w:r>
      <w:r w:rsidRPr="00721014">
        <w:rPr>
          <w:rFonts w:asciiTheme="minorHAnsi" w:hAnsiTheme="minorHAnsi" w:cstheme="minorBidi"/>
          <w:sz w:val="22"/>
          <w:szCs w:val="22"/>
        </w:rPr>
        <w:t xml:space="preserve">members </w:t>
      </w:r>
      <w:r w:rsidR="003A3A7D">
        <w:rPr>
          <w:rFonts w:asciiTheme="minorHAnsi" w:hAnsiTheme="minorHAnsi" w:cstheme="minorBidi"/>
          <w:sz w:val="22"/>
          <w:szCs w:val="22"/>
        </w:rPr>
        <w:t>should be required</w:t>
      </w:r>
      <w:r w:rsidRPr="00721014">
        <w:rPr>
          <w:rFonts w:asciiTheme="minorHAnsi" w:hAnsiTheme="minorHAnsi" w:cstheme="minorBidi"/>
          <w:sz w:val="22"/>
          <w:szCs w:val="22"/>
        </w:rPr>
        <w:t xml:space="preserve"> for a quorum to render a decision, using a simple majority vote. The process </w:t>
      </w:r>
      <w:r w:rsidR="003A3A7D">
        <w:rPr>
          <w:rFonts w:asciiTheme="minorHAnsi" w:hAnsiTheme="minorHAnsi" w:cstheme="minorBidi"/>
          <w:sz w:val="22"/>
          <w:szCs w:val="22"/>
        </w:rPr>
        <w:t>should</w:t>
      </w:r>
      <w:r w:rsidRPr="00721014">
        <w:rPr>
          <w:rFonts w:asciiTheme="minorHAnsi" w:hAnsiTheme="minorHAnsi" w:cstheme="minorBidi"/>
          <w:sz w:val="22"/>
          <w:szCs w:val="22"/>
        </w:rPr>
        <w:t xml:space="preserve"> proceed by telephone, virtually, or </w:t>
      </w:r>
      <w:r w:rsidRPr="00721014">
        <w:rPr>
          <w:rFonts w:asciiTheme="minorHAnsi" w:hAnsiTheme="minorHAnsi" w:cstheme="minorBidi"/>
          <w:sz w:val="22"/>
          <w:szCs w:val="22"/>
        </w:rPr>
        <w:lastRenderedPageBreak/>
        <w:t xml:space="preserve">in person, and the outcome </w:t>
      </w:r>
      <w:r w:rsidR="003A3A7D">
        <w:rPr>
          <w:rFonts w:asciiTheme="minorHAnsi" w:hAnsiTheme="minorHAnsi" w:cstheme="minorBidi"/>
          <w:sz w:val="22"/>
          <w:szCs w:val="22"/>
        </w:rPr>
        <w:t>should</w:t>
      </w:r>
      <w:r w:rsidRPr="00721014">
        <w:rPr>
          <w:rFonts w:asciiTheme="minorHAnsi" w:hAnsiTheme="minorHAnsi" w:cstheme="minorBidi"/>
          <w:sz w:val="22"/>
          <w:szCs w:val="22"/>
        </w:rPr>
        <w:t xml:space="preserve"> be promptly communicated verbally and in writing to whomever brought the appeal.</w:t>
      </w:r>
    </w:p>
    <w:p w14:paraId="3B3FC7A7" w14:textId="39E44210" w:rsidR="3913E3F7" w:rsidRDefault="00560BA1" w:rsidP="00CD465C">
      <w:pPr>
        <w:pStyle w:val="Default"/>
        <w:numPr>
          <w:ilvl w:val="0"/>
          <w:numId w:val="26"/>
        </w:numPr>
        <w:rPr>
          <w:sz w:val="22"/>
          <w:szCs w:val="22"/>
        </w:rPr>
      </w:pPr>
      <w:r w:rsidRPr="4769E595">
        <w:rPr>
          <w:rFonts w:asciiTheme="minorHAnsi" w:hAnsiTheme="minorHAnsi" w:cstheme="minorBidi"/>
          <w:sz w:val="22"/>
          <w:szCs w:val="22"/>
        </w:rPr>
        <w:t xml:space="preserve">The appeals process must occur quickly enough that </w:t>
      </w:r>
      <w:r w:rsidR="00B46F6D">
        <w:rPr>
          <w:rFonts w:asciiTheme="minorHAnsi" w:hAnsiTheme="minorHAnsi" w:cstheme="minorBidi"/>
          <w:sz w:val="22"/>
          <w:szCs w:val="22"/>
        </w:rPr>
        <w:t>it</w:t>
      </w:r>
      <w:r w:rsidRPr="4769E595">
        <w:rPr>
          <w:rFonts w:asciiTheme="minorHAnsi" w:hAnsiTheme="minorHAnsi" w:cstheme="minorBidi"/>
          <w:sz w:val="22"/>
          <w:szCs w:val="22"/>
        </w:rPr>
        <w:t xml:space="preserve"> </w:t>
      </w:r>
      <w:r w:rsidR="00B46F6D" w:rsidRPr="00B46F6D">
        <w:rPr>
          <w:rFonts w:asciiTheme="minorHAnsi" w:hAnsiTheme="minorHAnsi" w:cstheme="minorBidi"/>
          <w:sz w:val="22"/>
          <w:szCs w:val="22"/>
        </w:rPr>
        <w:t>does not create any delay in treatment or further harm the patient</w:t>
      </w:r>
      <w:r w:rsidR="00B46F6D">
        <w:rPr>
          <w:rFonts w:asciiTheme="minorHAnsi" w:hAnsiTheme="minorHAnsi" w:cstheme="minorBidi"/>
          <w:sz w:val="22"/>
          <w:szCs w:val="22"/>
        </w:rPr>
        <w:t xml:space="preserve"> </w:t>
      </w:r>
      <w:r w:rsidRPr="4769E595">
        <w:rPr>
          <w:rFonts w:asciiTheme="minorHAnsi" w:hAnsiTheme="minorHAnsi" w:cstheme="minorBidi"/>
          <w:sz w:val="22"/>
          <w:szCs w:val="22"/>
        </w:rPr>
        <w:t>(in the case of initial triage decisions) or patients who are in the queue for scarce critical care resources currently being used by the patient who is the subject of the appeal (in the case of triage decisions involving the withdrawal of life-sustaining measures).</w:t>
      </w:r>
    </w:p>
    <w:p w14:paraId="331D07F0" w14:textId="09B7DE79" w:rsidR="00A32CDC" w:rsidRDefault="00560BA1" w:rsidP="00DD53AE">
      <w:pPr>
        <w:pStyle w:val="Default"/>
        <w:numPr>
          <w:ilvl w:val="0"/>
          <w:numId w:val="26"/>
        </w:numPr>
        <w:rPr>
          <w:rFonts w:asciiTheme="minorHAnsi" w:hAnsiTheme="minorHAnsi" w:cstheme="minorBidi"/>
          <w:sz w:val="22"/>
          <w:szCs w:val="22"/>
        </w:rPr>
      </w:pPr>
      <w:r w:rsidRPr="109A04B4">
        <w:rPr>
          <w:rFonts w:asciiTheme="minorHAnsi" w:hAnsiTheme="minorHAnsi" w:cstheme="minorBidi"/>
          <w:sz w:val="22"/>
          <w:szCs w:val="22"/>
        </w:rPr>
        <w:t xml:space="preserve">Periodically, the </w:t>
      </w:r>
      <w:r w:rsidR="779A107E" w:rsidRPr="109A04B4">
        <w:rPr>
          <w:rFonts w:asciiTheme="minorHAnsi" w:hAnsiTheme="minorHAnsi" w:cstheme="minorBidi"/>
          <w:sz w:val="22"/>
          <w:szCs w:val="22"/>
        </w:rPr>
        <w:t>Critical</w:t>
      </w:r>
      <w:r w:rsidR="2B5F7354" w:rsidRPr="109A04B4">
        <w:rPr>
          <w:rFonts w:asciiTheme="minorHAnsi" w:hAnsiTheme="minorHAnsi" w:cstheme="minorBidi"/>
          <w:sz w:val="22"/>
          <w:szCs w:val="22"/>
        </w:rPr>
        <w:t xml:space="preserve"> Care </w:t>
      </w:r>
      <w:r w:rsidRPr="109A04B4">
        <w:rPr>
          <w:rFonts w:asciiTheme="minorHAnsi" w:hAnsiTheme="minorHAnsi" w:cstheme="minorBidi"/>
          <w:sz w:val="22"/>
          <w:szCs w:val="22"/>
        </w:rPr>
        <w:t xml:space="preserve">Triage </w:t>
      </w:r>
      <w:r w:rsidR="00721014">
        <w:rPr>
          <w:rFonts w:asciiTheme="minorHAnsi" w:hAnsiTheme="minorHAnsi" w:cstheme="minorBidi"/>
          <w:sz w:val="22"/>
          <w:szCs w:val="22"/>
        </w:rPr>
        <w:t>Appeals</w:t>
      </w:r>
      <w:r w:rsidRPr="109A04B4">
        <w:rPr>
          <w:rFonts w:asciiTheme="minorHAnsi" w:hAnsiTheme="minorHAnsi" w:cstheme="minorBidi"/>
          <w:sz w:val="22"/>
          <w:szCs w:val="22"/>
        </w:rPr>
        <w:t xml:space="preserve"> Committee should retrospectively evaluate whether the review process is consistent with effective, fair, and timely application of the allocation framework. </w:t>
      </w:r>
    </w:p>
    <w:p w14:paraId="6DDE8300" w14:textId="77777777" w:rsidR="00DD53AE" w:rsidRPr="00DD53AE" w:rsidRDefault="00DD53AE" w:rsidP="00DD53AE">
      <w:pPr>
        <w:pStyle w:val="Default"/>
        <w:ind w:left="927"/>
        <w:rPr>
          <w:rFonts w:asciiTheme="minorHAnsi" w:hAnsiTheme="minorHAnsi" w:cstheme="minorBidi"/>
          <w:sz w:val="22"/>
          <w:szCs w:val="22"/>
        </w:rPr>
      </w:pPr>
    </w:p>
    <w:p w14:paraId="2351A8CE" w14:textId="66685446" w:rsidR="7FAEC90C" w:rsidRDefault="7FAEC90C" w:rsidP="00DD53AE">
      <w:pPr>
        <w:pStyle w:val="Heading3"/>
      </w:pPr>
      <w:r w:rsidRPr="500AFCFA">
        <w:t>Mitigating the Perpetuation or Exacerbation of Existing Health and Social Inequities</w:t>
      </w:r>
    </w:p>
    <w:p w14:paraId="5E996358" w14:textId="1D86CFA6" w:rsidR="7FAEC90C" w:rsidRDefault="7FAEC90C" w:rsidP="109A04B4">
      <w:pPr>
        <w:rPr>
          <w:sz w:val="20"/>
          <w:szCs w:val="20"/>
        </w:rPr>
      </w:pPr>
      <w:r w:rsidRPr="500AFCFA">
        <w:rPr>
          <w:rFonts w:eastAsiaTheme="minorEastAsia"/>
          <w:sz w:val="22"/>
          <w:szCs w:val="22"/>
        </w:rPr>
        <w:t>The appro</w:t>
      </w:r>
      <w:r w:rsidRPr="500AFCFA">
        <w:rPr>
          <w:sz w:val="22"/>
          <w:szCs w:val="22"/>
        </w:rPr>
        <w:t xml:space="preserve">ach to critical care triage outlined in this document makes several attempts to mitigate the risks of direct </w:t>
      </w:r>
      <w:r w:rsidR="00577096">
        <w:rPr>
          <w:sz w:val="22"/>
          <w:szCs w:val="22"/>
        </w:rPr>
        <w:t xml:space="preserve">and indirect </w:t>
      </w:r>
      <w:r w:rsidRPr="500AFCFA">
        <w:rPr>
          <w:sz w:val="22"/>
          <w:szCs w:val="22"/>
        </w:rPr>
        <w:t xml:space="preserve">discrimination, conscious or unconscious bias, and inequitable treatment. Yet, we acknowledge that any approach to triage that relies upon prognosis, e.g., predicted short-term mortality risk, can perpetuate or exacerbate existing health and social inequities. This is because </w:t>
      </w:r>
      <w:r w:rsidR="7320AE87" w:rsidRPr="500AFCFA">
        <w:rPr>
          <w:sz w:val="22"/>
          <w:szCs w:val="22"/>
        </w:rPr>
        <w:t>the</w:t>
      </w:r>
      <w:r w:rsidRPr="500AFCFA">
        <w:rPr>
          <w:sz w:val="22"/>
          <w:szCs w:val="22"/>
        </w:rPr>
        <w:t xml:space="preserve"> risk of becoming critically ill, and </w:t>
      </w:r>
      <w:r w:rsidR="65D7AC0B" w:rsidRPr="500AFCFA">
        <w:rPr>
          <w:sz w:val="22"/>
          <w:szCs w:val="22"/>
        </w:rPr>
        <w:t>the risk of having a chronic underlying illness that would r</w:t>
      </w:r>
      <w:r w:rsidR="310FB279" w:rsidRPr="500AFCFA">
        <w:rPr>
          <w:sz w:val="22"/>
          <w:szCs w:val="22"/>
        </w:rPr>
        <w:t xml:space="preserve">esult in a </w:t>
      </w:r>
      <w:r w:rsidRPr="500AFCFA">
        <w:rPr>
          <w:sz w:val="22"/>
          <w:szCs w:val="22"/>
        </w:rPr>
        <w:t>poorer prognosis, is more likely among those who are disproportionately negatively affected by the social determinants of ill health, e.g., social inequalities and systematic discrimination,</w:t>
      </w:r>
      <w:r w:rsidR="46DE8938" w:rsidRPr="500AFCFA">
        <w:rPr>
          <w:sz w:val="22"/>
          <w:szCs w:val="22"/>
        </w:rPr>
        <w:t xml:space="preserve"> racism, </w:t>
      </w:r>
      <w:r w:rsidR="02DB5CE5" w:rsidRPr="500AFCFA">
        <w:rPr>
          <w:sz w:val="22"/>
          <w:szCs w:val="22"/>
        </w:rPr>
        <w:t>colonialism</w:t>
      </w:r>
      <w:r w:rsidR="46DE8938" w:rsidRPr="500AFCFA">
        <w:rPr>
          <w:sz w:val="22"/>
          <w:szCs w:val="22"/>
        </w:rPr>
        <w:t>,</w:t>
      </w:r>
      <w:r w:rsidRPr="500AFCFA">
        <w:rPr>
          <w:sz w:val="22"/>
          <w:szCs w:val="22"/>
        </w:rPr>
        <w:t xml:space="preserve"> workplace exposure, precarious work, proximity to health care</w:t>
      </w:r>
      <w:r w:rsidR="724B09A8" w:rsidRPr="500AFCFA">
        <w:rPr>
          <w:sz w:val="22"/>
          <w:szCs w:val="22"/>
        </w:rPr>
        <w:t>, and so forth</w:t>
      </w:r>
      <w:r w:rsidRPr="500AFCFA">
        <w:rPr>
          <w:sz w:val="22"/>
          <w:szCs w:val="22"/>
        </w:rPr>
        <w:t>. Some patient</w:t>
      </w:r>
      <w:r w:rsidR="3ECBB7F2" w:rsidRPr="500AFCFA">
        <w:rPr>
          <w:sz w:val="22"/>
          <w:szCs w:val="22"/>
        </w:rPr>
        <w:t xml:space="preserve"> populations</w:t>
      </w:r>
      <w:r w:rsidRPr="500AFCFA">
        <w:rPr>
          <w:sz w:val="22"/>
          <w:szCs w:val="22"/>
        </w:rPr>
        <w:t xml:space="preserve">, such as those from remote Indigenous communities, may experience vulnerabilities that intersect across these domains of disadvantage. While the approach described in this </w:t>
      </w:r>
      <w:r w:rsidRPr="500AFCFA">
        <w:rPr>
          <w:i/>
          <w:iCs/>
          <w:sz w:val="22"/>
          <w:szCs w:val="22"/>
        </w:rPr>
        <w:t>Proposed Framework</w:t>
      </w:r>
      <w:r w:rsidRPr="500AFCFA">
        <w:rPr>
          <w:sz w:val="22"/>
          <w:szCs w:val="22"/>
        </w:rPr>
        <w:t xml:space="preserve"> explicitly rejects any consideration of a patient’s long-term survival or life expectancy, a history of marginalization, oppression, and discrimination can have profound effects on one’s health, which </w:t>
      </w:r>
      <w:r w:rsidR="64997970" w:rsidRPr="500AFCFA">
        <w:rPr>
          <w:sz w:val="22"/>
          <w:szCs w:val="22"/>
        </w:rPr>
        <w:t>can render them disadvantaged</w:t>
      </w:r>
      <w:r w:rsidRPr="500AFCFA">
        <w:rPr>
          <w:sz w:val="22"/>
          <w:szCs w:val="22"/>
        </w:rPr>
        <w:t xml:space="preserve"> in terms of their prospects for surviving a critical illness. In short, people do not start on an even playing field, and so</w:t>
      </w:r>
      <w:r w:rsidR="3D6F8CDF" w:rsidRPr="500AFCFA">
        <w:rPr>
          <w:sz w:val="22"/>
          <w:szCs w:val="22"/>
        </w:rPr>
        <w:t xml:space="preserve"> even a</w:t>
      </w:r>
      <w:r w:rsidRPr="500AFCFA">
        <w:rPr>
          <w:sz w:val="22"/>
          <w:szCs w:val="22"/>
        </w:rPr>
        <w:t xml:space="preserve"> triage </w:t>
      </w:r>
      <w:r w:rsidR="4BD8B1AE" w:rsidRPr="500AFCFA">
        <w:rPr>
          <w:sz w:val="22"/>
          <w:szCs w:val="22"/>
        </w:rPr>
        <w:t xml:space="preserve">system based solely on </w:t>
      </w:r>
      <w:r w:rsidR="7977FD46" w:rsidRPr="500AFCFA">
        <w:rPr>
          <w:sz w:val="22"/>
          <w:szCs w:val="22"/>
        </w:rPr>
        <w:t xml:space="preserve">predicted short-term </w:t>
      </w:r>
      <w:r w:rsidR="4BD8B1AE" w:rsidRPr="500AFCFA">
        <w:rPr>
          <w:sz w:val="22"/>
          <w:szCs w:val="22"/>
        </w:rPr>
        <w:t xml:space="preserve">mortality risk </w:t>
      </w:r>
      <w:r w:rsidRPr="500AFCFA">
        <w:rPr>
          <w:sz w:val="22"/>
          <w:szCs w:val="22"/>
        </w:rPr>
        <w:t>can perpetuate or exacerbate the unjust inequalities experienced in our society.</w:t>
      </w:r>
    </w:p>
    <w:p w14:paraId="0A3D5DF4" w14:textId="37D9258C" w:rsidR="7FAEC90C" w:rsidRDefault="7FAEC90C" w:rsidP="109A04B4">
      <w:pPr>
        <w:rPr>
          <w:sz w:val="20"/>
          <w:szCs w:val="20"/>
        </w:rPr>
      </w:pPr>
      <w:r w:rsidRPr="4769E595">
        <w:rPr>
          <w:sz w:val="22"/>
          <w:szCs w:val="22"/>
        </w:rPr>
        <w:t xml:space="preserve"> </w:t>
      </w:r>
    </w:p>
    <w:p w14:paraId="0F40525F" w14:textId="77777777" w:rsidR="00BA2F66" w:rsidRDefault="7FAEC90C" w:rsidP="109A04B4">
      <w:pPr>
        <w:rPr>
          <w:sz w:val="22"/>
          <w:szCs w:val="22"/>
        </w:rPr>
      </w:pPr>
      <w:r w:rsidRPr="4769E595">
        <w:rPr>
          <w:sz w:val="22"/>
          <w:szCs w:val="22"/>
        </w:rPr>
        <w:t xml:space="preserve">There are a number of ways that an approach to critical care triage should respond to this challenge. One way would be to reject any approach to triage that relies upon prognosis when prioritizing access to critical care. Two prominent approaches that do so, i.e., first-come, first-served and random allocation, were already </w:t>
      </w:r>
      <w:r w:rsidR="00702B02">
        <w:rPr>
          <w:sz w:val="22"/>
          <w:szCs w:val="22"/>
        </w:rPr>
        <w:t>discussed and identified as not favoured</w:t>
      </w:r>
      <w:r w:rsidRPr="4769E595">
        <w:rPr>
          <w:sz w:val="22"/>
          <w:szCs w:val="22"/>
        </w:rPr>
        <w:t xml:space="preserve"> as possible foundations for an approach to </w:t>
      </w:r>
      <w:r w:rsidR="00702B02">
        <w:rPr>
          <w:sz w:val="22"/>
          <w:szCs w:val="22"/>
        </w:rPr>
        <w:t xml:space="preserve">the </w:t>
      </w:r>
      <w:r w:rsidRPr="4769E595">
        <w:rPr>
          <w:sz w:val="22"/>
          <w:szCs w:val="22"/>
        </w:rPr>
        <w:t xml:space="preserve">allocation scarce critical care resources. In addition to the reasons already supplied for </w:t>
      </w:r>
      <w:r w:rsidR="00702B02">
        <w:rPr>
          <w:sz w:val="22"/>
          <w:szCs w:val="22"/>
        </w:rPr>
        <w:t>not favouring</w:t>
      </w:r>
      <w:r w:rsidRPr="4769E595">
        <w:rPr>
          <w:sz w:val="22"/>
          <w:szCs w:val="22"/>
        </w:rPr>
        <w:t xml:space="preserve"> these approaches, we are convinced that either approach would do little, if anything, to address existing health and social inequities, and in fact may do more to perpetuate and exacerbate them. </w:t>
      </w:r>
      <w:r w:rsidR="302B7F3E" w:rsidRPr="4769E595">
        <w:rPr>
          <w:sz w:val="22"/>
          <w:szCs w:val="22"/>
        </w:rPr>
        <w:t>For instance, f</w:t>
      </w:r>
      <w:r w:rsidRPr="4769E595">
        <w:rPr>
          <w:sz w:val="22"/>
          <w:szCs w:val="22"/>
        </w:rPr>
        <w:t xml:space="preserve">irst-come, first-served would straightforwardly disadvantage those who become critically ill later, those who have sought health care later, and those who happen to be </w:t>
      </w:r>
      <w:r w:rsidR="65E17360" w:rsidRPr="4769E595">
        <w:rPr>
          <w:sz w:val="22"/>
          <w:szCs w:val="22"/>
        </w:rPr>
        <w:t>further from</w:t>
      </w:r>
      <w:r w:rsidRPr="4769E595">
        <w:rPr>
          <w:sz w:val="22"/>
          <w:szCs w:val="22"/>
        </w:rPr>
        <w:t xml:space="preserve"> tertiary care hospitals. Random allocation </w:t>
      </w:r>
      <w:r w:rsidR="00702B02">
        <w:rPr>
          <w:sz w:val="22"/>
          <w:szCs w:val="22"/>
        </w:rPr>
        <w:t xml:space="preserve">implemented as the foundation of a system of triage </w:t>
      </w:r>
      <w:r w:rsidRPr="4769E595">
        <w:rPr>
          <w:sz w:val="22"/>
          <w:szCs w:val="22"/>
        </w:rPr>
        <w:t xml:space="preserve">would tend to have the same disadvantages as first-come, first-served, as it would only be those presenting for critical care who would be randomly </w:t>
      </w:r>
      <w:r w:rsidR="2FF52F3B" w:rsidRPr="4769E595">
        <w:rPr>
          <w:sz w:val="22"/>
          <w:szCs w:val="22"/>
        </w:rPr>
        <w:t xml:space="preserve">allocated </w:t>
      </w:r>
      <w:r w:rsidRPr="4769E595">
        <w:rPr>
          <w:sz w:val="22"/>
          <w:szCs w:val="22"/>
        </w:rPr>
        <w:t>critical care resources.</w:t>
      </w:r>
      <w:r w:rsidR="0142B6AE" w:rsidRPr="4769E595">
        <w:rPr>
          <w:sz w:val="22"/>
          <w:szCs w:val="22"/>
        </w:rPr>
        <w:t xml:space="preserve"> This approach would also result in more deaths than one that uses a predicted </w:t>
      </w:r>
      <w:r w:rsidR="00163BC5">
        <w:rPr>
          <w:sz w:val="22"/>
          <w:szCs w:val="22"/>
        </w:rPr>
        <w:t xml:space="preserve">short-term </w:t>
      </w:r>
      <w:r w:rsidR="0142B6AE" w:rsidRPr="4769E595">
        <w:rPr>
          <w:sz w:val="22"/>
          <w:szCs w:val="22"/>
        </w:rPr>
        <w:t xml:space="preserve">mortality approach. </w:t>
      </w:r>
    </w:p>
    <w:p w14:paraId="0D698EB5" w14:textId="12CE4BD8" w:rsidR="7FAEC90C" w:rsidRDefault="7FAEC90C" w:rsidP="109A04B4">
      <w:pPr>
        <w:rPr>
          <w:sz w:val="20"/>
          <w:szCs w:val="20"/>
        </w:rPr>
      </w:pPr>
      <w:r w:rsidRPr="4769E595">
        <w:rPr>
          <w:sz w:val="22"/>
          <w:szCs w:val="22"/>
        </w:rPr>
        <w:t xml:space="preserve"> </w:t>
      </w:r>
    </w:p>
    <w:p w14:paraId="6EF83102" w14:textId="3946E123" w:rsidR="7FAEC90C" w:rsidRDefault="7FAEC90C" w:rsidP="109A04B4">
      <w:pPr>
        <w:rPr>
          <w:sz w:val="20"/>
          <w:szCs w:val="20"/>
        </w:rPr>
      </w:pPr>
      <w:r w:rsidRPr="4769E595">
        <w:rPr>
          <w:sz w:val="22"/>
          <w:szCs w:val="22"/>
        </w:rPr>
        <w:t xml:space="preserve">A second way to respond to this challenge would be to adopt the approach suggested in this </w:t>
      </w:r>
      <w:r w:rsidRPr="4769E595">
        <w:rPr>
          <w:i/>
          <w:iCs/>
          <w:sz w:val="22"/>
          <w:szCs w:val="22"/>
        </w:rPr>
        <w:t>Proposed Framework</w:t>
      </w:r>
      <w:r w:rsidRPr="4769E595">
        <w:rPr>
          <w:sz w:val="22"/>
          <w:szCs w:val="22"/>
        </w:rPr>
        <w:t xml:space="preserve"> but </w:t>
      </w:r>
      <w:r w:rsidR="6EE8C1D8" w:rsidRPr="4769E595">
        <w:rPr>
          <w:sz w:val="22"/>
          <w:szCs w:val="22"/>
        </w:rPr>
        <w:t xml:space="preserve">introduce a mechanism that would act to give greater priority to </w:t>
      </w:r>
      <w:r w:rsidRPr="4769E595">
        <w:rPr>
          <w:sz w:val="22"/>
          <w:szCs w:val="22"/>
        </w:rPr>
        <w:t xml:space="preserve">patients </w:t>
      </w:r>
      <w:r w:rsidR="51AC1768" w:rsidRPr="4769E595">
        <w:rPr>
          <w:sz w:val="22"/>
          <w:szCs w:val="22"/>
        </w:rPr>
        <w:t xml:space="preserve">belonging </w:t>
      </w:r>
      <w:r w:rsidRPr="4769E595">
        <w:rPr>
          <w:sz w:val="22"/>
          <w:szCs w:val="22"/>
        </w:rPr>
        <w:t xml:space="preserve">to populations who have been marginalized, oppressed, discriminated against, or otherwise systematically disadvantaged as a result of social injustice. However, we </w:t>
      </w:r>
      <w:r w:rsidR="5D3F4C8D" w:rsidRPr="4769E595">
        <w:rPr>
          <w:sz w:val="22"/>
          <w:szCs w:val="22"/>
        </w:rPr>
        <w:t xml:space="preserve">were unable to find </w:t>
      </w:r>
      <w:r w:rsidR="15DC3F85" w:rsidRPr="4769E595">
        <w:rPr>
          <w:sz w:val="22"/>
          <w:szCs w:val="22"/>
        </w:rPr>
        <w:t>a mechanism that could</w:t>
      </w:r>
      <w:r w:rsidRPr="4769E595">
        <w:rPr>
          <w:sz w:val="22"/>
          <w:szCs w:val="22"/>
        </w:rPr>
        <w:t xml:space="preserve"> identify or adjudicat</w:t>
      </w:r>
      <w:r w:rsidR="5DA98A6D" w:rsidRPr="4769E595">
        <w:rPr>
          <w:sz w:val="22"/>
          <w:szCs w:val="22"/>
        </w:rPr>
        <w:t>e</w:t>
      </w:r>
      <w:r w:rsidRPr="4769E595">
        <w:rPr>
          <w:sz w:val="22"/>
          <w:szCs w:val="22"/>
        </w:rPr>
        <w:t xml:space="preserve"> between competing forms of </w:t>
      </w:r>
      <w:r w:rsidR="38C2B62C" w:rsidRPr="4769E595">
        <w:rPr>
          <w:sz w:val="22"/>
          <w:szCs w:val="22"/>
        </w:rPr>
        <w:t xml:space="preserve">social </w:t>
      </w:r>
      <w:r w:rsidRPr="4769E595">
        <w:rPr>
          <w:sz w:val="22"/>
          <w:szCs w:val="22"/>
        </w:rPr>
        <w:t>disadvantage in a consistent and defensible manner.</w:t>
      </w:r>
      <w:r w:rsidR="592CA710" w:rsidRPr="4769E595">
        <w:rPr>
          <w:sz w:val="22"/>
          <w:szCs w:val="22"/>
        </w:rPr>
        <w:t xml:space="preserve"> </w:t>
      </w:r>
    </w:p>
    <w:p w14:paraId="1F7EE004" w14:textId="33E7D1EF" w:rsidR="109A04B4" w:rsidRDefault="109A04B4" w:rsidP="109A04B4">
      <w:pPr>
        <w:rPr>
          <w:sz w:val="22"/>
          <w:szCs w:val="22"/>
        </w:rPr>
      </w:pPr>
    </w:p>
    <w:p w14:paraId="4B339C7D" w14:textId="0DC55E68" w:rsidR="7FAEC90C" w:rsidRDefault="7FAEC90C" w:rsidP="109A04B4">
      <w:pPr>
        <w:rPr>
          <w:sz w:val="20"/>
          <w:szCs w:val="20"/>
        </w:rPr>
      </w:pPr>
      <w:r w:rsidRPr="4769E595">
        <w:rPr>
          <w:sz w:val="22"/>
          <w:szCs w:val="22"/>
        </w:rPr>
        <w:t xml:space="preserve">A third way to respond to this challenge is to adopt the approach suggested in this </w:t>
      </w:r>
      <w:r w:rsidRPr="4769E595">
        <w:rPr>
          <w:i/>
          <w:iCs/>
          <w:sz w:val="22"/>
          <w:szCs w:val="22"/>
        </w:rPr>
        <w:t>Proposed Framework</w:t>
      </w:r>
      <w:r w:rsidRPr="4769E595">
        <w:rPr>
          <w:sz w:val="22"/>
          <w:szCs w:val="22"/>
        </w:rPr>
        <w:t xml:space="preserve"> and introduce safeguards </w:t>
      </w:r>
      <w:r w:rsidR="2C0E5493" w:rsidRPr="4769E595">
        <w:rPr>
          <w:sz w:val="22"/>
          <w:szCs w:val="22"/>
        </w:rPr>
        <w:t>to mitigate the effect of</w:t>
      </w:r>
      <w:r w:rsidR="7D8A3400" w:rsidRPr="4769E595">
        <w:rPr>
          <w:sz w:val="22"/>
          <w:szCs w:val="22"/>
        </w:rPr>
        <w:t xml:space="preserve"> </w:t>
      </w:r>
      <w:r w:rsidRPr="4769E595">
        <w:rPr>
          <w:sz w:val="22"/>
          <w:szCs w:val="22"/>
        </w:rPr>
        <w:t xml:space="preserve">existing health and social inequities </w:t>
      </w:r>
      <w:r w:rsidR="2E0A78B2" w:rsidRPr="4769E595">
        <w:rPr>
          <w:sz w:val="22"/>
          <w:szCs w:val="22"/>
        </w:rPr>
        <w:t xml:space="preserve">that arise </w:t>
      </w:r>
      <w:r w:rsidRPr="4769E595">
        <w:rPr>
          <w:sz w:val="22"/>
          <w:szCs w:val="22"/>
        </w:rPr>
        <w:t xml:space="preserve">as a result of triage. </w:t>
      </w:r>
      <w:r w:rsidR="00252CD6">
        <w:rPr>
          <w:sz w:val="22"/>
          <w:szCs w:val="22"/>
        </w:rPr>
        <w:t>Although still imperfect, i</w:t>
      </w:r>
      <w:r w:rsidRPr="4769E595">
        <w:rPr>
          <w:sz w:val="22"/>
          <w:szCs w:val="22"/>
        </w:rPr>
        <w:t>t is this approach that we consider to be the only defensible and viable option available to us</w:t>
      </w:r>
      <w:r w:rsidR="027D5E42" w:rsidRPr="4769E595">
        <w:rPr>
          <w:sz w:val="22"/>
          <w:szCs w:val="22"/>
        </w:rPr>
        <w:t xml:space="preserve"> at this time</w:t>
      </w:r>
      <w:r w:rsidRPr="4769E595">
        <w:rPr>
          <w:sz w:val="22"/>
          <w:szCs w:val="22"/>
        </w:rPr>
        <w:t>. The following represent</w:t>
      </w:r>
      <w:r w:rsidR="2CE9E4FA" w:rsidRPr="4769E595">
        <w:rPr>
          <w:sz w:val="22"/>
          <w:szCs w:val="22"/>
        </w:rPr>
        <w:t>s</w:t>
      </w:r>
      <w:r w:rsidRPr="4769E595">
        <w:rPr>
          <w:sz w:val="22"/>
          <w:szCs w:val="22"/>
        </w:rPr>
        <w:t xml:space="preserve"> the steps that are, at a minimum, necessary for addressing this challenge:</w:t>
      </w:r>
    </w:p>
    <w:p w14:paraId="55DB3DFD" w14:textId="2390BE07" w:rsidR="109A04B4" w:rsidRDefault="109A04B4" w:rsidP="109A04B4">
      <w:pPr>
        <w:rPr>
          <w:sz w:val="22"/>
          <w:szCs w:val="22"/>
        </w:rPr>
      </w:pPr>
    </w:p>
    <w:p w14:paraId="2224D725" w14:textId="71CC1D21" w:rsidR="7FAEC90C" w:rsidRDefault="7FAEC90C" w:rsidP="00CD465C">
      <w:pPr>
        <w:pStyle w:val="ListParagraph"/>
        <w:numPr>
          <w:ilvl w:val="0"/>
          <w:numId w:val="1"/>
        </w:numPr>
        <w:rPr>
          <w:rFonts w:eastAsiaTheme="minorEastAsia"/>
          <w:sz w:val="22"/>
          <w:szCs w:val="22"/>
        </w:rPr>
      </w:pPr>
      <w:r w:rsidRPr="4769E595">
        <w:rPr>
          <w:sz w:val="22"/>
          <w:szCs w:val="22"/>
        </w:rPr>
        <w:t>Take proactive measures ‘upstream’ in the community and across the health system to prevent populations who are marginalized or disadvantaged due to discrimination or other forms of oppression and systematic disadvantage from being disproportionately exposed to, and ultimately becoming critically ill from, COVID-19. Among other things, this should include ensuring that such populations have adequate supplies of personal protective equipment (e.g., face masks)</w:t>
      </w:r>
      <w:r w:rsidR="7E6E971A" w:rsidRPr="4769E595">
        <w:rPr>
          <w:sz w:val="22"/>
          <w:szCs w:val="22"/>
        </w:rPr>
        <w:t>;</w:t>
      </w:r>
      <w:r w:rsidR="6ABABEB1" w:rsidRPr="4769E595">
        <w:rPr>
          <w:sz w:val="22"/>
          <w:szCs w:val="22"/>
        </w:rPr>
        <w:t xml:space="preserve"> a higher priority for any vaccine or COVID-19 specific treatment;</w:t>
      </w:r>
      <w:r w:rsidRPr="4769E595">
        <w:rPr>
          <w:sz w:val="22"/>
          <w:szCs w:val="22"/>
        </w:rPr>
        <w:t xml:space="preserve"> adequate, accessible, and culturally </w:t>
      </w:r>
      <w:r w:rsidR="340976E6" w:rsidRPr="4769E595">
        <w:rPr>
          <w:sz w:val="22"/>
          <w:szCs w:val="22"/>
        </w:rPr>
        <w:t>safe</w:t>
      </w:r>
      <w:r w:rsidRPr="4769E595">
        <w:rPr>
          <w:sz w:val="22"/>
          <w:szCs w:val="22"/>
        </w:rPr>
        <w:t xml:space="preserve"> testing and assessment</w:t>
      </w:r>
      <w:r w:rsidR="72C729FE" w:rsidRPr="4769E595">
        <w:rPr>
          <w:sz w:val="22"/>
          <w:szCs w:val="22"/>
        </w:rPr>
        <w:t>;</w:t>
      </w:r>
      <w:r w:rsidRPr="4769E595">
        <w:rPr>
          <w:sz w:val="22"/>
          <w:szCs w:val="22"/>
        </w:rPr>
        <w:t xml:space="preserve"> and facilitators for self-isolation and quarantine. It also requires effective and culturally appropriate public health education and communications.</w:t>
      </w:r>
    </w:p>
    <w:p w14:paraId="31223DB2" w14:textId="2458378D" w:rsidR="7FAEC90C" w:rsidRDefault="7FAEC90C" w:rsidP="00CD465C">
      <w:pPr>
        <w:pStyle w:val="ListParagraph"/>
        <w:numPr>
          <w:ilvl w:val="0"/>
          <w:numId w:val="1"/>
        </w:numPr>
        <w:rPr>
          <w:rFonts w:eastAsiaTheme="minorEastAsia"/>
          <w:sz w:val="22"/>
          <w:szCs w:val="22"/>
        </w:rPr>
      </w:pPr>
      <w:r w:rsidRPr="4769E595">
        <w:rPr>
          <w:sz w:val="22"/>
          <w:szCs w:val="22"/>
        </w:rPr>
        <w:t xml:space="preserve">Identify and work to </w:t>
      </w:r>
      <w:r w:rsidR="63D3DDB9" w:rsidRPr="4769E595">
        <w:rPr>
          <w:sz w:val="22"/>
          <w:szCs w:val="22"/>
        </w:rPr>
        <w:t>mitigate</w:t>
      </w:r>
      <w:r w:rsidRPr="4769E595">
        <w:rPr>
          <w:sz w:val="22"/>
          <w:szCs w:val="22"/>
        </w:rPr>
        <w:t xml:space="preserve"> inherent prejudices in the health care system. If prejudices in primary care or other areas of the health care system prevent patients from accessing or receiving the most appropriate care at the most appropriate time, this can result in poorer health and, ultimately, poorer prospects of survival when critically ill.</w:t>
      </w:r>
    </w:p>
    <w:p w14:paraId="6DA7A584" w14:textId="2B3C6DFC" w:rsidR="7FAEC90C" w:rsidRPr="00702B02" w:rsidRDefault="7FAEC90C" w:rsidP="00390B56">
      <w:pPr>
        <w:pStyle w:val="ListParagraph"/>
        <w:numPr>
          <w:ilvl w:val="0"/>
          <w:numId w:val="1"/>
        </w:numPr>
        <w:rPr>
          <w:rFonts w:eastAsiaTheme="minorEastAsia"/>
          <w:sz w:val="22"/>
          <w:szCs w:val="22"/>
        </w:rPr>
      </w:pPr>
      <w:r w:rsidRPr="00702B02">
        <w:rPr>
          <w:sz w:val="22"/>
          <w:szCs w:val="22"/>
        </w:rPr>
        <w:t>Implement data collection systems that</w:t>
      </w:r>
      <w:r w:rsidR="00252CD6" w:rsidRPr="00252CD6">
        <w:t xml:space="preserve"> </w:t>
      </w:r>
      <w:r w:rsidR="00252CD6" w:rsidRPr="00702B02">
        <w:rPr>
          <w:sz w:val="22"/>
          <w:szCs w:val="22"/>
        </w:rPr>
        <w:t xml:space="preserve">are sensitive to bias related to race and cultural identity </w:t>
      </w:r>
      <w:r w:rsidRPr="00702B02">
        <w:rPr>
          <w:sz w:val="22"/>
          <w:szCs w:val="22"/>
        </w:rPr>
        <w:t>so that steps can be taken to identify and measure any differential treatment or outcomes among Black, Indigenous, and other racialized populations. Should aggregate evidence of differential treatment between population groups be identified as a result of the application of critical care triage, this should be considered a reason to review and revise these triage recommendations as appropriate.</w:t>
      </w:r>
      <w:r w:rsidR="00702B02">
        <w:rPr>
          <w:sz w:val="22"/>
          <w:szCs w:val="22"/>
        </w:rPr>
        <w:t xml:space="preserve"> </w:t>
      </w:r>
      <w:r w:rsidRPr="00702B02">
        <w:rPr>
          <w:sz w:val="22"/>
          <w:szCs w:val="22"/>
        </w:rPr>
        <w:t xml:space="preserve">Ensure that those engaged in decision-making and monitoring includes the perspectives of the populations for which equity-based data is being collected and monitored, </w:t>
      </w:r>
      <w:r w:rsidR="00702B02">
        <w:rPr>
          <w:sz w:val="22"/>
          <w:szCs w:val="22"/>
        </w:rPr>
        <w:t>e.g.,</w:t>
      </w:r>
      <w:r w:rsidRPr="00702B02">
        <w:rPr>
          <w:sz w:val="22"/>
          <w:szCs w:val="22"/>
        </w:rPr>
        <w:t xml:space="preserve"> Black, Indigenous, and other racialized populations</w:t>
      </w:r>
      <w:r w:rsidR="00163BC5" w:rsidRPr="00702B02">
        <w:rPr>
          <w:sz w:val="22"/>
          <w:szCs w:val="22"/>
        </w:rPr>
        <w:t>, in addition to persons with disabilities</w:t>
      </w:r>
      <w:r w:rsidRPr="00702B02">
        <w:rPr>
          <w:sz w:val="22"/>
          <w:szCs w:val="22"/>
        </w:rPr>
        <w:t>.</w:t>
      </w:r>
    </w:p>
    <w:p w14:paraId="5CC83D5F" w14:textId="712CD66A" w:rsidR="7FAEC90C" w:rsidRDefault="7FAEC90C" w:rsidP="00CD465C">
      <w:pPr>
        <w:pStyle w:val="ListParagraph"/>
        <w:numPr>
          <w:ilvl w:val="0"/>
          <w:numId w:val="1"/>
        </w:numPr>
        <w:rPr>
          <w:rFonts w:eastAsiaTheme="minorEastAsia"/>
          <w:sz w:val="22"/>
          <w:szCs w:val="22"/>
        </w:rPr>
      </w:pPr>
      <w:r w:rsidRPr="4769E595">
        <w:rPr>
          <w:sz w:val="22"/>
          <w:szCs w:val="22"/>
        </w:rPr>
        <w:t>Ensure that due process is afforded to all patients throughout their health care experience and the process of triage decision-making. In particular, accommodations to ensure that patients are not at a disadvantage from accessing, understanding, or receiving their care must be implemented.</w:t>
      </w:r>
    </w:p>
    <w:p w14:paraId="43A40F21" w14:textId="292145C6" w:rsidR="7FAEC90C" w:rsidRDefault="7FAEC90C" w:rsidP="00CD465C">
      <w:pPr>
        <w:pStyle w:val="ListParagraph"/>
        <w:numPr>
          <w:ilvl w:val="0"/>
          <w:numId w:val="1"/>
        </w:numPr>
        <w:rPr>
          <w:rFonts w:eastAsiaTheme="minorEastAsia"/>
          <w:sz w:val="22"/>
          <w:szCs w:val="22"/>
        </w:rPr>
      </w:pPr>
      <w:r w:rsidRPr="4769E595">
        <w:rPr>
          <w:sz w:val="22"/>
          <w:szCs w:val="22"/>
        </w:rPr>
        <w:t>Identify and aim to reduce or eliminate bias in decision-making tools and among decision-makers</w:t>
      </w:r>
      <w:r w:rsidR="00A71DC9">
        <w:rPr>
          <w:sz w:val="22"/>
          <w:szCs w:val="22"/>
        </w:rPr>
        <w:t xml:space="preserve"> (e.g., critical care physicians, triage teams, Appeals Committees, Regional and Provincial Critical Care Command Centres)</w:t>
      </w:r>
      <w:r w:rsidRPr="4769E595">
        <w:rPr>
          <w:sz w:val="22"/>
          <w:szCs w:val="22"/>
        </w:rPr>
        <w:t>. This should include mandatory unconscious bias training</w:t>
      </w:r>
      <w:r w:rsidR="7B9AE5C5" w:rsidRPr="4769E595">
        <w:rPr>
          <w:sz w:val="22"/>
          <w:szCs w:val="22"/>
        </w:rPr>
        <w:t>,</w:t>
      </w:r>
      <w:r w:rsidR="1D5D9387" w:rsidRPr="4769E595">
        <w:rPr>
          <w:sz w:val="22"/>
          <w:szCs w:val="22"/>
        </w:rPr>
        <w:t xml:space="preserve"> </w:t>
      </w:r>
      <w:r w:rsidRPr="4769E595">
        <w:rPr>
          <w:sz w:val="22"/>
          <w:szCs w:val="22"/>
        </w:rPr>
        <w:t>cultural safety training</w:t>
      </w:r>
      <w:r w:rsidR="24F2ED1B" w:rsidRPr="4769E595">
        <w:rPr>
          <w:sz w:val="22"/>
          <w:szCs w:val="22"/>
        </w:rPr>
        <w:t>, and anti-racism training</w:t>
      </w:r>
      <w:r w:rsidRPr="4769E595">
        <w:rPr>
          <w:sz w:val="22"/>
          <w:szCs w:val="22"/>
        </w:rPr>
        <w:t xml:space="preserve"> for those directly involved in any aspect of triage decision-making.</w:t>
      </w:r>
      <w:r w:rsidR="00A71DC9">
        <w:rPr>
          <w:sz w:val="22"/>
          <w:szCs w:val="22"/>
        </w:rPr>
        <w:t xml:space="preserve"> The reduction or elimination of bias in decision-making should also be pursued by ensuring</w:t>
      </w:r>
      <w:r w:rsidR="00A71DC9" w:rsidRPr="00A71DC9">
        <w:rPr>
          <w:sz w:val="22"/>
          <w:szCs w:val="22"/>
        </w:rPr>
        <w:t xml:space="preserve"> appropriate and inclusive representation </w:t>
      </w:r>
      <w:r w:rsidR="00A71DC9">
        <w:rPr>
          <w:sz w:val="22"/>
          <w:szCs w:val="22"/>
        </w:rPr>
        <w:t>among decision-makers.</w:t>
      </w:r>
    </w:p>
    <w:p w14:paraId="4FE55FAF" w14:textId="5AE4852C" w:rsidR="109A04B4" w:rsidRPr="00DD53AE" w:rsidRDefault="7FAEC90C" w:rsidP="00DD53AE">
      <w:pPr>
        <w:pStyle w:val="ListParagraph"/>
        <w:numPr>
          <w:ilvl w:val="0"/>
          <w:numId w:val="1"/>
        </w:numPr>
        <w:rPr>
          <w:rFonts w:eastAsiaTheme="minorEastAsia"/>
          <w:sz w:val="22"/>
          <w:szCs w:val="22"/>
        </w:rPr>
      </w:pPr>
      <w:r w:rsidRPr="4769E595">
        <w:rPr>
          <w:sz w:val="22"/>
          <w:szCs w:val="22"/>
        </w:rPr>
        <w:t>Ensure that adequate and timely transportation exists for patients living in rural and remote communities to access critical care.</w:t>
      </w:r>
    </w:p>
    <w:p w14:paraId="0BD5C66C" w14:textId="77777777" w:rsidR="00DD53AE" w:rsidRPr="00DD53AE" w:rsidRDefault="00DD53AE" w:rsidP="00DD53AE">
      <w:pPr>
        <w:pStyle w:val="ListParagraph"/>
        <w:rPr>
          <w:rFonts w:eastAsiaTheme="minorEastAsia"/>
          <w:sz w:val="22"/>
          <w:szCs w:val="22"/>
        </w:rPr>
      </w:pPr>
    </w:p>
    <w:p w14:paraId="12E66690" w14:textId="616E0CFC" w:rsidR="066B1F1A" w:rsidRDefault="066B1F1A" w:rsidP="00DD53AE">
      <w:pPr>
        <w:pStyle w:val="Heading3"/>
      </w:pPr>
      <w:r w:rsidRPr="500AFCFA">
        <w:t>Conclu</w:t>
      </w:r>
      <w:r w:rsidR="594F5435" w:rsidRPr="500AFCFA">
        <w:t>ding Recommendations for Next Steps Regarding Ontario’s Approach to Critical Care Triage in the Context of a Major Surge in Demand</w:t>
      </w:r>
    </w:p>
    <w:p w14:paraId="4DD04D96" w14:textId="4B56B580" w:rsidR="002705D9" w:rsidRDefault="002705D9" w:rsidP="500AFCFA">
      <w:pPr>
        <w:rPr>
          <w:rFonts w:eastAsiaTheme="minorEastAsia"/>
          <w:sz w:val="22"/>
          <w:szCs w:val="22"/>
        </w:rPr>
      </w:pPr>
      <w:r>
        <w:rPr>
          <w:rFonts w:eastAsiaTheme="minorEastAsia"/>
          <w:sz w:val="22"/>
          <w:szCs w:val="22"/>
        </w:rPr>
        <w:t xml:space="preserve">The following steps should be </w:t>
      </w:r>
      <w:r w:rsidR="00EB1D5D">
        <w:rPr>
          <w:rFonts w:eastAsiaTheme="minorEastAsia"/>
          <w:sz w:val="22"/>
          <w:szCs w:val="22"/>
        </w:rPr>
        <w:t xml:space="preserve">immediately </w:t>
      </w:r>
      <w:r>
        <w:rPr>
          <w:rFonts w:eastAsiaTheme="minorEastAsia"/>
          <w:sz w:val="22"/>
          <w:szCs w:val="22"/>
        </w:rPr>
        <w:t>taken in order to further develop and implement an approach to critical care triage in the context of a major surge in demand in Ontario:</w:t>
      </w:r>
    </w:p>
    <w:p w14:paraId="6FF62BA9" w14:textId="77777777" w:rsidR="00030FAC" w:rsidRPr="002705D9" w:rsidRDefault="00030FAC" w:rsidP="500AFCFA">
      <w:pPr>
        <w:rPr>
          <w:rFonts w:eastAsiaTheme="minorEastAsia"/>
          <w:sz w:val="22"/>
          <w:szCs w:val="22"/>
        </w:rPr>
      </w:pPr>
    </w:p>
    <w:p w14:paraId="798DE9AF" w14:textId="17F054A8" w:rsidR="00030FAC" w:rsidRDefault="00030FAC" w:rsidP="00030FAC">
      <w:pPr>
        <w:pStyle w:val="ListParagraph"/>
        <w:numPr>
          <w:ilvl w:val="0"/>
          <w:numId w:val="38"/>
        </w:numPr>
        <w:rPr>
          <w:rFonts w:eastAsiaTheme="minorEastAsia"/>
          <w:sz w:val="22"/>
          <w:szCs w:val="22"/>
        </w:rPr>
      </w:pPr>
      <w:r w:rsidRPr="500AFCFA">
        <w:rPr>
          <w:rFonts w:eastAsiaTheme="minorEastAsia"/>
          <w:sz w:val="22"/>
          <w:szCs w:val="22"/>
        </w:rPr>
        <w:lastRenderedPageBreak/>
        <w:t xml:space="preserve">Disseminate </w:t>
      </w:r>
      <w:r>
        <w:rPr>
          <w:rFonts w:eastAsiaTheme="minorEastAsia"/>
          <w:sz w:val="22"/>
          <w:szCs w:val="22"/>
        </w:rPr>
        <w:t>this document (hereafter referred to as ‘</w:t>
      </w:r>
      <w:r w:rsidRPr="00030FAC">
        <w:rPr>
          <w:rFonts w:eastAsiaTheme="minorEastAsia"/>
          <w:i/>
          <w:iCs/>
          <w:sz w:val="22"/>
          <w:szCs w:val="22"/>
        </w:rPr>
        <w:t>Proposed Framework</w:t>
      </w:r>
      <w:r>
        <w:rPr>
          <w:rFonts w:eastAsiaTheme="minorEastAsia"/>
          <w:sz w:val="22"/>
          <w:szCs w:val="22"/>
        </w:rPr>
        <w:t>’) to health system stakeholders</w:t>
      </w:r>
      <w:r w:rsidRPr="500AFCFA">
        <w:rPr>
          <w:rFonts w:eastAsiaTheme="minorEastAsia"/>
          <w:sz w:val="22"/>
          <w:szCs w:val="22"/>
        </w:rPr>
        <w:t xml:space="preserve"> as a proposed general approach and structure to critical care triage in the event of a major surge in demand during the COVID-19 pandemic.</w:t>
      </w:r>
    </w:p>
    <w:p w14:paraId="544AC60D" w14:textId="09464835" w:rsidR="00030FAC" w:rsidRDefault="00030FAC" w:rsidP="00030FAC">
      <w:pPr>
        <w:pStyle w:val="ListParagraph"/>
        <w:numPr>
          <w:ilvl w:val="0"/>
          <w:numId w:val="38"/>
        </w:numPr>
        <w:rPr>
          <w:rFonts w:eastAsiaTheme="minorEastAsia"/>
          <w:sz w:val="22"/>
          <w:szCs w:val="22"/>
        </w:rPr>
      </w:pPr>
      <w:r w:rsidRPr="00E769D8">
        <w:rPr>
          <w:rFonts w:eastAsiaTheme="minorEastAsia"/>
          <w:sz w:val="22"/>
          <w:szCs w:val="22"/>
        </w:rPr>
        <w:t xml:space="preserve">Publicize </w:t>
      </w:r>
      <w:r>
        <w:rPr>
          <w:rFonts w:eastAsiaTheme="minorEastAsia"/>
          <w:sz w:val="22"/>
          <w:szCs w:val="22"/>
        </w:rPr>
        <w:t xml:space="preserve">the </w:t>
      </w:r>
      <w:r>
        <w:rPr>
          <w:rFonts w:eastAsiaTheme="minorEastAsia"/>
          <w:i/>
          <w:iCs/>
          <w:sz w:val="22"/>
          <w:szCs w:val="22"/>
        </w:rPr>
        <w:t xml:space="preserve">Proposed Framework </w:t>
      </w:r>
      <w:r w:rsidRPr="00E769D8">
        <w:rPr>
          <w:rFonts w:eastAsiaTheme="minorEastAsia"/>
          <w:sz w:val="22"/>
          <w:szCs w:val="22"/>
        </w:rPr>
        <w:t>widely</w:t>
      </w:r>
      <w:r>
        <w:rPr>
          <w:rFonts w:eastAsiaTheme="minorEastAsia"/>
          <w:sz w:val="22"/>
          <w:szCs w:val="22"/>
        </w:rPr>
        <w:t>, both i</w:t>
      </w:r>
      <w:r w:rsidRPr="00E769D8">
        <w:rPr>
          <w:rFonts w:eastAsiaTheme="minorEastAsia"/>
          <w:sz w:val="22"/>
          <w:szCs w:val="22"/>
        </w:rPr>
        <w:t>n full and as an</w:t>
      </w:r>
      <w:r>
        <w:rPr>
          <w:rFonts w:eastAsiaTheme="minorEastAsia"/>
          <w:sz w:val="22"/>
          <w:szCs w:val="22"/>
        </w:rPr>
        <w:t xml:space="preserve"> accessible and plain language version, and i</w:t>
      </w:r>
      <w:r w:rsidRPr="500AFCFA">
        <w:rPr>
          <w:rFonts w:eastAsiaTheme="minorEastAsia"/>
          <w:sz w:val="22"/>
          <w:szCs w:val="22"/>
        </w:rPr>
        <w:t>nvite public input and feedback within a defined timeframe</w:t>
      </w:r>
      <w:r>
        <w:rPr>
          <w:rFonts w:eastAsiaTheme="minorEastAsia"/>
          <w:sz w:val="22"/>
          <w:szCs w:val="22"/>
        </w:rPr>
        <w:t>.</w:t>
      </w:r>
    </w:p>
    <w:p w14:paraId="539CB4B7" w14:textId="5F4249D5" w:rsidR="00030FAC" w:rsidRPr="006367B2" w:rsidRDefault="00030FAC" w:rsidP="00030FAC">
      <w:pPr>
        <w:pStyle w:val="ListParagraph"/>
        <w:numPr>
          <w:ilvl w:val="0"/>
          <w:numId w:val="38"/>
        </w:numPr>
        <w:rPr>
          <w:rFonts w:eastAsiaTheme="minorEastAsia"/>
          <w:sz w:val="22"/>
          <w:szCs w:val="22"/>
        </w:rPr>
      </w:pPr>
      <w:r w:rsidRPr="006C6C4A">
        <w:rPr>
          <w:rFonts w:eastAsiaTheme="minorEastAsia"/>
          <w:sz w:val="22"/>
          <w:szCs w:val="22"/>
        </w:rPr>
        <w:t xml:space="preserve">Ensure liability protection for all those who would be involved in implementing the </w:t>
      </w:r>
      <w:r w:rsidRPr="006C6C4A">
        <w:rPr>
          <w:rFonts w:eastAsiaTheme="minorEastAsia"/>
          <w:i/>
          <w:iCs/>
          <w:sz w:val="22"/>
          <w:szCs w:val="22"/>
        </w:rPr>
        <w:t>Proposed Framework</w:t>
      </w:r>
      <w:r w:rsidRPr="006C6C4A">
        <w:rPr>
          <w:rFonts w:eastAsiaTheme="minorEastAsia"/>
          <w:sz w:val="22"/>
          <w:szCs w:val="22"/>
        </w:rPr>
        <w:t xml:space="preserve"> (</w:t>
      </w:r>
      <w:r>
        <w:rPr>
          <w:rFonts w:eastAsiaTheme="minorEastAsia"/>
          <w:sz w:val="22"/>
          <w:szCs w:val="22"/>
        </w:rPr>
        <w:t xml:space="preserve">e.g., </w:t>
      </w:r>
      <w:r w:rsidRPr="006C6C4A">
        <w:rPr>
          <w:rFonts w:eastAsiaTheme="minorEastAsia"/>
          <w:sz w:val="22"/>
          <w:szCs w:val="22"/>
        </w:rPr>
        <w:t>physicians, clinical teams, Triage Team members, Appeals Committee members, implementation planners, etc</w:t>
      </w:r>
      <w:r>
        <w:rPr>
          <w:rFonts w:eastAsiaTheme="minorEastAsia"/>
          <w:sz w:val="22"/>
          <w:szCs w:val="22"/>
        </w:rPr>
        <w:t>.</w:t>
      </w:r>
      <w:r w:rsidRPr="006C6C4A">
        <w:rPr>
          <w:rFonts w:eastAsiaTheme="minorEastAsia"/>
          <w:sz w:val="22"/>
          <w:szCs w:val="22"/>
        </w:rPr>
        <w:t xml:space="preserve">), including an Emergency Order related to any aspect requiring a deviation from the Health Care Consent Act. It would also be advisable to seek independent legal review of the </w:t>
      </w:r>
      <w:r w:rsidRPr="00030FAC">
        <w:rPr>
          <w:rFonts w:eastAsiaTheme="minorEastAsia"/>
          <w:i/>
          <w:iCs/>
          <w:sz w:val="22"/>
          <w:szCs w:val="22"/>
        </w:rPr>
        <w:t>Proposed Framework</w:t>
      </w:r>
      <w:r w:rsidRPr="006C6C4A">
        <w:rPr>
          <w:rFonts w:eastAsiaTheme="minorEastAsia"/>
          <w:sz w:val="22"/>
          <w:szCs w:val="22"/>
        </w:rPr>
        <w:t xml:space="preserve"> as a solid legal basis for </w:t>
      </w:r>
      <w:r>
        <w:rPr>
          <w:rFonts w:eastAsiaTheme="minorEastAsia"/>
          <w:sz w:val="22"/>
          <w:szCs w:val="22"/>
        </w:rPr>
        <w:t>the following three recommended next steps</w:t>
      </w:r>
      <w:r w:rsidRPr="006367B2">
        <w:rPr>
          <w:rFonts w:eastAsiaTheme="minorEastAsia"/>
          <w:sz w:val="22"/>
          <w:szCs w:val="22"/>
        </w:rPr>
        <w:t>.</w:t>
      </w:r>
    </w:p>
    <w:p w14:paraId="3DCDC212" w14:textId="77777777" w:rsidR="00030FAC" w:rsidRDefault="00030FAC" w:rsidP="00030FAC">
      <w:pPr>
        <w:pStyle w:val="ListParagraph"/>
        <w:numPr>
          <w:ilvl w:val="0"/>
          <w:numId w:val="38"/>
        </w:numPr>
        <w:rPr>
          <w:rFonts w:eastAsiaTheme="minorEastAsia"/>
          <w:sz w:val="22"/>
          <w:szCs w:val="22"/>
        </w:rPr>
      </w:pPr>
      <w:r w:rsidRPr="00A10B44">
        <w:rPr>
          <w:rFonts w:eastAsiaTheme="minorEastAsia"/>
          <w:sz w:val="22"/>
          <w:szCs w:val="22"/>
        </w:rPr>
        <w:t xml:space="preserve">Convene a multidisciplinary consensus panel to further develop and refine the clinical factors and tools (Appendix C of the </w:t>
      </w:r>
      <w:r w:rsidRPr="00A10B44">
        <w:rPr>
          <w:rFonts w:eastAsiaTheme="minorEastAsia"/>
          <w:i/>
          <w:iCs/>
          <w:sz w:val="22"/>
          <w:szCs w:val="22"/>
        </w:rPr>
        <w:t>Proposed Framework</w:t>
      </w:r>
      <w:r w:rsidRPr="00A10B44">
        <w:rPr>
          <w:rFonts w:eastAsiaTheme="minorEastAsia"/>
          <w:sz w:val="22"/>
          <w:szCs w:val="22"/>
        </w:rPr>
        <w:t>, hereafter understood as</w:t>
      </w:r>
      <w:r w:rsidRPr="00A10B44">
        <w:rPr>
          <w:rFonts w:eastAsiaTheme="minorEastAsia"/>
          <w:i/>
          <w:iCs/>
          <w:sz w:val="22"/>
          <w:szCs w:val="22"/>
        </w:rPr>
        <w:t xml:space="preserve"> ‘Clinical Assessment Guidelines’</w:t>
      </w:r>
      <w:r w:rsidRPr="00A10B44">
        <w:rPr>
          <w:rFonts w:eastAsiaTheme="minorEastAsia"/>
          <w:sz w:val="22"/>
          <w:szCs w:val="22"/>
        </w:rPr>
        <w:t xml:space="preserve">) that clinicians should be expected to use for critical care triage based on best available evidence and within the guiding principles of the </w:t>
      </w:r>
      <w:r w:rsidRPr="00A10B44">
        <w:rPr>
          <w:rFonts w:eastAsiaTheme="minorEastAsia"/>
          <w:i/>
          <w:iCs/>
          <w:sz w:val="22"/>
          <w:szCs w:val="22"/>
        </w:rPr>
        <w:t>Proposed Framework</w:t>
      </w:r>
      <w:r w:rsidRPr="00A10B44">
        <w:rPr>
          <w:rFonts w:eastAsiaTheme="minorEastAsia"/>
          <w:sz w:val="22"/>
          <w:szCs w:val="22"/>
        </w:rPr>
        <w:t xml:space="preserve">. Such a panel should </w:t>
      </w:r>
      <w:r>
        <w:rPr>
          <w:rFonts w:eastAsiaTheme="minorEastAsia"/>
          <w:sz w:val="22"/>
          <w:szCs w:val="22"/>
        </w:rPr>
        <w:t>include</w:t>
      </w:r>
      <w:r w:rsidRPr="00A10B44">
        <w:rPr>
          <w:rFonts w:eastAsiaTheme="minorEastAsia"/>
          <w:sz w:val="22"/>
          <w:szCs w:val="22"/>
        </w:rPr>
        <w:t xml:space="preserve"> and engage the input of experts in critical care, other clinical disciplines, ethics, human rights and law, and the perspectives of those</w:t>
      </w:r>
      <w:r>
        <w:rPr>
          <w:rFonts w:eastAsiaTheme="minorEastAsia"/>
          <w:sz w:val="22"/>
          <w:szCs w:val="22"/>
        </w:rPr>
        <w:t xml:space="preserve"> whose voices are usually not heard but</w:t>
      </w:r>
      <w:r w:rsidRPr="00A10B44">
        <w:rPr>
          <w:rFonts w:eastAsiaTheme="minorEastAsia"/>
          <w:sz w:val="22"/>
          <w:szCs w:val="22"/>
        </w:rPr>
        <w:t xml:space="preserve"> may be disproportionately affected by critical care triage. </w:t>
      </w:r>
    </w:p>
    <w:p w14:paraId="199B1478" w14:textId="77777777" w:rsidR="00030FAC" w:rsidRPr="00A10B44" w:rsidRDefault="00030FAC" w:rsidP="00030FAC">
      <w:pPr>
        <w:pStyle w:val="ListParagraph"/>
        <w:numPr>
          <w:ilvl w:val="0"/>
          <w:numId w:val="38"/>
        </w:numPr>
        <w:rPr>
          <w:rFonts w:eastAsiaTheme="minorEastAsia"/>
          <w:sz w:val="22"/>
          <w:szCs w:val="22"/>
        </w:rPr>
      </w:pPr>
      <w:r w:rsidRPr="00A10B44">
        <w:rPr>
          <w:rFonts w:eastAsiaTheme="minorEastAsia"/>
          <w:sz w:val="22"/>
          <w:szCs w:val="22"/>
        </w:rPr>
        <w:t>‘</w:t>
      </w:r>
      <w:proofErr w:type="spellStart"/>
      <w:r w:rsidRPr="00A10B44">
        <w:rPr>
          <w:rFonts w:eastAsiaTheme="minorEastAsia"/>
          <w:sz w:val="22"/>
          <w:szCs w:val="22"/>
        </w:rPr>
        <w:t>Protocolize</w:t>
      </w:r>
      <w:proofErr w:type="spellEnd"/>
      <w:r w:rsidRPr="00A10B44">
        <w:rPr>
          <w:rFonts w:eastAsiaTheme="minorEastAsia"/>
          <w:sz w:val="22"/>
          <w:szCs w:val="22"/>
        </w:rPr>
        <w:t xml:space="preserve">’ the </w:t>
      </w:r>
      <w:r w:rsidRPr="00A10B44">
        <w:rPr>
          <w:rFonts w:eastAsiaTheme="minorEastAsia"/>
          <w:i/>
          <w:iCs/>
          <w:sz w:val="22"/>
          <w:szCs w:val="22"/>
        </w:rPr>
        <w:t xml:space="preserve">Proposed Framework </w:t>
      </w:r>
      <w:r w:rsidRPr="00A10B44">
        <w:rPr>
          <w:rFonts w:eastAsiaTheme="minorEastAsia"/>
          <w:sz w:val="22"/>
          <w:szCs w:val="22"/>
        </w:rPr>
        <w:t xml:space="preserve">following public input and the refinement of the </w:t>
      </w:r>
      <w:r w:rsidRPr="00A10B44">
        <w:rPr>
          <w:rFonts w:eastAsiaTheme="minorEastAsia"/>
          <w:i/>
          <w:iCs/>
          <w:sz w:val="22"/>
          <w:szCs w:val="22"/>
        </w:rPr>
        <w:t>Clinical Assessment Guidelines</w:t>
      </w:r>
      <w:r w:rsidRPr="00A10B44">
        <w:rPr>
          <w:rFonts w:eastAsiaTheme="minorEastAsia"/>
          <w:sz w:val="22"/>
          <w:szCs w:val="22"/>
        </w:rPr>
        <w:t xml:space="preserve"> so that there is a consistent, health system-wide approach to be followed in the event that Ontario is faced with a major surge in demand for critical care during the COVID-19 pandemic. This protocol (hereafter: </w:t>
      </w:r>
      <w:r w:rsidRPr="00A10B44">
        <w:rPr>
          <w:rFonts w:eastAsiaTheme="minorEastAsia"/>
          <w:i/>
          <w:iCs/>
          <w:sz w:val="22"/>
          <w:szCs w:val="22"/>
        </w:rPr>
        <w:t>‘the Protocol’</w:t>
      </w:r>
      <w:r w:rsidRPr="00A10B44">
        <w:rPr>
          <w:rFonts w:eastAsiaTheme="minorEastAsia"/>
          <w:sz w:val="22"/>
          <w:szCs w:val="22"/>
        </w:rPr>
        <w:t xml:space="preserve">) should include both the </w:t>
      </w:r>
      <w:r w:rsidRPr="00A10B44">
        <w:rPr>
          <w:rFonts w:eastAsiaTheme="minorEastAsia"/>
          <w:i/>
          <w:iCs/>
          <w:sz w:val="22"/>
          <w:szCs w:val="22"/>
        </w:rPr>
        <w:t>Proposed</w:t>
      </w:r>
      <w:r w:rsidRPr="00A10B44">
        <w:rPr>
          <w:rFonts w:eastAsiaTheme="minorEastAsia"/>
          <w:sz w:val="22"/>
          <w:szCs w:val="22"/>
        </w:rPr>
        <w:t xml:space="preserve"> </w:t>
      </w:r>
      <w:r w:rsidRPr="00A10B44">
        <w:rPr>
          <w:rFonts w:eastAsiaTheme="minorEastAsia"/>
          <w:i/>
          <w:iCs/>
          <w:sz w:val="22"/>
          <w:szCs w:val="22"/>
        </w:rPr>
        <w:t xml:space="preserve">Framework </w:t>
      </w:r>
      <w:r w:rsidRPr="00A10B44">
        <w:rPr>
          <w:rFonts w:eastAsiaTheme="minorEastAsia"/>
          <w:sz w:val="22"/>
          <w:szCs w:val="22"/>
        </w:rPr>
        <w:t xml:space="preserve">and the </w:t>
      </w:r>
      <w:r w:rsidRPr="00A10B44">
        <w:rPr>
          <w:rFonts w:eastAsiaTheme="minorEastAsia"/>
          <w:i/>
          <w:iCs/>
          <w:sz w:val="22"/>
          <w:szCs w:val="22"/>
        </w:rPr>
        <w:t>Clinical Assessment Guidelines</w:t>
      </w:r>
      <w:r w:rsidRPr="00A10B44">
        <w:rPr>
          <w:rFonts w:eastAsiaTheme="minorEastAsia"/>
          <w:sz w:val="22"/>
          <w:szCs w:val="22"/>
        </w:rPr>
        <w:t>.</w:t>
      </w:r>
    </w:p>
    <w:p w14:paraId="6D6CF098" w14:textId="77777777" w:rsidR="00030FAC" w:rsidRDefault="00030FAC" w:rsidP="00030FAC">
      <w:pPr>
        <w:pStyle w:val="ListParagraph"/>
        <w:numPr>
          <w:ilvl w:val="0"/>
          <w:numId w:val="38"/>
        </w:numPr>
        <w:rPr>
          <w:rFonts w:eastAsiaTheme="minorEastAsia"/>
          <w:sz w:val="22"/>
          <w:szCs w:val="22"/>
        </w:rPr>
      </w:pPr>
      <w:r w:rsidRPr="00A71CEF">
        <w:rPr>
          <w:rFonts w:eastAsiaTheme="minorEastAsia"/>
          <w:sz w:val="22"/>
          <w:szCs w:val="22"/>
        </w:rPr>
        <w:t xml:space="preserve">Engage health system partners in developing guidance for the implementation of </w:t>
      </w:r>
      <w:r w:rsidRPr="00A71CEF">
        <w:rPr>
          <w:rFonts w:eastAsiaTheme="minorEastAsia"/>
          <w:i/>
          <w:iCs/>
          <w:sz w:val="22"/>
          <w:szCs w:val="22"/>
        </w:rPr>
        <w:t>the Protocol</w:t>
      </w:r>
      <w:r w:rsidRPr="00A71CEF">
        <w:rPr>
          <w:rFonts w:eastAsiaTheme="minorEastAsia"/>
          <w:sz w:val="22"/>
          <w:szCs w:val="22"/>
        </w:rPr>
        <w:t xml:space="preserve"> in Ontario hospitals, including clinical operations, communications, patient supports, clinician supports, education/training, data collection</w:t>
      </w:r>
      <w:r>
        <w:rPr>
          <w:rFonts w:eastAsiaTheme="minorEastAsia"/>
          <w:sz w:val="22"/>
          <w:szCs w:val="22"/>
        </w:rPr>
        <w:t>,</w:t>
      </w:r>
      <w:r w:rsidRPr="00A71CEF">
        <w:rPr>
          <w:rFonts w:eastAsiaTheme="minorEastAsia"/>
          <w:sz w:val="22"/>
          <w:szCs w:val="22"/>
        </w:rPr>
        <w:t xml:space="preserve"> and monitoring</w:t>
      </w:r>
      <w:r>
        <w:rPr>
          <w:rFonts w:eastAsiaTheme="minorEastAsia"/>
          <w:sz w:val="22"/>
          <w:szCs w:val="22"/>
        </w:rPr>
        <w:t>.</w:t>
      </w:r>
    </w:p>
    <w:p w14:paraId="0756EF7C" w14:textId="21C21689" w:rsidR="00030FAC" w:rsidRPr="006367B2" w:rsidRDefault="00030FAC" w:rsidP="00030FAC">
      <w:pPr>
        <w:pStyle w:val="ListParagraph"/>
        <w:numPr>
          <w:ilvl w:val="0"/>
          <w:numId w:val="38"/>
        </w:numPr>
        <w:rPr>
          <w:rFonts w:eastAsiaTheme="minorEastAsia"/>
          <w:sz w:val="22"/>
          <w:szCs w:val="22"/>
        </w:rPr>
      </w:pPr>
      <w:r w:rsidRPr="006367B2">
        <w:rPr>
          <w:rFonts w:eastAsiaTheme="minorEastAsia"/>
          <w:sz w:val="22"/>
          <w:szCs w:val="22"/>
        </w:rPr>
        <w:t>Ensure that the perspectives and participation of those representing Indigenous people, Black and racialized communities, persons with disabilities</w:t>
      </w:r>
      <w:r>
        <w:rPr>
          <w:rFonts w:eastAsiaTheme="minorEastAsia"/>
          <w:sz w:val="22"/>
          <w:szCs w:val="22"/>
        </w:rPr>
        <w:t>,</w:t>
      </w:r>
      <w:r w:rsidRPr="006367B2">
        <w:rPr>
          <w:rFonts w:eastAsiaTheme="minorEastAsia"/>
          <w:sz w:val="22"/>
          <w:szCs w:val="22"/>
        </w:rPr>
        <w:t xml:space="preserve"> and others who may be disproportionately affected by critical care triage due to systemic discrimination, are proactively and meaningfully engaged </w:t>
      </w:r>
      <w:r>
        <w:rPr>
          <w:rFonts w:eastAsiaTheme="minorEastAsia"/>
          <w:sz w:val="22"/>
          <w:szCs w:val="22"/>
        </w:rPr>
        <w:t xml:space="preserve">particularly </w:t>
      </w:r>
      <w:r w:rsidRPr="006367B2">
        <w:rPr>
          <w:rFonts w:eastAsiaTheme="minorEastAsia"/>
          <w:sz w:val="22"/>
          <w:szCs w:val="22"/>
        </w:rPr>
        <w:t>in</w:t>
      </w:r>
      <w:r>
        <w:rPr>
          <w:rFonts w:eastAsiaTheme="minorEastAsia"/>
          <w:sz w:val="22"/>
          <w:szCs w:val="22"/>
        </w:rPr>
        <w:t xml:space="preserve"> relation to</w:t>
      </w:r>
      <w:r w:rsidRPr="006367B2">
        <w:rPr>
          <w:rFonts w:eastAsiaTheme="minorEastAsia"/>
          <w:sz w:val="22"/>
          <w:szCs w:val="22"/>
        </w:rPr>
        <w:t xml:space="preserve"> </w:t>
      </w:r>
      <w:r>
        <w:rPr>
          <w:rFonts w:eastAsiaTheme="minorEastAsia"/>
          <w:sz w:val="22"/>
          <w:szCs w:val="22"/>
        </w:rPr>
        <w:t>the preceding three recommended next steps</w:t>
      </w:r>
      <w:r w:rsidRPr="006367B2">
        <w:rPr>
          <w:rFonts w:eastAsiaTheme="minorEastAsia"/>
          <w:sz w:val="22"/>
          <w:szCs w:val="22"/>
        </w:rPr>
        <w:t>.</w:t>
      </w:r>
    </w:p>
    <w:p w14:paraId="2D2E09B1" w14:textId="77777777" w:rsidR="00030FAC" w:rsidRDefault="00030FAC" w:rsidP="00030FAC">
      <w:pPr>
        <w:pStyle w:val="ListParagraph"/>
        <w:numPr>
          <w:ilvl w:val="0"/>
          <w:numId w:val="38"/>
        </w:numPr>
        <w:rPr>
          <w:rFonts w:eastAsiaTheme="minorEastAsia"/>
          <w:sz w:val="22"/>
          <w:szCs w:val="22"/>
        </w:rPr>
      </w:pPr>
      <w:r w:rsidRPr="500AFCFA">
        <w:rPr>
          <w:rFonts w:eastAsiaTheme="minorEastAsia"/>
          <w:sz w:val="22"/>
          <w:szCs w:val="22"/>
        </w:rPr>
        <w:t xml:space="preserve">Clarify the governance and accountabilities for Ontario’s approach to critical care triage during a major surge, including but not limited to: </w:t>
      </w:r>
      <w:proofErr w:type="spellStart"/>
      <w:r w:rsidRPr="500AFCFA">
        <w:rPr>
          <w:rFonts w:eastAsiaTheme="minorEastAsia"/>
          <w:sz w:val="22"/>
          <w:szCs w:val="22"/>
        </w:rPr>
        <w:t>i</w:t>
      </w:r>
      <w:proofErr w:type="spellEnd"/>
      <w:r w:rsidRPr="500AFCFA">
        <w:rPr>
          <w:rFonts w:eastAsiaTheme="minorEastAsia"/>
          <w:sz w:val="22"/>
          <w:szCs w:val="22"/>
        </w:rPr>
        <w:t>) initiation of triage for major surge, ii) data collection, and iii) monitoring. Within this governance structure, establish and/or identify a body to monitor, review, and revise Ontario’s approach to critical care triage to ensure it is achieving the aim for which it is intended and is not leading to unintended adverse consequences.</w:t>
      </w:r>
    </w:p>
    <w:p w14:paraId="5A369421" w14:textId="77777777" w:rsidR="00030FAC" w:rsidRPr="006367B2" w:rsidRDefault="00030FAC" w:rsidP="00030FAC">
      <w:pPr>
        <w:pStyle w:val="ListParagraph"/>
        <w:numPr>
          <w:ilvl w:val="0"/>
          <w:numId w:val="38"/>
        </w:numPr>
        <w:rPr>
          <w:rFonts w:eastAsiaTheme="minorEastAsia"/>
          <w:sz w:val="22"/>
          <w:szCs w:val="22"/>
        </w:rPr>
      </w:pPr>
      <w:r w:rsidRPr="006367B2">
        <w:rPr>
          <w:rFonts w:eastAsiaTheme="minorEastAsia"/>
          <w:sz w:val="22"/>
          <w:szCs w:val="22"/>
        </w:rPr>
        <w:t>Sustain efforts to prevent and mitigate the risk of a major surge in demand for critical care, and in particular the disproportionate effect that a major surge may have on the least advantaged. This should include enhanced efforts to ensure that key public health prevention and mitigation strategies</w:t>
      </w:r>
      <w:r>
        <w:rPr>
          <w:rFonts w:eastAsiaTheme="minorEastAsia"/>
          <w:sz w:val="22"/>
          <w:szCs w:val="22"/>
        </w:rPr>
        <w:t xml:space="preserve"> </w:t>
      </w:r>
      <w:r w:rsidRPr="006367B2">
        <w:rPr>
          <w:rFonts w:eastAsiaTheme="minorEastAsia"/>
          <w:sz w:val="22"/>
          <w:szCs w:val="22"/>
        </w:rPr>
        <w:t>(e.g., face masks, testing, social distancing, contact tracing</w:t>
      </w:r>
      <w:r>
        <w:rPr>
          <w:rFonts w:eastAsiaTheme="minorEastAsia"/>
          <w:sz w:val="22"/>
          <w:szCs w:val="22"/>
        </w:rPr>
        <w:t>, etc.</w:t>
      </w:r>
      <w:r w:rsidRPr="006367B2">
        <w:rPr>
          <w:rFonts w:eastAsiaTheme="minorEastAsia"/>
          <w:sz w:val="22"/>
          <w:szCs w:val="22"/>
        </w:rPr>
        <w:t>) are available, are community-based, and aim to address vulnerabilities among communities at greatest risk.</w:t>
      </w:r>
    </w:p>
    <w:p w14:paraId="4BA5F4A2" w14:textId="77777777" w:rsidR="001652F1" w:rsidRPr="001652F1" w:rsidRDefault="001652F1" w:rsidP="001652F1">
      <w:pPr>
        <w:rPr>
          <w:rFonts w:eastAsiaTheme="minorEastAsia"/>
          <w:sz w:val="22"/>
          <w:szCs w:val="22"/>
        </w:rPr>
      </w:pPr>
    </w:p>
    <w:p w14:paraId="686F796E" w14:textId="1571987D" w:rsidR="006B698F" w:rsidRPr="002705D9" w:rsidRDefault="002705D9">
      <w:pPr>
        <w:rPr>
          <w:b/>
          <w:bCs/>
          <w:sz w:val="22"/>
          <w:szCs w:val="22"/>
        </w:rPr>
      </w:pPr>
      <w:r w:rsidRPr="002705D9">
        <w:rPr>
          <w:b/>
          <w:bCs/>
          <w:sz w:val="22"/>
          <w:szCs w:val="22"/>
        </w:rPr>
        <w:t>Ontario COVID-19 Bioethics Table</w:t>
      </w:r>
    </w:p>
    <w:p w14:paraId="2AD7F74E" w14:textId="5B5A4634" w:rsidR="00720862" w:rsidRDefault="002705D9">
      <w:pPr>
        <w:rPr>
          <w:b/>
          <w:bCs/>
        </w:rPr>
      </w:pPr>
      <w:r w:rsidRPr="002705D9">
        <w:rPr>
          <w:sz w:val="22"/>
          <w:szCs w:val="22"/>
        </w:rPr>
        <w:t>September 11, 2020</w:t>
      </w:r>
    </w:p>
    <w:p w14:paraId="7420B1A9" w14:textId="77777777" w:rsidR="00C8215D" w:rsidRDefault="00C8215D">
      <w:pPr>
        <w:rPr>
          <w:b/>
          <w:bCs/>
          <w:sz w:val="22"/>
          <w:szCs w:val="22"/>
        </w:rPr>
      </w:pPr>
      <w:r>
        <w:rPr>
          <w:b/>
          <w:bCs/>
          <w:sz w:val="22"/>
          <w:szCs w:val="22"/>
        </w:rPr>
        <w:br w:type="page"/>
      </w:r>
    </w:p>
    <w:p w14:paraId="661B3464" w14:textId="2BD70D29" w:rsidR="00720862" w:rsidRPr="00720862" w:rsidRDefault="00720862" w:rsidP="00C8215D">
      <w:pPr>
        <w:pStyle w:val="Heading2"/>
        <w:sectPr w:rsidR="00720862" w:rsidRPr="00720862" w:rsidSect="00286DA4">
          <w:headerReference w:type="default" r:id="rId14"/>
          <w:footerReference w:type="default" r:id="rId15"/>
          <w:footnotePr>
            <w:numFmt w:val="lowerLetter"/>
          </w:footnotePr>
          <w:endnotePr>
            <w:numFmt w:val="decimal"/>
          </w:endnotePr>
          <w:pgSz w:w="12240" w:h="15840"/>
          <w:pgMar w:top="1440" w:right="1440" w:bottom="1440" w:left="1440" w:header="708" w:footer="708" w:gutter="0"/>
          <w:cols w:space="708"/>
          <w:docGrid w:linePitch="360"/>
        </w:sectPr>
      </w:pPr>
      <w:r w:rsidRPr="00720862">
        <w:lastRenderedPageBreak/>
        <w:t>References</w:t>
      </w:r>
    </w:p>
    <w:p w14:paraId="13F1135E" w14:textId="589731AD" w:rsidR="003F107D" w:rsidRPr="00C8215D" w:rsidRDefault="00720862" w:rsidP="00C8215D">
      <w:pPr>
        <w:pStyle w:val="Heading2"/>
      </w:pPr>
      <w:r w:rsidRPr="00C8215D">
        <w:lastRenderedPageBreak/>
        <w:t>A</w:t>
      </w:r>
      <w:r w:rsidR="003F107D" w:rsidRPr="00C8215D">
        <w:t>ppendix</w:t>
      </w:r>
      <w:r w:rsidR="00404CFD" w:rsidRPr="00C8215D">
        <w:t xml:space="preserve"> A</w:t>
      </w:r>
      <w:r w:rsidRPr="00C8215D">
        <w:t>:</w:t>
      </w:r>
      <w:r w:rsidR="003666B9" w:rsidRPr="00C8215D">
        <w:t xml:space="preserve"> Backgrounder:</w:t>
      </w:r>
      <w:r w:rsidR="003F107D" w:rsidRPr="00C8215D">
        <w:t xml:space="preserve"> </w:t>
      </w:r>
      <w:r w:rsidR="003666B9" w:rsidRPr="00C8215D">
        <w:t>D</w:t>
      </w:r>
      <w:r w:rsidR="00057B7E" w:rsidRPr="00C8215D">
        <w:t xml:space="preserve">evelopment of </w:t>
      </w:r>
      <w:r w:rsidR="003666B9" w:rsidRPr="00C8215D">
        <w:t>the</w:t>
      </w:r>
      <w:r w:rsidR="00057B7E" w:rsidRPr="00C8215D">
        <w:t xml:space="preserve"> </w:t>
      </w:r>
      <w:r w:rsidR="003666B9" w:rsidRPr="00C8215D">
        <w:t>R</w:t>
      </w:r>
      <w:r w:rsidR="00057B7E" w:rsidRPr="00C8215D">
        <w:t>ecommendations</w:t>
      </w:r>
    </w:p>
    <w:p w14:paraId="2280A995" w14:textId="77777777" w:rsidR="003F107D" w:rsidRPr="00D31D59" w:rsidRDefault="003F107D" w:rsidP="00D31D59">
      <w:pPr>
        <w:contextualSpacing/>
        <w:rPr>
          <w:rFonts w:cstheme="minorHAnsi"/>
          <w:b/>
          <w:bCs/>
          <w:sz w:val="22"/>
          <w:szCs w:val="22"/>
        </w:rPr>
      </w:pPr>
    </w:p>
    <w:p w14:paraId="7B40B4B0" w14:textId="276E1CA9" w:rsidR="00D31D59" w:rsidRPr="00D31D59" w:rsidRDefault="00D31D59" w:rsidP="00D31D59">
      <w:pPr>
        <w:pStyle w:val="paragraph"/>
        <w:spacing w:before="0" w:beforeAutospacing="0" w:after="0" w:afterAutospacing="0"/>
        <w:contextualSpacing/>
        <w:textAlignment w:val="baseline"/>
        <w:rPr>
          <w:rStyle w:val="normaltextrun"/>
          <w:rFonts w:asciiTheme="minorHAnsi" w:hAnsiTheme="minorHAnsi" w:cstheme="minorHAnsi"/>
          <w:sz w:val="22"/>
          <w:szCs w:val="22"/>
        </w:rPr>
      </w:pPr>
      <w:r w:rsidRPr="00D31D59">
        <w:rPr>
          <w:rStyle w:val="normaltextrun"/>
          <w:rFonts w:asciiTheme="minorHAnsi" w:hAnsiTheme="minorHAnsi" w:cstheme="minorHAnsi"/>
          <w:sz w:val="22"/>
          <w:szCs w:val="22"/>
        </w:rPr>
        <w:t>This document was developed by the</w:t>
      </w:r>
      <w:r w:rsidR="00EB1D5D">
        <w:rPr>
          <w:rStyle w:val="normaltextrun"/>
          <w:rFonts w:asciiTheme="minorHAnsi" w:hAnsiTheme="minorHAnsi" w:cstheme="minorHAnsi"/>
          <w:sz w:val="22"/>
          <w:szCs w:val="22"/>
        </w:rPr>
        <w:t xml:space="preserve"> </w:t>
      </w:r>
      <w:hyperlink r:id="rId16" w:history="1">
        <w:r w:rsidR="00EB1D5D" w:rsidRPr="00EB1D5D">
          <w:rPr>
            <w:rStyle w:val="Hyperlink"/>
            <w:rFonts w:asciiTheme="minorHAnsi" w:hAnsiTheme="minorHAnsi" w:cstheme="minorHAnsi"/>
            <w:sz w:val="22"/>
            <w:szCs w:val="22"/>
          </w:rPr>
          <w:t>Ontario COVID-19 Bioethics Table</w:t>
        </w:r>
      </w:hyperlink>
      <w:r w:rsidRPr="00D31D59">
        <w:rPr>
          <w:rStyle w:val="normaltextrun"/>
          <w:rFonts w:asciiTheme="minorHAnsi" w:hAnsiTheme="minorHAnsi" w:cstheme="minorHAnsi"/>
          <w:sz w:val="22"/>
          <w:szCs w:val="22"/>
        </w:rPr>
        <w:t xml:space="preserve"> based on a review of the academic literature and published policy statements on critical care triage in a pandemic, consultation with clinical, legal, and other experts, and feedback from health system stakeholders. </w:t>
      </w:r>
      <w:r w:rsidRPr="00D31D59">
        <w:rPr>
          <w:rFonts w:asciiTheme="minorHAnsi" w:hAnsiTheme="minorHAnsi" w:cstheme="minorHAnsi"/>
          <w:color w:val="201F1E"/>
          <w:sz w:val="22"/>
          <w:szCs w:val="22"/>
          <w:shd w:val="clear" w:color="auto" w:fill="FFFFFF"/>
        </w:rPr>
        <w:t xml:space="preserve">It should be noted that previous </w:t>
      </w:r>
      <w:r w:rsidR="00390B56">
        <w:rPr>
          <w:rFonts w:asciiTheme="minorHAnsi" w:hAnsiTheme="minorHAnsi" w:cstheme="minorHAnsi"/>
          <w:color w:val="201F1E"/>
          <w:sz w:val="22"/>
          <w:szCs w:val="22"/>
          <w:shd w:val="clear" w:color="auto" w:fill="FFFFFF"/>
        </w:rPr>
        <w:t>drafts</w:t>
      </w:r>
      <w:r w:rsidRPr="00D31D59">
        <w:rPr>
          <w:rFonts w:asciiTheme="minorHAnsi" w:hAnsiTheme="minorHAnsi" w:cstheme="minorHAnsi"/>
          <w:color w:val="201F1E"/>
          <w:sz w:val="22"/>
          <w:szCs w:val="22"/>
          <w:shd w:val="clear" w:color="auto" w:fill="FFFFFF"/>
        </w:rPr>
        <w:t xml:space="preserve"> of the </w:t>
      </w:r>
      <w:r w:rsidR="00390B56">
        <w:rPr>
          <w:rFonts w:asciiTheme="minorHAnsi" w:hAnsiTheme="minorHAnsi" w:cstheme="minorHAnsi"/>
          <w:color w:val="201F1E"/>
          <w:sz w:val="22"/>
          <w:szCs w:val="22"/>
          <w:shd w:val="clear" w:color="auto" w:fill="FFFFFF"/>
        </w:rPr>
        <w:t>framework</w:t>
      </w:r>
      <w:r w:rsidRPr="00D31D59">
        <w:rPr>
          <w:rFonts w:asciiTheme="minorHAnsi" w:hAnsiTheme="minorHAnsi" w:cstheme="minorHAnsi"/>
          <w:color w:val="201F1E"/>
          <w:sz w:val="22"/>
          <w:szCs w:val="22"/>
          <w:shd w:val="clear" w:color="auto" w:fill="FFFFFF"/>
        </w:rPr>
        <w:t xml:space="preserve"> did not have consensus around the </w:t>
      </w:r>
      <w:r w:rsidR="00390B56">
        <w:rPr>
          <w:rFonts w:asciiTheme="minorHAnsi" w:hAnsiTheme="minorHAnsi" w:cstheme="minorHAnsi"/>
          <w:color w:val="201F1E"/>
          <w:sz w:val="22"/>
          <w:szCs w:val="22"/>
          <w:shd w:val="clear" w:color="auto" w:fill="FFFFFF"/>
        </w:rPr>
        <w:t xml:space="preserve">Bioethics </w:t>
      </w:r>
      <w:r w:rsidRPr="00D31D59">
        <w:rPr>
          <w:rFonts w:asciiTheme="minorHAnsi" w:hAnsiTheme="minorHAnsi" w:cstheme="minorHAnsi"/>
          <w:color w:val="201F1E"/>
          <w:sz w:val="22"/>
          <w:szCs w:val="22"/>
          <w:shd w:val="clear" w:color="auto" w:fill="FFFFFF"/>
        </w:rPr>
        <w:t xml:space="preserve">Table, and some matters remain unresolved. Topics were significantly debated, and comments were welcomed from stakeholder communities. </w:t>
      </w:r>
      <w:r w:rsidRPr="00D31D59">
        <w:rPr>
          <w:rStyle w:val="normaltextrun"/>
          <w:rFonts w:asciiTheme="minorHAnsi" w:hAnsiTheme="minorHAnsi" w:cstheme="minorHAnsi"/>
          <w:sz w:val="22"/>
          <w:szCs w:val="22"/>
        </w:rPr>
        <w:t>Feedback has been addressed to the greatest extent possible in this current version where appropriate.</w:t>
      </w:r>
    </w:p>
    <w:p w14:paraId="7C60B84C" w14:textId="77777777" w:rsidR="00D31D59" w:rsidRPr="00D31D59" w:rsidRDefault="00D31D59" w:rsidP="00D31D59">
      <w:pPr>
        <w:pStyle w:val="paragraph"/>
        <w:spacing w:before="0" w:beforeAutospacing="0" w:after="0" w:afterAutospacing="0"/>
        <w:contextualSpacing/>
        <w:textAlignment w:val="baseline"/>
        <w:rPr>
          <w:rStyle w:val="normaltextrun"/>
          <w:rFonts w:asciiTheme="minorHAnsi" w:hAnsiTheme="minorHAnsi" w:cstheme="minorHAnsi"/>
          <w:color w:val="0078D4"/>
          <w:sz w:val="22"/>
          <w:szCs w:val="22"/>
          <w:u w:val="single"/>
        </w:rPr>
      </w:pPr>
    </w:p>
    <w:p w14:paraId="258B3F43" w14:textId="77777777" w:rsidR="00D31D59" w:rsidRPr="00D31D59" w:rsidRDefault="00D31D59" w:rsidP="00D31D59">
      <w:pPr>
        <w:contextualSpacing/>
        <w:textAlignment w:val="baseline"/>
        <w:rPr>
          <w:rFonts w:eastAsia="Times New Roman" w:cstheme="minorHAnsi"/>
          <w:color w:val="000000" w:themeColor="text1"/>
          <w:sz w:val="22"/>
          <w:szCs w:val="22"/>
          <w:lang w:eastAsia="en-CA"/>
        </w:rPr>
      </w:pPr>
      <w:r w:rsidRPr="00D31D59">
        <w:rPr>
          <w:rFonts w:eastAsia="Times New Roman" w:cstheme="minorHAnsi"/>
          <w:color w:val="000000" w:themeColor="text1"/>
          <w:sz w:val="22"/>
          <w:szCs w:val="22"/>
          <w:lang w:eastAsia="en-CA"/>
        </w:rPr>
        <w:t xml:space="preserve">Development of the </w:t>
      </w:r>
      <w:r w:rsidRPr="00D31D59">
        <w:rPr>
          <w:rFonts w:eastAsia="Times New Roman" w:cstheme="minorHAnsi"/>
          <w:i/>
          <w:iCs/>
          <w:color w:val="000000" w:themeColor="text1"/>
          <w:sz w:val="22"/>
          <w:szCs w:val="22"/>
          <w:lang w:eastAsia="en-CA"/>
        </w:rPr>
        <w:t>Proposed Framework</w:t>
      </w:r>
      <w:r w:rsidRPr="00D31D59">
        <w:rPr>
          <w:rFonts w:eastAsia="Times New Roman" w:cstheme="minorHAnsi"/>
          <w:color w:val="000000" w:themeColor="text1"/>
          <w:sz w:val="22"/>
          <w:szCs w:val="22"/>
          <w:lang w:eastAsia="en-CA"/>
        </w:rPr>
        <w:t xml:space="preserve"> was undertaken in three phases over March-August 2020: </w:t>
      </w:r>
    </w:p>
    <w:p w14:paraId="6A06A65C" w14:textId="2F54B203" w:rsidR="00D31D59" w:rsidRPr="00D31D59" w:rsidRDefault="00D31D59" w:rsidP="00D31D59">
      <w:pPr>
        <w:pStyle w:val="ListParagraph"/>
        <w:numPr>
          <w:ilvl w:val="0"/>
          <w:numId w:val="33"/>
        </w:numPr>
        <w:textAlignment w:val="baseline"/>
        <w:rPr>
          <w:rFonts w:eastAsia="Times New Roman" w:cstheme="minorHAnsi"/>
          <w:color w:val="000000" w:themeColor="text1"/>
          <w:sz w:val="22"/>
          <w:szCs w:val="22"/>
          <w:lang w:eastAsia="en-CA"/>
        </w:rPr>
      </w:pPr>
      <w:r w:rsidRPr="00D31D59">
        <w:rPr>
          <w:rFonts w:eastAsia="Times New Roman" w:cstheme="minorHAnsi"/>
          <w:color w:val="000000" w:themeColor="text1"/>
          <w:sz w:val="22"/>
          <w:szCs w:val="22"/>
          <w:lang w:eastAsia="en-CA"/>
        </w:rPr>
        <w:t>In Phase 1, an initial draft framework was developed in March 2020 in response to an urgent need for the Ontario health system to prepare for the possibility of a major surge in demand for critical care as was being observed in Italy, Spain, and New York State. The initial draft was released to hospitals on March 28</w:t>
      </w:r>
      <w:r w:rsidRPr="00D31D59">
        <w:rPr>
          <w:rFonts w:eastAsia="Times New Roman" w:cstheme="minorHAnsi"/>
          <w:color w:val="000000" w:themeColor="text1"/>
          <w:sz w:val="22"/>
          <w:szCs w:val="22"/>
          <w:vertAlign w:val="superscript"/>
          <w:lang w:eastAsia="en-CA"/>
        </w:rPr>
        <w:t>th</w:t>
      </w:r>
      <w:r w:rsidRPr="00D31D59">
        <w:rPr>
          <w:rFonts w:eastAsia="Times New Roman" w:cstheme="minorHAnsi"/>
          <w:color w:val="000000" w:themeColor="text1"/>
          <w:sz w:val="22"/>
          <w:szCs w:val="22"/>
          <w:lang w:eastAsia="en-CA"/>
        </w:rPr>
        <w:t xml:space="preserve"> to aid planning. A major surge in demand for critical care was averted in Ontario. This</w:t>
      </w:r>
      <w:r w:rsidR="00EB1D5D">
        <w:rPr>
          <w:rFonts w:eastAsia="Times New Roman" w:cstheme="minorHAnsi"/>
          <w:color w:val="000000" w:themeColor="text1"/>
          <w:sz w:val="22"/>
          <w:szCs w:val="22"/>
          <w:lang w:eastAsia="en-CA"/>
        </w:rPr>
        <w:t xml:space="preserve"> draft</w:t>
      </w:r>
      <w:r w:rsidRPr="00D31D59">
        <w:rPr>
          <w:rFonts w:eastAsia="Times New Roman" w:cstheme="minorHAnsi"/>
          <w:color w:val="000000" w:themeColor="text1"/>
          <w:sz w:val="22"/>
          <w:szCs w:val="22"/>
          <w:lang w:eastAsia="en-CA"/>
        </w:rPr>
        <w:t xml:space="preserve"> framework has not been implemented. </w:t>
      </w:r>
    </w:p>
    <w:p w14:paraId="1C28FA08" w14:textId="21C1A3F7" w:rsidR="00D31D59" w:rsidRPr="00D31D59" w:rsidRDefault="00D31D59" w:rsidP="00D31D59">
      <w:pPr>
        <w:pStyle w:val="ListParagraph"/>
        <w:numPr>
          <w:ilvl w:val="0"/>
          <w:numId w:val="33"/>
        </w:numPr>
        <w:textAlignment w:val="baseline"/>
        <w:rPr>
          <w:rFonts w:eastAsia="Times New Roman" w:cstheme="minorHAnsi"/>
          <w:color w:val="000000" w:themeColor="text1"/>
          <w:sz w:val="22"/>
          <w:szCs w:val="22"/>
          <w:lang w:eastAsia="en-CA"/>
        </w:rPr>
      </w:pPr>
      <w:r w:rsidRPr="00D31D59">
        <w:rPr>
          <w:rFonts w:eastAsia="Times New Roman" w:cstheme="minorHAnsi"/>
          <w:color w:val="000000" w:themeColor="text1"/>
          <w:sz w:val="22"/>
          <w:szCs w:val="22"/>
          <w:lang w:eastAsia="en-CA"/>
        </w:rPr>
        <w:t xml:space="preserve">In Phase 2, extensive feedback on the initial draft framework was received in April 2020 through written submissions from diverse organizations and groups. Feedback was sent directly to the Bioethics Table or via the Ministry of Health and Ontario </w:t>
      </w:r>
      <w:r w:rsidR="00EB1D5D">
        <w:rPr>
          <w:rFonts w:eastAsia="Times New Roman" w:cstheme="minorHAnsi"/>
          <w:color w:val="000000" w:themeColor="text1"/>
          <w:sz w:val="22"/>
          <w:szCs w:val="22"/>
          <w:lang w:eastAsia="en-CA"/>
        </w:rPr>
        <w:t>H</w:t>
      </w:r>
      <w:r w:rsidRPr="00D31D59">
        <w:rPr>
          <w:rFonts w:eastAsia="Times New Roman" w:cstheme="minorHAnsi"/>
          <w:color w:val="000000" w:themeColor="text1"/>
          <w:sz w:val="22"/>
          <w:szCs w:val="22"/>
          <w:lang w:eastAsia="en-CA"/>
        </w:rPr>
        <w:t>ealth. The Bioethics Table reviewed and considered all feedback and amended the document accordingly. Additional feedback was solicited from bioethics, health law, and clinical experts. An updated draft framework was developed in April/May 2020 based on new published findings in the literature, policy discussions in the public domain (e.g., policy statements), and written stakeholder feedback.</w:t>
      </w:r>
    </w:p>
    <w:p w14:paraId="6B0CB9E1" w14:textId="40F9FC04" w:rsidR="00D31D59" w:rsidRPr="00D31D59" w:rsidRDefault="00D31D59" w:rsidP="00D31D59">
      <w:pPr>
        <w:pStyle w:val="ListParagraph"/>
        <w:numPr>
          <w:ilvl w:val="0"/>
          <w:numId w:val="33"/>
        </w:numPr>
        <w:textAlignment w:val="baseline"/>
        <w:rPr>
          <w:rFonts w:eastAsia="Times New Roman" w:cstheme="minorHAnsi"/>
          <w:color w:val="000000" w:themeColor="text1"/>
          <w:sz w:val="22"/>
          <w:szCs w:val="22"/>
          <w:lang w:eastAsia="en-CA"/>
        </w:rPr>
      </w:pPr>
      <w:r w:rsidRPr="00D31D59">
        <w:rPr>
          <w:rFonts w:eastAsia="Times New Roman" w:cstheme="minorHAnsi"/>
          <w:color w:val="000000" w:themeColor="text1"/>
          <w:sz w:val="22"/>
          <w:szCs w:val="22"/>
          <w:lang w:eastAsia="en-CA"/>
        </w:rPr>
        <w:t xml:space="preserve">In Phase 3, the Bioethics Table met with the Ontario Human Rights Commission and undertook an expanded stakeholder consultation process to elicit input from Black and Indigenous health leaders and disability rights experts in July-August 2020. The </w:t>
      </w:r>
      <w:r w:rsidRPr="00D31D59">
        <w:rPr>
          <w:rFonts w:eastAsia="Times New Roman" w:cstheme="minorHAnsi"/>
          <w:i/>
          <w:iCs/>
          <w:color w:val="000000" w:themeColor="text1"/>
          <w:sz w:val="22"/>
          <w:szCs w:val="22"/>
          <w:lang w:eastAsia="en-CA"/>
        </w:rPr>
        <w:t>Proposed Framework</w:t>
      </w:r>
      <w:r w:rsidRPr="00D31D59">
        <w:rPr>
          <w:rFonts w:eastAsia="Times New Roman" w:cstheme="minorHAnsi"/>
          <w:color w:val="000000" w:themeColor="text1"/>
          <w:sz w:val="22"/>
          <w:szCs w:val="22"/>
          <w:lang w:eastAsia="en-CA"/>
        </w:rPr>
        <w:t xml:space="preserve"> is informed extensively by this stakeholder process, an updated review of the literature and policy</w:t>
      </w:r>
      <w:r w:rsidR="00390B56">
        <w:rPr>
          <w:rFonts w:eastAsia="Times New Roman" w:cstheme="minorHAnsi"/>
          <w:color w:val="000000" w:themeColor="text1"/>
          <w:sz w:val="22"/>
          <w:szCs w:val="22"/>
          <w:lang w:eastAsia="en-CA"/>
        </w:rPr>
        <w:t xml:space="preserve"> statements from organizations (e.g., </w:t>
      </w:r>
      <w:r w:rsidRPr="00D31D59">
        <w:rPr>
          <w:rFonts w:eastAsia="Times New Roman" w:cstheme="minorHAnsi"/>
          <w:color w:val="000000" w:themeColor="text1"/>
          <w:sz w:val="22"/>
          <w:szCs w:val="22"/>
          <w:lang w:eastAsia="en-CA"/>
        </w:rPr>
        <w:t>Canadian Association of Retired People</w:t>
      </w:r>
      <w:r w:rsidR="00390B56">
        <w:rPr>
          <w:rFonts w:eastAsia="Times New Roman" w:cstheme="minorHAnsi"/>
          <w:color w:val="000000" w:themeColor="text1"/>
          <w:sz w:val="22"/>
          <w:szCs w:val="22"/>
          <w:lang w:eastAsia="en-CA"/>
        </w:rPr>
        <w:t>)</w:t>
      </w:r>
      <w:r w:rsidRPr="00D31D59">
        <w:rPr>
          <w:rFonts w:eastAsia="Times New Roman" w:cstheme="minorHAnsi"/>
          <w:color w:val="000000" w:themeColor="text1"/>
          <w:sz w:val="22"/>
          <w:szCs w:val="22"/>
          <w:lang w:eastAsia="en-CA"/>
        </w:rPr>
        <w:t>, and additional input from health law and clinical experts.</w:t>
      </w:r>
    </w:p>
    <w:p w14:paraId="6243D6AF" w14:textId="77777777" w:rsidR="00D31D59" w:rsidRPr="00D31D59" w:rsidRDefault="00D31D59" w:rsidP="00D31D59">
      <w:pPr>
        <w:pStyle w:val="paragraph"/>
        <w:spacing w:before="0" w:beforeAutospacing="0" w:after="0" w:afterAutospacing="0"/>
        <w:contextualSpacing/>
        <w:textAlignment w:val="baseline"/>
        <w:rPr>
          <w:rStyle w:val="normaltextrun"/>
          <w:rFonts w:asciiTheme="minorHAnsi" w:hAnsiTheme="minorHAnsi" w:cstheme="minorHAnsi"/>
          <w:sz w:val="22"/>
          <w:szCs w:val="22"/>
        </w:rPr>
      </w:pPr>
    </w:p>
    <w:p w14:paraId="5F8FF1C8" w14:textId="29CC65A0" w:rsidR="00D31D59" w:rsidRPr="00D31D59" w:rsidRDefault="00D31D59" w:rsidP="00D31D59">
      <w:pPr>
        <w:pStyle w:val="paragraph"/>
        <w:spacing w:before="0" w:beforeAutospacing="0" w:after="0" w:afterAutospacing="0"/>
        <w:contextualSpacing/>
        <w:textAlignment w:val="baseline"/>
        <w:rPr>
          <w:rStyle w:val="normaltextrun"/>
          <w:rFonts w:asciiTheme="minorHAnsi" w:hAnsiTheme="minorHAnsi" w:cstheme="minorHAnsi"/>
          <w:sz w:val="22"/>
          <w:szCs w:val="22"/>
        </w:rPr>
      </w:pPr>
      <w:r w:rsidRPr="00D31D59">
        <w:rPr>
          <w:rStyle w:val="normaltextrun"/>
          <w:rFonts w:asciiTheme="minorHAnsi" w:hAnsiTheme="minorHAnsi" w:cstheme="minorHAnsi"/>
          <w:sz w:val="22"/>
          <w:szCs w:val="22"/>
        </w:rPr>
        <w:t xml:space="preserve">This </w:t>
      </w:r>
      <w:r w:rsidRPr="00D31D59">
        <w:rPr>
          <w:rStyle w:val="normaltextrun"/>
          <w:rFonts w:asciiTheme="minorHAnsi" w:hAnsiTheme="minorHAnsi" w:cstheme="minorHAnsi"/>
          <w:i/>
          <w:iCs/>
          <w:sz w:val="22"/>
          <w:szCs w:val="22"/>
        </w:rPr>
        <w:t>Proposed Framework</w:t>
      </w:r>
      <w:r w:rsidRPr="00D31D59">
        <w:rPr>
          <w:rStyle w:val="normaltextrun"/>
          <w:rFonts w:asciiTheme="minorHAnsi" w:hAnsiTheme="minorHAnsi" w:cstheme="minorHAnsi"/>
          <w:sz w:val="22"/>
          <w:szCs w:val="22"/>
        </w:rPr>
        <w:t xml:space="preserve"> document is a green document within the overall 2020 COVID</w:t>
      </w:r>
      <w:r w:rsidR="00EB1D5D">
        <w:rPr>
          <w:rStyle w:val="normaltextrun"/>
          <w:rFonts w:asciiTheme="minorHAnsi" w:hAnsiTheme="minorHAnsi" w:cstheme="minorHAnsi"/>
          <w:sz w:val="22"/>
          <w:szCs w:val="22"/>
        </w:rPr>
        <w:t>-19</w:t>
      </w:r>
      <w:r w:rsidRPr="00D31D59">
        <w:rPr>
          <w:rStyle w:val="normaltextrun"/>
          <w:rFonts w:asciiTheme="minorHAnsi" w:hAnsiTheme="minorHAnsi" w:cstheme="minorHAnsi"/>
          <w:sz w:val="22"/>
          <w:szCs w:val="22"/>
        </w:rPr>
        <w:t xml:space="preserve"> pandemic response in Ontario. The process for developing an approach to critical care triage in the context of a major surge in demand must be sensitive and responsive to changing conditions, emerging evidence, and evolving understanding of the ethical, social, and legal implications of critical care triage for major surge in a pandemic. As such, this document should be subject to regular review and updating as appropriate.</w:t>
      </w:r>
    </w:p>
    <w:p w14:paraId="303B6950" w14:textId="77777777" w:rsidR="00D31D59" w:rsidRPr="00D31D59" w:rsidRDefault="00D31D59" w:rsidP="00D31D59">
      <w:pPr>
        <w:contextualSpacing/>
        <w:textAlignment w:val="baseline"/>
        <w:rPr>
          <w:rFonts w:eastAsia="Times New Roman" w:cstheme="minorHAnsi"/>
          <w:color w:val="000000" w:themeColor="text1"/>
          <w:sz w:val="22"/>
          <w:szCs w:val="22"/>
          <w:lang w:eastAsia="en-CA"/>
        </w:rPr>
      </w:pPr>
    </w:p>
    <w:p w14:paraId="7243EBDD" w14:textId="77777777" w:rsidR="00D31D59" w:rsidRPr="00D31D59" w:rsidRDefault="00D31D59" w:rsidP="00D31D59">
      <w:pPr>
        <w:contextualSpacing/>
        <w:textAlignment w:val="baseline"/>
        <w:rPr>
          <w:rFonts w:eastAsia="Times New Roman" w:cstheme="minorHAnsi"/>
          <w:i/>
          <w:iCs/>
          <w:color w:val="000000" w:themeColor="text1"/>
          <w:sz w:val="22"/>
          <w:szCs w:val="22"/>
          <w:lang w:eastAsia="en-CA"/>
        </w:rPr>
      </w:pPr>
      <w:r w:rsidRPr="00D31D59">
        <w:rPr>
          <w:rFonts w:eastAsia="Times New Roman" w:cstheme="minorHAnsi"/>
          <w:i/>
          <w:iCs/>
          <w:color w:val="000000" w:themeColor="text1"/>
          <w:sz w:val="22"/>
          <w:szCs w:val="22"/>
          <w:lang w:eastAsia="en-CA"/>
        </w:rPr>
        <w:t>Acknowledgments:</w:t>
      </w:r>
    </w:p>
    <w:p w14:paraId="32BC7A44" w14:textId="77777777" w:rsidR="00D31D59" w:rsidRPr="00D31D59" w:rsidRDefault="00D31D59" w:rsidP="00D31D59">
      <w:pPr>
        <w:contextualSpacing/>
        <w:rPr>
          <w:rFonts w:cstheme="minorHAnsi"/>
          <w:sz w:val="22"/>
          <w:szCs w:val="22"/>
        </w:rPr>
      </w:pPr>
      <w:r w:rsidRPr="00D31D59">
        <w:rPr>
          <w:rFonts w:eastAsia="Times New Roman" w:cstheme="minorHAnsi"/>
          <w:color w:val="000000" w:themeColor="text1"/>
          <w:sz w:val="22"/>
          <w:szCs w:val="22"/>
          <w:lang w:eastAsia="en-CA"/>
        </w:rPr>
        <w:t xml:space="preserve">The Bioethics Table would like to acknowledge the substantive feedback, input, and advice of the following organizations either through written submissions or stakeholder consultations (listed alphabetically): </w:t>
      </w:r>
    </w:p>
    <w:p w14:paraId="03AB5BA6" w14:textId="77777777" w:rsidR="00D31D59" w:rsidRPr="00D31D59" w:rsidRDefault="00D31D59" w:rsidP="00D31D59">
      <w:pPr>
        <w:pStyle w:val="ListParagraph"/>
        <w:numPr>
          <w:ilvl w:val="0"/>
          <w:numId w:val="31"/>
        </w:numPr>
        <w:ind w:left="714" w:hanging="357"/>
        <w:rPr>
          <w:rFonts w:cstheme="minorHAnsi"/>
          <w:sz w:val="22"/>
          <w:szCs w:val="22"/>
        </w:rPr>
      </w:pPr>
      <w:r w:rsidRPr="00D31D59">
        <w:rPr>
          <w:rFonts w:cstheme="minorHAnsi"/>
          <w:sz w:val="22"/>
          <w:szCs w:val="22"/>
        </w:rPr>
        <w:t>ARCH Disability Law Centre</w:t>
      </w:r>
    </w:p>
    <w:p w14:paraId="5FE793B8" w14:textId="77777777" w:rsidR="00D31D59" w:rsidRPr="00D31D59" w:rsidRDefault="00D31D59" w:rsidP="00D31D59">
      <w:pPr>
        <w:pStyle w:val="ListParagraph"/>
        <w:numPr>
          <w:ilvl w:val="0"/>
          <w:numId w:val="31"/>
        </w:numPr>
        <w:ind w:left="714" w:hanging="357"/>
        <w:rPr>
          <w:rFonts w:cstheme="minorHAnsi"/>
          <w:sz w:val="22"/>
          <w:szCs w:val="22"/>
        </w:rPr>
      </w:pPr>
      <w:r w:rsidRPr="00D31D59">
        <w:rPr>
          <w:rFonts w:cstheme="minorHAnsi"/>
          <w:sz w:val="22"/>
          <w:szCs w:val="22"/>
        </w:rPr>
        <w:t>AODA Alliance</w:t>
      </w:r>
    </w:p>
    <w:p w14:paraId="521ADE52" w14:textId="77777777" w:rsidR="00D31D59" w:rsidRPr="00D31D59" w:rsidRDefault="00D31D59" w:rsidP="00D31D59">
      <w:pPr>
        <w:numPr>
          <w:ilvl w:val="0"/>
          <w:numId w:val="31"/>
        </w:numPr>
        <w:ind w:left="714" w:hanging="357"/>
        <w:contextualSpacing/>
        <w:rPr>
          <w:rFonts w:cstheme="minorHAnsi"/>
          <w:color w:val="000000" w:themeColor="text1"/>
          <w:sz w:val="22"/>
          <w:szCs w:val="22"/>
          <w:lang w:eastAsia="en-CA"/>
        </w:rPr>
      </w:pPr>
      <w:r w:rsidRPr="00D31D59">
        <w:rPr>
          <w:rFonts w:eastAsia="Times New Roman" w:cstheme="minorHAnsi"/>
          <w:color w:val="000000" w:themeColor="text1"/>
          <w:sz w:val="22"/>
          <w:szCs w:val="22"/>
          <w:lang w:eastAsia="en-CA"/>
        </w:rPr>
        <w:t>Black Health Committee, Alliance for Health Communities</w:t>
      </w:r>
    </w:p>
    <w:p w14:paraId="6BCFDFE1" w14:textId="77777777" w:rsidR="00D31D59" w:rsidRPr="00D31D59" w:rsidRDefault="00D31D59" w:rsidP="00D31D59">
      <w:pPr>
        <w:numPr>
          <w:ilvl w:val="0"/>
          <w:numId w:val="31"/>
        </w:numPr>
        <w:ind w:left="714" w:hanging="357"/>
        <w:contextualSpacing/>
        <w:rPr>
          <w:rFonts w:cstheme="minorHAnsi"/>
          <w:color w:val="000000" w:themeColor="text1"/>
          <w:sz w:val="22"/>
          <w:szCs w:val="22"/>
          <w:lang w:eastAsia="en-CA"/>
        </w:rPr>
      </w:pPr>
      <w:r w:rsidRPr="00D31D59">
        <w:rPr>
          <w:rFonts w:cstheme="minorHAnsi"/>
          <w:color w:val="000000" w:themeColor="text1"/>
          <w:sz w:val="22"/>
          <w:szCs w:val="22"/>
          <w:lang w:eastAsia="en-CA"/>
        </w:rPr>
        <w:t>Canadian Frailty Network</w:t>
      </w:r>
    </w:p>
    <w:p w14:paraId="5600DFD6" w14:textId="77777777" w:rsidR="00D31D59" w:rsidRPr="00D31D59" w:rsidRDefault="00D31D59" w:rsidP="00D31D59">
      <w:pPr>
        <w:numPr>
          <w:ilvl w:val="0"/>
          <w:numId w:val="31"/>
        </w:numPr>
        <w:ind w:left="714" w:hanging="357"/>
        <w:contextualSpacing/>
        <w:rPr>
          <w:rFonts w:cstheme="minorHAnsi"/>
          <w:color w:val="000000" w:themeColor="text1"/>
          <w:sz w:val="22"/>
          <w:szCs w:val="22"/>
          <w:lang w:eastAsia="en-CA"/>
        </w:rPr>
      </w:pPr>
      <w:r w:rsidRPr="00D31D59">
        <w:rPr>
          <w:rFonts w:cstheme="minorHAnsi"/>
          <w:color w:val="000000" w:themeColor="text1"/>
          <w:sz w:val="22"/>
          <w:szCs w:val="22"/>
          <w:lang w:eastAsia="en-CA"/>
        </w:rPr>
        <w:t xml:space="preserve">Canadian Medical Protective Association </w:t>
      </w:r>
    </w:p>
    <w:p w14:paraId="7A97F89E" w14:textId="77777777" w:rsidR="00D31D59" w:rsidRPr="00D31D59" w:rsidRDefault="00D31D59" w:rsidP="00D31D59">
      <w:pPr>
        <w:numPr>
          <w:ilvl w:val="0"/>
          <w:numId w:val="31"/>
        </w:numPr>
        <w:ind w:left="714" w:hanging="357"/>
        <w:contextualSpacing/>
        <w:rPr>
          <w:rFonts w:cstheme="minorHAnsi"/>
          <w:color w:val="000000" w:themeColor="text1"/>
          <w:sz w:val="22"/>
          <w:szCs w:val="22"/>
          <w:lang w:eastAsia="en-CA"/>
        </w:rPr>
      </w:pPr>
      <w:r w:rsidRPr="00D31D59">
        <w:rPr>
          <w:rFonts w:eastAsia="Times New Roman" w:cstheme="minorHAnsi"/>
          <w:color w:val="000000" w:themeColor="text1"/>
          <w:sz w:val="22"/>
          <w:szCs w:val="22"/>
          <w:lang w:eastAsia="en-CA"/>
        </w:rPr>
        <w:t xml:space="preserve">Citizens with Disabilities – Ontario </w:t>
      </w:r>
    </w:p>
    <w:p w14:paraId="3329CA79" w14:textId="77777777" w:rsidR="00D31D59" w:rsidRPr="00D31D59" w:rsidRDefault="00D31D59" w:rsidP="00D31D59">
      <w:pPr>
        <w:pStyle w:val="ListParagraph"/>
        <w:numPr>
          <w:ilvl w:val="0"/>
          <w:numId w:val="31"/>
        </w:numPr>
        <w:ind w:left="714" w:hanging="357"/>
        <w:rPr>
          <w:rFonts w:cstheme="minorHAnsi"/>
          <w:sz w:val="22"/>
          <w:szCs w:val="22"/>
        </w:rPr>
      </w:pPr>
      <w:r w:rsidRPr="00D31D59">
        <w:rPr>
          <w:rFonts w:cstheme="minorHAnsi"/>
          <w:sz w:val="22"/>
          <w:szCs w:val="22"/>
        </w:rPr>
        <w:t>College of Nurses of Ontario (via Ministry of Health)</w:t>
      </w:r>
    </w:p>
    <w:p w14:paraId="65494E36" w14:textId="77777777" w:rsidR="00D31D59" w:rsidRPr="00D31D59" w:rsidRDefault="00D31D59" w:rsidP="00D31D59">
      <w:pPr>
        <w:pStyle w:val="ListParagraph"/>
        <w:numPr>
          <w:ilvl w:val="0"/>
          <w:numId w:val="31"/>
        </w:numPr>
        <w:ind w:left="714" w:hanging="357"/>
        <w:rPr>
          <w:rFonts w:cstheme="minorHAnsi"/>
          <w:sz w:val="22"/>
          <w:szCs w:val="22"/>
        </w:rPr>
      </w:pPr>
      <w:r w:rsidRPr="00D31D59">
        <w:rPr>
          <w:rFonts w:cstheme="minorHAnsi"/>
          <w:sz w:val="22"/>
          <w:szCs w:val="22"/>
        </w:rPr>
        <w:lastRenderedPageBreak/>
        <w:t xml:space="preserve">College of Physicians and Surgeons of Ontario </w:t>
      </w:r>
    </w:p>
    <w:p w14:paraId="484A47AE" w14:textId="77777777" w:rsidR="00D31D59" w:rsidRPr="00D31D59" w:rsidRDefault="00D31D59" w:rsidP="00D31D59">
      <w:pPr>
        <w:pStyle w:val="ListParagraph"/>
        <w:numPr>
          <w:ilvl w:val="0"/>
          <w:numId w:val="31"/>
        </w:numPr>
        <w:ind w:left="714" w:hanging="357"/>
        <w:rPr>
          <w:rFonts w:cstheme="minorHAnsi"/>
          <w:sz w:val="22"/>
          <w:szCs w:val="22"/>
        </w:rPr>
      </w:pPr>
      <w:r w:rsidRPr="00D31D59">
        <w:rPr>
          <w:rFonts w:cstheme="minorHAnsi"/>
          <w:sz w:val="22"/>
          <w:szCs w:val="22"/>
        </w:rPr>
        <w:t>Indigenous Bioethics Reference Group, Indigenous Primary Health Care Council</w:t>
      </w:r>
    </w:p>
    <w:p w14:paraId="64ACC4C9" w14:textId="77777777" w:rsidR="00D31D59" w:rsidRPr="00D31D59" w:rsidRDefault="00D31D59" w:rsidP="00D31D59">
      <w:pPr>
        <w:pStyle w:val="ListParagraph"/>
        <w:numPr>
          <w:ilvl w:val="0"/>
          <w:numId w:val="31"/>
        </w:numPr>
        <w:ind w:left="714" w:hanging="357"/>
        <w:rPr>
          <w:rFonts w:cstheme="minorHAnsi"/>
          <w:sz w:val="22"/>
          <w:szCs w:val="22"/>
        </w:rPr>
      </w:pPr>
      <w:r w:rsidRPr="00D31D59">
        <w:rPr>
          <w:rFonts w:cstheme="minorHAnsi"/>
          <w:sz w:val="22"/>
          <w:szCs w:val="22"/>
        </w:rPr>
        <w:t xml:space="preserve">Muscular Dystrophy Canada </w:t>
      </w:r>
    </w:p>
    <w:p w14:paraId="53064669" w14:textId="461D8E5D" w:rsidR="00D31D59" w:rsidRPr="00D31D59" w:rsidRDefault="00D31D59" w:rsidP="00D31D59">
      <w:pPr>
        <w:numPr>
          <w:ilvl w:val="0"/>
          <w:numId w:val="31"/>
        </w:numPr>
        <w:ind w:left="714" w:hanging="357"/>
        <w:contextualSpacing/>
        <w:rPr>
          <w:rFonts w:cstheme="minorHAnsi"/>
          <w:color w:val="000000" w:themeColor="text1"/>
          <w:sz w:val="22"/>
          <w:szCs w:val="22"/>
          <w:lang w:eastAsia="en-CA"/>
        </w:rPr>
      </w:pPr>
      <w:r w:rsidRPr="00D31D59">
        <w:rPr>
          <w:rFonts w:cstheme="minorHAnsi"/>
          <w:color w:val="000000" w:themeColor="text1"/>
          <w:sz w:val="22"/>
          <w:szCs w:val="22"/>
          <w:lang w:eastAsia="en-CA"/>
        </w:rPr>
        <w:t>Ontario Health – provincial Critical Care Command Centre, Provincial Critical Care Table</w:t>
      </w:r>
    </w:p>
    <w:p w14:paraId="32C7F97F" w14:textId="77777777" w:rsidR="00D31D59" w:rsidRPr="00D31D59" w:rsidRDefault="00D31D59" w:rsidP="00D31D59">
      <w:pPr>
        <w:numPr>
          <w:ilvl w:val="0"/>
          <w:numId w:val="31"/>
        </w:numPr>
        <w:ind w:left="714" w:hanging="357"/>
        <w:contextualSpacing/>
        <w:rPr>
          <w:rFonts w:cstheme="minorHAnsi"/>
          <w:color w:val="000000" w:themeColor="text1"/>
          <w:sz w:val="22"/>
          <w:szCs w:val="22"/>
          <w:lang w:eastAsia="en-CA"/>
        </w:rPr>
      </w:pPr>
      <w:r w:rsidRPr="00D31D59">
        <w:rPr>
          <w:rFonts w:eastAsia="Times New Roman" w:cstheme="minorHAnsi"/>
          <w:color w:val="000000" w:themeColor="text1"/>
          <w:sz w:val="22"/>
          <w:szCs w:val="22"/>
          <w:lang w:eastAsia="en-CA"/>
        </w:rPr>
        <w:t>Ontario Hospital Association/HIROC</w:t>
      </w:r>
    </w:p>
    <w:p w14:paraId="3CBB3E53" w14:textId="77777777" w:rsidR="00D31D59" w:rsidRPr="00D31D59" w:rsidRDefault="00D31D59" w:rsidP="00D31D59">
      <w:pPr>
        <w:pStyle w:val="ListParagraph"/>
        <w:numPr>
          <w:ilvl w:val="0"/>
          <w:numId w:val="31"/>
        </w:numPr>
        <w:ind w:left="714" w:hanging="357"/>
        <w:rPr>
          <w:rFonts w:cstheme="minorHAnsi"/>
          <w:sz w:val="22"/>
          <w:szCs w:val="22"/>
        </w:rPr>
      </w:pPr>
      <w:r w:rsidRPr="00D31D59">
        <w:rPr>
          <w:rFonts w:cstheme="minorHAnsi"/>
          <w:sz w:val="22"/>
          <w:szCs w:val="22"/>
        </w:rPr>
        <w:t xml:space="preserve">Ontario Human Rights Commission </w:t>
      </w:r>
    </w:p>
    <w:p w14:paraId="7652D10A" w14:textId="77777777" w:rsidR="00D31D59" w:rsidRPr="00D31D59" w:rsidRDefault="00D31D59" w:rsidP="00D31D59">
      <w:pPr>
        <w:numPr>
          <w:ilvl w:val="0"/>
          <w:numId w:val="31"/>
        </w:numPr>
        <w:ind w:left="714" w:hanging="357"/>
        <w:contextualSpacing/>
        <w:rPr>
          <w:rFonts w:cstheme="minorHAnsi"/>
          <w:color w:val="000000" w:themeColor="text1"/>
          <w:sz w:val="22"/>
          <w:szCs w:val="22"/>
          <w:lang w:eastAsia="en-CA"/>
        </w:rPr>
      </w:pPr>
      <w:r w:rsidRPr="00D31D59">
        <w:rPr>
          <w:rFonts w:eastAsia="Times New Roman" w:cstheme="minorHAnsi"/>
          <w:color w:val="000000" w:themeColor="text1"/>
          <w:sz w:val="22"/>
          <w:szCs w:val="22"/>
          <w:lang w:eastAsia="en-CA"/>
        </w:rPr>
        <w:t>Ontario Medical Association</w:t>
      </w:r>
    </w:p>
    <w:p w14:paraId="4FA7989B" w14:textId="77777777" w:rsidR="00D31D59" w:rsidRDefault="00D31D59" w:rsidP="00D31D59">
      <w:pPr>
        <w:contextualSpacing/>
        <w:rPr>
          <w:rFonts w:eastAsia="Times New Roman" w:cstheme="minorHAnsi"/>
          <w:color w:val="000000" w:themeColor="text1"/>
          <w:sz w:val="22"/>
          <w:szCs w:val="22"/>
          <w:lang w:eastAsia="en-CA"/>
        </w:rPr>
      </w:pPr>
    </w:p>
    <w:p w14:paraId="622A5322" w14:textId="417431CE" w:rsidR="00D31D59" w:rsidRPr="00D31D59" w:rsidRDefault="00D31D59" w:rsidP="00D31D59">
      <w:pPr>
        <w:contextualSpacing/>
        <w:rPr>
          <w:rFonts w:eastAsia="Times New Roman" w:cstheme="minorHAnsi"/>
          <w:color w:val="000000" w:themeColor="text1"/>
          <w:sz w:val="22"/>
          <w:szCs w:val="22"/>
          <w:lang w:eastAsia="en-CA"/>
        </w:rPr>
      </w:pPr>
      <w:r w:rsidRPr="00D31D59">
        <w:rPr>
          <w:rFonts w:eastAsia="Times New Roman" w:cstheme="minorHAnsi"/>
          <w:color w:val="000000" w:themeColor="text1"/>
          <w:sz w:val="22"/>
          <w:szCs w:val="22"/>
          <w:lang w:eastAsia="en-CA"/>
        </w:rPr>
        <w:t xml:space="preserve">The Bioethics Table has also benefited from </w:t>
      </w:r>
      <w:r w:rsidR="00390B56">
        <w:rPr>
          <w:rFonts w:eastAsia="Times New Roman" w:cstheme="minorHAnsi"/>
          <w:color w:val="000000" w:themeColor="text1"/>
          <w:sz w:val="22"/>
          <w:szCs w:val="22"/>
          <w:lang w:eastAsia="en-CA"/>
        </w:rPr>
        <w:t xml:space="preserve">the </w:t>
      </w:r>
      <w:r w:rsidR="00390B56" w:rsidRPr="00D31D59">
        <w:rPr>
          <w:rFonts w:eastAsia="Times New Roman" w:cstheme="minorHAnsi"/>
          <w:color w:val="000000" w:themeColor="text1"/>
          <w:sz w:val="22"/>
          <w:szCs w:val="22"/>
          <w:lang w:eastAsia="en-CA"/>
        </w:rPr>
        <w:t xml:space="preserve">substantive feedback, input, and advice </w:t>
      </w:r>
      <w:r w:rsidR="00390B56">
        <w:rPr>
          <w:rFonts w:eastAsia="Times New Roman" w:cstheme="minorHAnsi"/>
          <w:color w:val="000000" w:themeColor="text1"/>
          <w:sz w:val="22"/>
          <w:szCs w:val="22"/>
          <w:lang w:eastAsia="en-CA"/>
        </w:rPr>
        <w:t xml:space="preserve">of </w:t>
      </w:r>
      <w:r w:rsidRPr="00D31D59">
        <w:rPr>
          <w:rFonts w:eastAsia="Times New Roman" w:cstheme="minorHAnsi"/>
          <w:color w:val="000000" w:themeColor="text1"/>
          <w:sz w:val="22"/>
          <w:szCs w:val="22"/>
          <w:lang w:eastAsia="en-CA"/>
        </w:rPr>
        <w:t>scholars and practitioners with expertise in the following areas:</w:t>
      </w:r>
    </w:p>
    <w:p w14:paraId="0CC42BC7" w14:textId="10FF42B0" w:rsidR="00D31D59" w:rsidRPr="00D31D59" w:rsidRDefault="00D31D59" w:rsidP="00D31D59">
      <w:pPr>
        <w:pStyle w:val="ListParagraph"/>
        <w:numPr>
          <w:ilvl w:val="0"/>
          <w:numId w:val="32"/>
        </w:numPr>
        <w:rPr>
          <w:rFonts w:eastAsia="Times New Roman" w:cstheme="minorHAnsi"/>
          <w:color w:val="000000" w:themeColor="text1"/>
          <w:sz w:val="22"/>
          <w:szCs w:val="22"/>
          <w:lang w:eastAsia="en-CA"/>
        </w:rPr>
      </w:pPr>
      <w:r w:rsidRPr="00D31D59">
        <w:rPr>
          <w:rFonts w:eastAsia="Times New Roman" w:cstheme="minorHAnsi"/>
          <w:color w:val="000000" w:themeColor="text1"/>
          <w:sz w:val="22"/>
          <w:szCs w:val="22"/>
          <w:lang w:eastAsia="en-CA"/>
        </w:rPr>
        <w:t>Bioethics – Clinical, Organization, and Research Ethics (CORE) Network and the provincial COVID-19 Bioethics Community of Practic</w:t>
      </w:r>
      <w:r w:rsidR="00390B56">
        <w:rPr>
          <w:rFonts w:eastAsia="Times New Roman" w:cstheme="minorHAnsi"/>
          <w:color w:val="000000" w:themeColor="text1"/>
          <w:sz w:val="22"/>
          <w:szCs w:val="22"/>
          <w:lang w:eastAsia="en-CA"/>
        </w:rPr>
        <w:t>e</w:t>
      </w:r>
      <w:r w:rsidRPr="00D31D59">
        <w:rPr>
          <w:rStyle w:val="FootnoteReference"/>
          <w:rFonts w:eastAsia="Times New Roman" w:cstheme="minorHAnsi"/>
          <w:color w:val="000000" w:themeColor="text1"/>
          <w:sz w:val="22"/>
          <w:szCs w:val="22"/>
          <w:lang w:eastAsia="en-CA"/>
        </w:rPr>
        <w:footnoteReference w:id="12"/>
      </w:r>
      <w:r w:rsidRPr="00D31D59">
        <w:rPr>
          <w:rFonts w:eastAsia="Times New Roman" w:cstheme="minorHAnsi"/>
          <w:color w:val="000000" w:themeColor="text1"/>
          <w:sz w:val="22"/>
          <w:szCs w:val="22"/>
          <w:lang w:eastAsia="en-CA"/>
        </w:rPr>
        <w:t xml:space="preserve"> </w:t>
      </w:r>
    </w:p>
    <w:p w14:paraId="00F9B3B6" w14:textId="17892B15" w:rsidR="00D31D59" w:rsidRDefault="00D31D59" w:rsidP="00D31D59">
      <w:pPr>
        <w:pStyle w:val="ListParagraph"/>
        <w:numPr>
          <w:ilvl w:val="0"/>
          <w:numId w:val="32"/>
        </w:numPr>
        <w:rPr>
          <w:rFonts w:eastAsia="Times New Roman" w:cstheme="minorHAnsi"/>
          <w:color w:val="000000" w:themeColor="text1"/>
          <w:sz w:val="22"/>
          <w:szCs w:val="22"/>
          <w:lang w:eastAsia="en-CA"/>
        </w:rPr>
      </w:pPr>
      <w:r w:rsidRPr="00D31D59">
        <w:rPr>
          <w:rFonts w:eastAsia="Times New Roman" w:cstheme="minorHAnsi"/>
          <w:color w:val="000000" w:themeColor="text1"/>
          <w:sz w:val="22"/>
          <w:szCs w:val="22"/>
          <w:lang w:eastAsia="en-CA"/>
        </w:rPr>
        <w:t xml:space="preserve">Clinical Medicine – &gt;20 individual experts in cancer, cardiac care, complex continuing care, critical care, emergency medicine, geriatric medicine, neurology, stroke, thoracic medicine, </w:t>
      </w:r>
      <w:r w:rsidRPr="00D31D59">
        <w:rPr>
          <w:rFonts w:eastAsia="Times New Roman" w:cstheme="minorHAnsi"/>
          <w:i/>
          <w:iCs/>
          <w:color w:val="000000" w:themeColor="text1"/>
          <w:sz w:val="22"/>
          <w:szCs w:val="22"/>
          <w:lang w:eastAsia="en-CA"/>
        </w:rPr>
        <w:t>plus</w:t>
      </w:r>
      <w:r w:rsidRPr="00D31D59">
        <w:rPr>
          <w:rFonts w:eastAsia="Times New Roman" w:cstheme="minorHAnsi"/>
          <w:color w:val="000000" w:themeColor="text1"/>
          <w:sz w:val="22"/>
          <w:szCs w:val="22"/>
          <w:lang w:eastAsia="en-CA"/>
        </w:rPr>
        <w:t xml:space="preserve"> expert feedback from the Canadian Geriatric Society and the Canadian Thoracic Society</w:t>
      </w:r>
    </w:p>
    <w:p w14:paraId="04467616" w14:textId="02F8CD18" w:rsidR="00390B56" w:rsidRDefault="00390B56" w:rsidP="00D31D59">
      <w:pPr>
        <w:pStyle w:val="ListParagraph"/>
        <w:numPr>
          <w:ilvl w:val="0"/>
          <w:numId w:val="32"/>
        </w:numPr>
        <w:rPr>
          <w:rFonts w:eastAsia="Times New Roman" w:cstheme="minorHAnsi"/>
          <w:color w:val="000000" w:themeColor="text1"/>
          <w:sz w:val="22"/>
          <w:szCs w:val="22"/>
          <w:lang w:eastAsia="en-CA"/>
        </w:rPr>
      </w:pPr>
      <w:r>
        <w:rPr>
          <w:rFonts w:eastAsia="Times New Roman" w:cstheme="minorHAnsi"/>
          <w:color w:val="000000" w:themeColor="text1"/>
          <w:sz w:val="22"/>
          <w:szCs w:val="22"/>
          <w:lang w:eastAsia="en-CA"/>
        </w:rPr>
        <w:t>Health Equity</w:t>
      </w:r>
    </w:p>
    <w:p w14:paraId="1DE0C44C" w14:textId="0191D009" w:rsidR="00390B56" w:rsidRDefault="00390B56" w:rsidP="00D31D59">
      <w:pPr>
        <w:pStyle w:val="ListParagraph"/>
        <w:numPr>
          <w:ilvl w:val="0"/>
          <w:numId w:val="32"/>
        </w:numPr>
        <w:rPr>
          <w:rFonts w:eastAsia="Times New Roman" w:cstheme="minorHAnsi"/>
          <w:color w:val="000000" w:themeColor="text1"/>
          <w:sz w:val="22"/>
          <w:szCs w:val="22"/>
          <w:lang w:eastAsia="en-CA"/>
        </w:rPr>
      </w:pPr>
      <w:r>
        <w:rPr>
          <w:rFonts w:eastAsia="Times New Roman" w:cstheme="minorHAnsi"/>
          <w:color w:val="000000" w:themeColor="text1"/>
          <w:sz w:val="22"/>
          <w:szCs w:val="22"/>
          <w:lang w:eastAsia="en-CA"/>
        </w:rPr>
        <w:t>Health and Human Rights Law</w:t>
      </w:r>
    </w:p>
    <w:p w14:paraId="51E6A1C4" w14:textId="77777777" w:rsidR="00390B56" w:rsidRPr="00390B56" w:rsidRDefault="00390B56" w:rsidP="00390B56">
      <w:pPr>
        <w:pStyle w:val="ListParagraph"/>
        <w:rPr>
          <w:rFonts w:eastAsia="Times New Roman" w:cstheme="minorHAnsi"/>
          <w:color w:val="000000" w:themeColor="text1"/>
          <w:sz w:val="22"/>
          <w:szCs w:val="22"/>
          <w:lang w:eastAsia="en-CA"/>
        </w:rPr>
      </w:pPr>
    </w:p>
    <w:p w14:paraId="35003A37" w14:textId="0D0A0E36" w:rsidR="00D31D59" w:rsidRPr="00D31D59" w:rsidRDefault="00D31D59" w:rsidP="00D31D59">
      <w:pPr>
        <w:contextualSpacing/>
        <w:rPr>
          <w:rFonts w:eastAsia="Times New Roman" w:cstheme="minorHAnsi"/>
          <w:color w:val="000000" w:themeColor="text1"/>
          <w:sz w:val="22"/>
          <w:szCs w:val="22"/>
          <w:lang w:eastAsia="en-CA"/>
        </w:rPr>
      </w:pPr>
      <w:r w:rsidRPr="00D31D59">
        <w:rPr>
          <w:rFonts w:cstheme="minorHAnsi"/>
          <w:sz w:val="22"/>
          <w:szCs w:val="22"/>
        </w:rPr>
        <w:t xml:space="preserve">**Please note that these acknowledgments </w:t>
      </w:r>
      <w:r w:rsidRPr="00D31D59">
        <w:rPr>
          <w:rFonts w:cstheme="minorHAnsi"/>
          <w:sz w:val="22"/>
          <w:szCs w:val="22"/>
          <w:u w:val="single"/>
        </w:rPr>
        <w:t>do not</w:t>
      </w:r>
      <w:r w:rsidRPr="00D31D59">
        <w:rPr>
          <w:rFonts w:cstheme="minorHAnsi"/>
          <w:sz w:val="22"/>
          <w:szCs w:val="22"/>
        </w:rPr>
        <w:t xml:space="preserve"> signify endorsement of the Proposed Framework by these organizations </w:t>
      </w:r>
      <w:r w:rsidR="00390B56">
        <w:rPr>
          <w:rFonts w:cstheme="minorHAnsi"/>
          <w:sz w:val="22"/>
          <w:szCs w:val="22"/>
        </w:rPr>
        <w:t>or individuals</w:t>
      </w:r>
      <w:r w:rsidRPr="00D31D59">
        <w:rPr>
          <w:rFonts w:cstheme="minorHAnsi"/>
          <w:sz w:val="22"/>
          <w:szCs w:val="22"/>
        </w:rPr>
        <w:t>.**</w:t>
      </w:r>
    </w:p>
    <w:p w14:paraId="2B3C5C70" w14:textId="77777777" w:rsidR="00C8215D" w:rsidRDefault="00C8215D">
      <w:pPr>
        <w:rPr>
          <w:b/>
          <w:bCs/>
          <w:sz w:val="22"/>
          <w:szCs w:val="22"/>
        </w:rPr>
      </w:pPr>
      <w:r>
        <w:br w:type="page"/>
      </w:r>
    </w:p>
    <w:p w14:paraId="282D02DD" w14:textId="62106D42" w:rsidR="002B1FA1" w:rsidRPr="0064741F" w:rsidRDefault="002B1FA1" w:rsidP="00C8215D">
      <w:pPr>
        <w:pStyle w:val="Heading2"/>
      </w:pPr>
      <w:r>
        <w:lastRenderedPageBreak/>
        <w:t xml:space="preserve">Appendix </w:t>
      </w:r>
      <w:r w:rsidR="00E0406D">
        <w:t>B</w:t>
      </w:r>
      <w:r>
        <w:t>: The Ontario Human Rights Code Prohibited Grounds of Discrimination and Other Relevant Domestic Human Rights Law and International Human Rights Treaties</w:t>
      </w:r>
    </w:p>
    <w:p w14:paraId="61D3968D" w14:textId="77777777" w:rsidR="002B1FA1" w:rsidRPr="008B100F" w:rsidRDefault="002B1FA1" w:rsidP="002B1FA1">
      <w:pPr>
        <w:rPr>
          <w:b/>
          <w:bCs/>
          <w:sz w:val="20"/>
          <w:szCs w:val="22"/>
        </w:rPr>
      </w:pPr>
    </w:p>
    <w:p w14:paraId="0D4376E4" w14:textId="36C59AF1" w:rsidR="002B1FA1" w:rsidRPr="008B100F" w:rsidRDefault="002B1FA1" w:rsidP="002B1FA1">
      <w:pPr>
        <w:pStyle w:val="NormalVerdana"/>
        <w:rPr>
          <w:rFonts w:asciiTheme="minorHAnsi" w:eastAsia="Times New Roman" w:hAnsiTheme="minorHAnsi" w:cstheme="minorHAnsi"/>
          <w:bCs/>
          <w:color w:val="000000" w:themeColor="text1"/>
          <w:sz w:val="22"/>
          <w:lang w:eastAsia="en-US"/>
        </w:rPr>
      </w:pPr>
      <w:r w:rsidRPr="008B100F">
        <w:rPr>
          <w:rFonts w:asciiTheme="minorHAnsi" w:hAnsiTheme="minorHAnsi" w:cstheme="minorHAnsi"/>
          <w:color w:val="000000" w:themeColor="text1"/>
          <w:sz w:val="22"/>
        </w:rPr>
        <w:t xml:space="preserve">The </w:t>
      </w:r>
      <w:hyperlink r:id="rId17" w:history="1">
        <w:r w:rsidRPr="00E507C6">
          <w:rPr>
            <w:rStyle w:val="Hyperlink"/>
            <w:rFonts w:asciiTheme="minorHAnsi" w:hAnsiTheme="minorHAnsi" w:cstheme="minorHAnsi"/>
            <w:sz w:val="22"/>
          </w:rPr>
          <w:t>Ontario Human Rights Code</w:t>
        </w:r>
      </w:hyperlink>
      <w:r w:rsidRPr="008B100F">
        <w:rPr>
          <w:rFonts w:asciiTheme="minorHAnsi" w:hAnsiTheme="minorHAnsi" w:cstheme="minorHAnsi"/>
          <w:color w:val="000000" w:themeColor="text1"/>
          <w:sz w:val="22"/>
        </w:rPr>
        <w:t xml:space="preserve"> recognizes that discrimination occurs most often because of a person's membership in a particular group in society. </w:t>
      </w:r>
      <w:r w:rsidRPr="008B100F">
        <w:rPr>
          <w:rFonts w:asciiTheme="minorHAnsi" w:eastAsia="Times New Roman" w:hAnsiTheme="minorHAnsi" w:cstheme="minorHAnsi"/>
          <w:bCs/>
          <w:color w:val="000000" w:themeColor="text1"/>
          <w:sz w:val="22"/>
          <w:lang w:eastAsia="en-US"/>
        </w:rPr>
        <w:t>None of the grounds below should influence the allocation of critical care or medical resources.</w:t>
      </w:r>
    </w:p>
    <w:p w14:paraId="7034D03B" w14:textId="77777777" w:rsidR="002B1FA1" w:rsidRPr="008B100F" w:rsidRDefault="002B1FA1" w:rsidP="002B1FA1">
      <w:pPr>
        <w:pStyle w:val="NormalVerdana"/>
        <w:rPr>
          <w:rFonts w:asciiTheme="minorHAnsi" w:eastAsia="Times New Roman" w:hAnsiTheme="minorHAnsi" w:cstheme="minorHAnsi"/>
          <w:bCs/>
          <w:color w:val="000000" w:themeColor="text1"/>
          <w:sz w:val="22"/>
          <w:lang w:eastAsia="en-US"/>
        </w:rPr>
      </w:pPr>
    </w:p>
    <w:p w14:paraId="35256B9C" w14:textId="77777777" w:rsidR="002B1FA1" w:rsidRPr="008B100F" w:rsidRDefault="002B1FA1" w:rsidP="002B1FA1">
      <w:pPr>
        <w:rPr>
          <w:rFonts w:eastAsia="MS Mincho" w:cstheme="minorHAnsi"/>
          <w:color w:val="000000" w:themeColor="text1"/>
          <w:sz w:val="22"/>
          <w:szCs w:val="20"/>
          <w:lang w:eastAsia="ja-JP"/>
        </w:rPr>
      </w:pPr>
      <w:r>
        <w:rPr>
          <w:rFonts w:eastAsia="MS Mincho" w:cstheme="minorHAnsi"/>
          <w:color w:val="000000" w:themeColor="text1"/>
          <w:sz w:val="22"/>
          <w:szCs w:val="20"/>
          <w:lang w:eastAsia="ja-JP"/>
        </w:rPr>
        <w:t>T</w:t>
      </w:r>
      <w:r w:rsidRPr="008B100F">
        <w:rPr>
          <w:rFonts w:eastAsia="MS Mincho" w:cstheme="minorHAnsi"/>
          <w:color w:val="000000" w:themeColor="text1"/>
          <w:sz w:val="22"/>
          <w:szCs w:val="20"/>
          <w:lang w:eastAsia="ja-JP"/>
        </w:rPr>
        <w:t>he Code prohibits actions that discriminate against people based on a protected ground in a protected social area.</w:t>
      </w:r>
      <w:r>
        <w:rPr>
          <w:rFonts w:eastAsia="MS Mincho" w:cstheme="minorHAnsi"/>
          <w:color w:val="000000" w:themeColor="text1"/>
          <w:sz w:val="22"/>
          <w:szCs w:val="20"/>
          <w:lang w:eastAsia="ja-JP"/>
        </w:rPr>
        <w:t xml:space="preserve"> </w:t>
      </w:r>
      <w:r w:rsidRPr="008B100F">
        <w:rPr>
          <w:rFonts w:eastAsia="MS Mincho" w:cstheme="minorHAnsi"/>
          <w:color w:val="000000" w:themeColor="text1"/>
          <w:sz w:val="22"/>
          <w:szCs w:val="20"/>
          <w:lang w:eastAsia="ja-JP"/>
        </w:rPr>
        <w:t xml:space="preserve">Protected grounds </w:t>
      </w:r>
      <w:r>
        <w:rPr>
          <w:rFonts w:eastAsia="MS Mincho" w:cstheme="minorHAnsi"/>
          <w:color w:val="000000" w:themeColor="text1"/>
          <w:sz w:val="22"/>
          <w:szCs w:val="20"/>
          <w:lang w:eastAsia="ja-JP"/>
        </w:rPr>
        <w:t>relevant to the health care context include</w:t>
      </w:r>
      <w:r w:rsidRPr="008B100F">
        <w:rPr>
          <w:rFonts w:eastAsia="MS Mincho" w:cstheme="minorHAnsi"/>
          <w:color w:val="000000" w:themeColor="text1"/>
          <w:sz w:val="22"/>
          <w:szCs w:val="20"/>
          <w:lang w:eastAsia="ja-JP"/>
        </w:rPr>
        <w:t>:</w:t>
      </w:r>
    </w:p>
    <w:p w14:paraId="779E0308"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Age</w:t>
      </w:r>
    </w:p>
    <w:p w14:paraId="03E72F10"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Ancestry, colour, race</w:t>
      </w:r>
    </w:p>
    <w:p w14:paraId="570534AE"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Citizenship</w:t>
      </w:r>
    </w:p>
    <w:p w14:paraId="7DC2D611"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Ethnic origin</w:t>
      </w:r>
    </w:p>
    <w:p w14:paraId="369B48BB"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Place of origin</w:t>
      </w:r>
    </w:p>
    <w:p w14:paraId="7E41FFD4"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Creed</w:t>
      </w:r>
    </w:p>
    <w:p w14:paraId="4500564F"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Disability</w:t>
      </w:r>
    </w:p>
    <w:p w14:paraId="38FBFCED"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Family status</w:t>
      </w:r>
    </w:p>
    <w:p w14:paraId="3622DCFA"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Marital status (including single status)</w:t>
      </w:r>
    </w:p>
    <w:p w14:paraId="7284243B"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Gender identity, gender expression</w:t>
      </w:r>
    </w:p>
    <w:p w14:paraId="526EDB3A"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 xml:space="preserve">Sex </w:t>
      </w:r>
    </w:p>
    <w:p w14:paraId="01DD1A37" w14:textId="77777777" w:rsidR="002B1FA1" w:rsidRPr="008B100F" w:rsidRDefault="002B1FA1" w:rsidP="00CD465C">
      <w:pPr>
        <w:pStyle w:val="ListParagraph"/>
        <w:numPr>
          <w:ilvl w:val="0"/>
          <w:numId w:val="20"/>
        </w:numPr>
        <w:rPr>
          <w:rFonts w:eastAsia="MS Mincho" w:cstheme="minorHAnsi"/>
          <w:color w:val="000000" w:themeColor="text1"/>
          <w:sz w:val="22"/>
          <w:szCs w:val="20"/>
          <w:lang w:eastAsia="ja-JP"/>
        </w:rPr>
      </w:pPr>
      <w:r w:rsidRPr="008B100F">
        <w:rPr>
          <w:rFonts w:eastAsia="MS Mincho" w:cstheme="minorHAnsi"/>
          <w:color w:val="000000" w:themeColor="text1"/>
          <w:sz w:val="22"/>
          <w:szCs w:val="20"/>
          <w:lang w:eastAsia="ja-JP"/>
        </w:rPr>
        <w:t>Sexual orientation</w:t>
      </w:r>
    </w:p>
    <w:p w14:paraId="1A4350CD" w14:textId="77777777" w:rsidR="002B1FA1" w:rsidRPr="001019C0" w:rsidRDefault="002B1FA1" w:rsidP="002B1FA1">
      <w:pPr>
        <w:rPr>
          <w:b/>
          <w:bCs/>
          <w:sz w:val="22"/>
          <w:szCs w:val="22"/>
        </w:rPr>
      </w:pPr>
    </w:p>
    <w:p w14:paraId="237F9162" w14:textId="77777777" w:rsidR="002B1FA1" w:rsidRDefault="002B1FA1" w:rsidP="002B1FA1">
      <w:r w:rsidRPr="64CAB6C3">
        <w:rPr>
          <w:rFonts w:ascii="Calibri" w:eastAsia="Calibri" w:hAnsi="Calibri" w:cs="Calibri"/>
          <w:sz w:val="22"/>
          <w:szCs w:val="22"/>
        </w:rPr>
        <w:t xml:space="preserve">For exclusions or restrictions of services like health care to people identified in these grounds to be considered reasonable and bona fide, service providers must have been unable to accommodate equal access to health care services for such groups without undue hardship. </w:t>
      </w:r>
    </w:p>
    <w:p w14:paraId="6FF91CF6" w14:textId="77777777" w:rsidR="002B1FA1" w:rsidRDefault="002B1FA1" w:rsidP="002B1FA1">
      <w:r w:rsidRPr="64CAB6C3">
        <w:rPr>
          <w:rFonts w:ascii="Calibri" w:eastAsia="Calibri" w:hAnsi="Calibri" w:cs="Calibri"/>
          <w:sz w:val="22"/>
          <w:szCs w:val="22"/>
        </w:rPr>
        <w:t xml:space="preserve"> </w:t>
      </w:r>
    </w:p>
    <w:p w14:paraId="42D90AB2" w14:textId="77777777" w:rsidR="002B1FA1" w:rsidRDefault="002B1FA1" w:rsidP="002B1FA1">
      <w:r w:rsidRPr="64CAB6C3">
        <w:rPr>
          <w:rFonts w:ascii="Calibri" w:eastAsia="Calibri" w:hAnsi="Calibri" w:cs="Calibri"/>
          <w:b/>
          <w:bCs/>
          <w:sz w:val="22"/>
          <w:szCs w:val="22"/>
        </w:rPr>
        <w:t xml:space="preserve">The Canadian Charter of Rights and Freedoms recognizes: </w:t>
      </w:r>
    </w:p>
    <w:p w14:paraId="1B7C15EC" w14:textId="77777777" w:rsidR="002B1FA1" w:rsidRDefault="002B1FA1" w:rsidP="002B1FA1">
      <w:r w:rsidRPr="64CAB6C3">
        <w:rPr>
          <w:rFonts w:ascii="Calibri" w:eastAsia="Calibri" w:hAnsi="Calibri" w:cs="Calibri"/>
          <w:sz w:val="22"/>
          <w:szCs w:val="22"/>
        </w:rPr>
        <w:t>In section 7 that everyone has the right to life, liberty and security of the person and</w:t>
      </w:r>
      <w:r w:rsidRPr="64CAB6C3">
        <w:rPr>
          <w:rFonts w:ascii="Calibri" w:eastAsia="Calibri" w:hAnsi="Calibri" w:cs="Calibri"/>
          <w:b/>
          <w:bCs/>
          <w:sz w:val="22"/>
          <w:szCs w:val="22"/>
        </w:rPr>
        <w:t xml:space="preserve"> </w:t>
      </w:r>
      <w:r w:rsidRPr="64CAB6C3">
        <w:rPr>
          <w:rFonts w:ascii="Calibri" w:eastAsia="Calibri" w:hAnsi="Calibri" w:cs="Calibri"/>
          <w:color w:val="333333"/>
          <w:sz w:val="22"/>
          <w:szCs w:val="22"/>
        </w:rPr>
        <w:t>the right not to be deprived thereof except in accordance with the principles of fundamental justice.</w:t>
      </w:r>
    </w:p>
    <w:p w14:paraId="0261CE9D" w14:textId="77777777" w:rsidR="002B1FA1" w:rsidRDefault="002B1FA1" w:rsidP="002B1FA1">
      <w:pPr>
        <w:rPr>
          <w:rFonts w:ascii="Calibri" w:eastAsia="Calibri" w:hAnsi="Calibri" w:cs="Calibri"/>
          <w:b/>
          <w:bCs/>
          <w:sz w:val="22"/>
          <w:szCs w:val="22"/>
        </w:rPr>
      </w:pPr>
    </w:p>
    <w:p w14:paraId="7D400245" w14:textId="77777777" w:rsidR="002B1FA1" w:rsidRDefault="002B1FA1" w:rsidP="002B1FA1">
      <w:r w:rsidRPr="64CAB6C3">
        <w:rPr>
          <w:rFonts w:ascii="Calibri" w:eastAsia="Calibri" w:hAnsi="Calibri" w:cs="Calibri"/>
          <w:b/>
          <w:bCs/>
          <w:sz w:val="22"/>
          <w:szCs w:val="22"/>
        </w:rPr>
        <w:t xml:space="preserve">In section </w:t>
      </w:r>
      <w:r w:rsidRPr="64CAB6C3">
        <w:rPr>
          <w:rFonts w:ascii="Calibri" w:eastAsia="Calibri" w:hAnsi="Calibri" w:cs="Calibri"/>
          <w:b/>
          <w:bCs/>
          <w:color w:val="333333"/>
          <w:sz w:val="22"/>
          <w:szCs w:val="22"/>
        </w:rPr>
        <w:t>15</w:t>
      </w:r>
      <w:r w:rsidRPr="64CAB6C3">
        <w:rPr>
          <w:rFonts w:ascii="Calibri" w:eastAsia="Calibri" w:hAnsi="Calibri" w:cs="Calibri"/>
          <w:color w:val="333333"/>
          <w:sz w:val="22"/>
          <w:szCs w:val="22"/>
        </w:rPr>
        <w:t>(1) that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1BA41BD7" w14:textId="77777777" w:rsidR="002B1FA1" w:rsidRDefault="002B1FA1" w:rsidP="002B1FA1">
      <w:pPr>
        <w:rPr>
          <w:rFonts w:ascii="Calibri" w:eastAsia="Calibri" w:hAnsi="Calibri" w:cs="Calibri"/>
          <w:b/>
          <w:bCs/>
          <w:sz w:val="22"/>
          <w:szCs w:val="22"/>
        </w:rPr>
      </w:pPr>
    </w:p>
    <w:p w14:paraId="01CCBA96" w14:textId="77777777" w:rsidR="002B1FA1" w:rsidRDefault="002B1FA1" w:rsidP="002B1FA1">
      <w:r w:rsidRPr="64CAB6C3">
        <w:rPr>
          <w:rFonts w:ascii="Calibri" w:eastAsia="Calibri" w:hAnsi="Calibri" w:cs="Calibri"/>
          <w:b/>
          <w:bCs/>
          <w:sz w:val="22"/>
          <w:szCs w:val="22"/>
        </w:rPr>
        <w:t>International human rights treaties</w:t>
      </w:r>
    </w:p>
    <w:p w14:paraId="261EB7CD" w14:textId="77777777" w:rsidR="002B1FA1" w:rsidRPr="00955C2E" w:rsidRDefault="002B1FA1" w:rsidP="002B1FA1">
      <w:pPr>
        <w:rPr>
          <w:rFonts w:eastAsia="Arial"/>
          <w:sz w:val="22"/>
          <w:szCs w:val="22"/>
        </w:rPr>
      </w:pPr>
      <w:r w:rsidRPr="179DFC37">
        <w:rPr>
          <w:rFonts w:ascii="Calibri" w:eastAsia="Calibri" w:hAnsi="Calibri" w:cs="Calibri"/>
          <w:sz w:val="22"/>
          <w:szCs w:val="22"/>
        </w:rPr>
        <w:t>Canada has ratified (signed and agreed to be bound by) several human rights treaties with relevant rights, including the International Covenant on Economic, Social and Cultural Rights, the International Covenant on Civil and Political Rights, the Convention on the Elimination of Racial Discrimination, the Convention on the Rights of Women, and the Convention on the Rights of People with Disabilities. These treaties all protect everyone’s right to non-discrimination, and all specify the rights of everyone to access health care without discrimination</w:t>
      </w:r>
      <w:r>
        <w:rPr>
          <w:rFonts w:ascii="Calibri" w:eastAsia="Calibri" w:hAnsi="Calibri" w:cs="Calibri"/>
          <w:sz w:val="22"/>
          <w:szCs w:val="22"/>
        </w:rPr>
        <w:t>.</w:t>
      </w:r>
    </w:p>
    <w:p w14:paraId="4EBF4179" w14:textId="299F17D1" w:rsidR="00C8215D" w:rsidRDefault="002B1FA1" w:rsidP="00C8215D">
      <w:pPr>
        <w:rPr>
          <w:sz w:val="22"/>
          <w:szCs w:val="22"/>
        </w:rPr>
      </w:pPr>
      <w:r w:rsidRPr="179DFC37">
        <w:rPr>
          <w:sz w:val="22"/>
          <w:szCs w:val="22"/>
        </w:rPr>
        <w:t xml:space="preserve"> </w:t>
      </w:r>
    </w:p>
    <w:p w14:paraId="57617B00" w14:textId="77777777" w:rsidR="00C8215D" w:rsidRDefault="00C8215D">
      <w:pPr>
        <w:rPr>
          <w:sz w:val="22"/>
          <w:szCs w:val="22"/>
        </w:rPr>
      </w:pPr>
      <w:r>
        <w:rPr>
          <w:sz w:val="22"/>
          <w:szCs w:val="22"/>
        </w:rPr>
        <w:br w:type="page"/>
      </w:r>
    </w:p>
    <w:p w14:paraId="66D62FC5" w14:textId="056CECEC" w:rsidR="00E507C6" w:rsidRDefault="77211276" w:rsidP="00C8215D">
      <w:pPr>
        <w:pStyle w:val="Heading2"/>
      </w:pPr>
      <w:r>
        <w:lastRenderedPageBreak/>
        <w:t xml:space="preserve">Appendix </w:t>
      </w:r>
      <w:r w:rsidR="44B325BF">
        <w:t>C</w:t>
      </w:r>
      <w:r>
        <w:t xml:space="preserve">: </w:t>
      </w:r>
      <w:r w:rsidR="14217092">
        <w:t xml:space="preserve">Key Considerations </w:t>
      </w:r>
      <w:r w:rsidR="3CB84B07">
        <w:t xml:space="preserve">for the Development of </w:t>
      </w:r>
      <w:r w:rsidR="25CC7D49">
        <w:t xml:space="preserve">Clinical </w:t>
      </w:r>
      <w:r w:rsidR="066786CA">
        <w:t xml:space="preserve">Assessment </w:t>
      </w:r>
      <w:r w:rsidR="1A9F3918">
        <w:t>Guidelines for</w:t>
      </w:r>
      <w:r w:rsidR="00C963F5">
        <w:t xml:space="preserve"> the</w:t>
      </w:r>
      <w:r w:rsidR="7D0C3578">
        <w:t xml:space="preserve"> </w:t>
      </w:r>
      <w:r w:rsidR="00A1B49A">
        <w:t>Predicti</w:t>
      </w:r>
      <w:r w:rsidR="320DBAD0">
        <w:t>on of</w:t>
      </w:r>
      <w:r w:rsidR="00A1B49A">
        <w:t xml:space="preserve"> </w:t>
      </w:r>
      <w:r w:rsidR="2B429A31">
        <w:t xml:space="preserve">Short-Term </w:t>
      </w:r>
      <w:r w:rsidR="00A1B49A">
        <w:t>Mortality Risk</w:t>
      </w:r>
    </w:p>
    <w:p w14:paraId="3EC9BE86" w14:textId="77777777" w:rsidR="00C963F5" w:rsidRPr="00C963F5" w:rsidRDefault="00C963F5" w:rsidP="00C963F5"/>
    <w:p w14:paraId="332486EC" w14:textId="61B24106" w:rsidR="00C963F5" w:rsidRPr="00C963F5" w:rsidRDefault="00C963F5" w:rsidP="00C963F5">
      <w:pPr>
        <w:pStyle w:val="paragraph"/>
        <w:spacing w:before="0" w:beforeAutospacing="0" w:after="0" w:afterAutospacing="0"/>
        <w:textAlignment w:val="baseline"/>
        <w:rPr>
          <w:rStyle w:val="normaltextrun"/>
          <w:rFonts w:asciiTheme="minorHAnsi" w:hAnsiTheme="minorHAnsi"/>
          <w:iCs/>
          <w:sz w:val="22"/>
          <w:szCs w:val="22"/>
        </w:rPr>
      </w:pPr>
      <w:r w:rsidRPr="00C963F5">
        <w:rPr>
          <w:rStyle w:val="normaltextrun"/>
          <w:rFonts w:asciiTheme="minorHAnsi" w:hAnsiTheme="minorHAnsi"/>
          <w:sz w:val="22"/>
          <w:szCs w:val="22"/>
        </w:rPr>
        <w:t>The </w:t>
      </w:r>
      <w:r w:rsidRPr="00C963F5">
        <w:rPr>
          <w:rStyle w:val="normaltextrun"/>
          <w:rFonts w:asciiTheme="minorHAnsi" w:hAnsiTheme="minorHAnsi"/>
          <w:i/>
          <w:iCs/>
          <w:sz w:val="22"/>
          <w:szCs w:val="22"/>
        </w:rPr>
        <w:t xml:space="preserve">Proposed Framework </w:t>
      </w:r>
      <w:r w:rsidRPr="00C963F5">
        <w:rPr>
          <w:rStyle w:val="normaltextrun"/>
          <w:rFonts w:asciiTheme="minorHAnsi" w:hAnsiTheme="minorHAnsi"/>
          <w:iCs/>
          <w:sz w:val="22"/>
          <w:szCs w:val="22"/>
        </w:rPr>
        <w:t xml:space="preserve">underlines the importance of the individualized clinical assessment of patients and the use of explicit triage criteria to prioritize patients based on predicted short-term mortality risk. Under conditions of a major surge, critical care triage will be stressful for both patients and the clinicians who care for them. </w:t>
      </w:r>
    </w:p>
    <w:p w14:paraId="1B58DED5" w14:textId="77777777" w:rsidR="00C963F5" w:rsidRPr="00C963F5" w:rsidRDefault="00C963F5" w:rsidP="00C963F5">
      <w:pPr>
        <w:pStyle w:val="paragraph"/>
        <w:spacing w:before="0" w:beforeAutospacing="0" w:after="0" w:afterAutospacing="0"/>
        <w:textAlignment w:val="baseline"/>
        <w:rPr>
          <w:rStyle w:val="normaltextrun"/>
          <w:rFonts w:asciiTheme="minorHAnsi" w:hAnsiTheme="minorHAnsi"/>
          <w:iCs/>
          <w:sz w:val="22"/>
          <w:szCs w:val="22"/>
        </w:rPr>
      </w:pPr>
    </w:p>
    <w:p w14:paraId="3B6955B7" w14:textId="12D2624B" w:rsidR="00C963F5" w:rsidRPr="00C963F5" w:rsidRDefault="00C963F5" w:rsidP="00C963F5">
      <w:pPr>
        <w:pStyle w:val="paragraph"/>
        <w:spacing w:before="0" w:beforeAutospacing="0" w:after="0" w:afterAutospacing="0"/>
        <w:textAlignment w:val="baseline"/>
        <w:rPr>
          <w:rStyle w:val="normaltextrun"/>
          <w:rFonts w:asciiTheme="minorHAnsi" w:hAnsiTheme="minorHAnsi"/>
          <w:iCs/>
          <w:sz w:val="22"/>
          <w:szCs w:val="22"/>
        </w:rPr>
      </w:pPr>
      <w:r w:rsidRPr="00C963F5">
        <w:rPr>
          <w:rStyle w:val="normaltextrun"/>
          <w:rFonts w:asciiTheme="minorHAnsi" w:hAnsiTheme="minorHAnsi"/>
          <w:iCs/>
          <w:sz w:val="22"/>
          <w:szCs w:val="22"/>
        </w:rPr>
        <w:t xml:space="preserve">Clinical </w:t>
      </w:r>
      <w:r>
        <w:rPr>
          <w:rStyle w:val="normaltextrun"/>
          <w:rFonts w:asciiTheme="minorHAnsi" w:hAnsiTheme="minorHAnsi"/>
          <w:iCs/>
          <w:sz w:val="22"/>
          <w:szCs w:val="22"/>
        </w:rPr>
        <w:t>assessment</w:t>
      </w:r>
      <w:r w:rsidRPr="00C963F5">
        <w:rPr>
          <w:rStyle w:val="normaltextrun"/>
          <w:rFonts w:asciiTheme="minorHAnsi" w:hAnsiTheme="minorHAnsi"/>
          <w:iCs/>
          <w:sz w:val="22"/>
          <w:szCs w:val="22"/>
        </w:rPr>
        <w:t xml:space="preserve"> guidelines for critical care triage in a major surge would help to </w:t>
      </w:r>
      <w:r w:rsidRPr="00C963F5">
        <w:rPr>
          <w:rStyle w:val="normaltextrun"/>
          <w:rFonts w:asciiTheme="minorHAnsi" w:hAnsiTheme="minorHAnsi"/>
          <w:sz w:val="22"/>
          <w:szCs w:val="22"/>
        </w:rPr>
        <w:t>promote consistency in clinical practice, foster transparency and accountability about triage decisions, and ensure clinicians are supported in making clinic</w:t>
      </w:r>
      <w:r>
        <w:rPr>
          <w:rStyle w:val="normaltextrun"/>
          <w:rFonts w:asciiTheme="minorHAnsi" w:hAnsiTheme="minorHAnsi"/>
          <w:sz w:val="22"/>
          <w:szCs w:val="22"/>
        </w:rPr>
        <w:t>al</w:t>
      </w:r>
      <w:r w:rsidRPr="00C963F5">
        <w:rPr>
          <w:rStyle w:val="normaltextrun"/>
          <w:rFonts w:asciiTheme="minorHAnsi" w:hAnsiTheme="minorHAnsi"/>
          <w:sz w:val="22"/>
          <w:szCs w:val="22"/>
        </w:rPr>
        <w:t xml:space="preserve"> decisions, which are likely to be among the most difficult of their professional careers. However, at the present time, there are no standardized clinical tools to aid clinicians in their assessment of individual patients’ predicted short-term mortality risk for the purposes of critical care triage for a major surge in the COVID-19 pandemic. This is a significant gap, which puts both patients and clinicians at risk.</w:t>
      </w:r>
    </w:p>
    <w:p w14:paraId="530A1A22" w14:textId="77777777" w:rsidR="00C963F5" w:rsidRPr="00C963F5" w:rsidRDefault="00C963F5" w:rsidP="00C963F5">
      <w:pPr>
        <w:pStyle w:val="paragraph"/>
        <w:spacing w:before="0" w:beforeAutospacing="0" w:after="0" w:afterAutospacing="0"/>
        <w:textAlignment w:val="baseline"/>
        <w:rPr>
          <w:rStyle w:val="normaltextrun"/>
          <w:rFonts w:asciiTheme="minorHAnsi" w:hAnsiTheme="minorHAnsi"/>
          <w:sz w:val="22"/>
          <w:szCs w:val="22"/>
        </w:rPr>
      </w:pPr>
    </w:p>
    <w:p w14:paraId="45995D39" w14:textId="4342E445" w:rsidR="00C963F5" w:rsidRPr="00C963F5" w:rsidRDefault="00C963F5" w:rsidP="00C963F5">
      <w:pPr>
        <w:pStyle w:val="paragraph"/>
        <w:spacing w:before="0" w:beforeAutospacing="0" w:after="0" w:afterAutospacing="0"/>
        <w:textAlignment w:val="baseline"/>
        <w:rPr>
          <w:rStyle w:val="normaltextrun"/>
          <w:rFonts w:asciiTheme="minorHAnsi" w:hAnsiTheme="minorHAnsi"/>
          <w:sz w:val="22"/>
          <w:szCs w:val="22"/>
        </w:rPr>
      </w:pPr>
      <w:r w:rsidRPr="00C963F5">
        <w:rPr>
          <w:rStyle w:val="normaltextrun"/>
          <w:rFonts w:asciiTheme="minorHAnsi" w:hAnsiTheme="minorHAnsi"/>
          <w:sz w:val="22"/>
          <w:szCs w:val="22"/>
        </w:rPr>
        <w:t xml:space="preserve">Table 1 </w:t>
      </w:r>
      <w:r>
        <w:rPr>
          <w:rStyle w:val="normaltextrun"/>
          <w:rFonts w:asciiTheme="minorHAnsi" w:hAnsiTheme="minorHAnsi"/>
          <w:sz w:val="22"/>
          <w:szCs w:val="22"/>
        </w:rPr>
        <w:t xml:space="preserve">(below) </w:t>
      </w:r>
      <w:r w:rsidRPr="00C963F5">
        <w:rPr>
          <w:rStyle w:val="normaltextrun"/>
          <w:rFonts w:asciiTheme="minorHAnsi" w:hAnsiTheme="minorHAnsi"/>
          <w:sz w:val="22"/>
          <w:szCs w:val="22"/>
        </w:rPr>
        <w:t>summarizes early work led by Dr. James Downar to identify clinical factors and tools t</w:t>
      </w:r>
      <w:r>
        <w:rPr>
          <w:rStyle w:val="normaltextrun"/>
          <w:rFonts w:asciiTheme="minorHAnsi" w:hAnsiTheme="minorHAnsi"/>
          <w:sz w:val="22"/>
          <w:szCs w:val="22"/>
        </w:rPr>
        <w:t>hat may have value in aiding</w:t>
      </w:r>
      <w:r w:rsidRPr="00C963F5">
        <w:rPr>
          <w:rStyle w:val="normaltextrun"/>
          <w:rFonts w:asciiTheme="minorHAnsi" w:hAnsiTheme="minorHAnsi"/>
          <w:sz w:val="22"/>
          <w:szCs w:val="22"/>
        </w:rPr>
        <w:t> clinicians in assessing </w:t>
      </w:r>
      <w:r>
        <w:rPr>
          <w:rStyle w:val="normaltextrun"/>
          <w:rFonts w:asciiTheme="minorHAnsi" w:hAnsiTheme="minorHAnsi"/>
          <w:sz w:val="22"/>
          <w:szCs w:val="22"/>
        </w:rPr>
        <w:t xml:space="preserve">their individual patient’s predicted </w:t>
      </w:r>
      <w:r w:rsidRPr="00C963F5">
        <w:rPr>
          <w:rStyle w:val="normaltextrun"/>
          <w:rFonts w:asciiTheme="minorHAnsi" w:hAnsiTheme="minorHAnsi"/>
          <w:sz w:val="22"/>
          <w:szCs w:val="22"/>
        </w:rPr>
        <w:t>short-term mortality risk. The clinical factors and tools were identified based on published evidence and/or clinical experience-based prognostic indicators (short-term mortality risk) for specific conditions that</w:t>
      </w:r>
      <w:r w:rsidR="00622223">
        <w:rPr>
          <w:rStyle w:val="normaltextrun"/>
          <w:rFonts w:asciiTheme="minorHAnsi" w:hAnsiTheme="minorHAnsi"/>
          <w:sz w:val="22"/>
          <w:szCs w:val="22"/>
        </w:rPr>
        <w:t xml:space="preserve"> were pre-existing or have caused or contributed to c</w:t>
      </w:r>
      <w:r w:rsidRPr="00C963F5">
        <w:rPr>
          <w:rStyle w:val="normaltextrun"/>
          <w:rFonts w:asciiTheme="minorHAnsi" w:hAnsiTheme="minorHAnsi"/>
          <w:sz w:val="22"/>
          <w:szCs w:val="22"/>
        </w:rPr>
        <w:t xml:space="preserve">ritical illness. </w:t>
      </w:r>
      <w:r w:rsidR="00A82BBB">
        <w:rPr>
          <w:rStyle w:val="normaltextrun"/>
          <w:rFonts w:asciiTheme="minorHAnsi" w:hAnsiTheme="minorHAnsi"/>
          <w:sz w:val="22"/>
          <w:szCs w:val="22"/>
        </w:rPr>
        <w:t>T</w:t>
      </w:r>
      <w:r>
        <w:rPr>
          <w:rStyle w:val="normaltextrun"/>
          <w:rFonts w:asciiTheme="minorHAnsi" w:hAnsiTheme="minorHAnsi"/>
          <w:sz w:val="22"/>
          <w:szCs w:val="22"/>
        </w:rPr>
        <w:t>able</w:t>
      </w:r>
      <w:r w:rsidR="00390B56">
        <w:rPr>
          <w:rStyle w:val="normaltextrun"/>
          <w:rFonts w:asciiTheme="minorHAnsi" w:hAnsiTheme="minorHAnsi"/>
          <w:sz w:val="22"/>
          <w:szCs w:val="22"/>
        </w:rPr>
        <w:t xml:space="preserve"> 1</w:t>
      </w:r>
      <w:r w:rsidRPr="00C963F5">
        <w:rPr>
          <w:rStyle w:val="normaltextrun"/>
          <w:rFonts w:asciiTheme="minorHAnsi" w:hAnsiTheme="minorHAnsi"/>
          <w:sz w:val="22"/>
          <w:szCs w:val="22"/>
        </w:rPr>
        <w:t xml:space="preserve"> was informed by consultation with diverse clinical experts in March-June 2020 and is evolving as new evidence emerges and as clinical experience caring for critically ill patients in the COVID-19 pandemic grows. </w:t>
      </w:r>
      <w:r w:rsidR="00A82BBB" w:rsidRPr="00A82BBB">
        <w:rPr>
          <w:rStyle w:val="normaltextrun"/>
          <w:rFonts w:asciiTheme="minorHAnsi" w:hAnsiTheme="minorHAnsi"/>
          <w:sz w:val="22"/>
          <w:szCs w:val="22"/>
        </w:rPr>
        <w:t xml:space="preserve">It was met with significant criticism from </w:t>
      </w:r>
      <w:r w:rsidR="00390B56">
        <w:rPr>
          <w:rStyle w:val="normaltextrun"/>
          <w:rFonts w:asciiTheme="minorHAnsi" w:hAnsiTheme="minorHAnsi"/>
          <w:sz w:val="22"/>
          <w:szCs w:val="22"/>
        </w:rPr>
        <w:t xml:space="preserve">some </w:t>
      </w:r>
      <w:r w:rsidR="00A82BBB" w:rsidRPr="00A82BBB">
        <w:rPr>
          <w:rStyle w:val="normaltextrun"/>
          <w:rFonts w:asciiTheme="minorHAnsi" w:hAnsiTheme="minorHAnsi"/>
          <w:sz w:val="22"/>
          <w:szCs w:val="22"/>
        </w:rPr>
        <w:t xml:space="preserve">members of the </w:t>
      </w:r>
      <w:r w:rsidR="00390B56">
        <w:rPr>
          <w:rStyle w:val="normaltextrun"/>
          <w:rFonts w:asciiTheme="minorHAnsi" w:hAnsiTheme="minorHAnsi"/>
          <w:sz w:val="22"/>
          <w:szCs w:val="22"/>
        </w:rPr>
        <w:t xml:space="preserve">Bioethics </w:t>
      </w:r>
      <w:r w:rsidR="00A82BBB">
        <w:rPr>
          <w:rStyle w:val="normaltextrun"/>
          <w:rFonts w:asciiTheme="minorHAnsi" w:hAnsiTheme="minorHAnsi"/>
          <w:sz w:val="22"/>
          <w:szCs w:val="22"/>
        </w:rPr>
        <w:t>T</w:t>
      </w:r>
      <w:r w:rsidR="00A82BBB" w:rsidRPr="00A82BBB">
        <w:rPr>
          <w:rStyle w:val="normaltextrun"/>
          <w:rFonts w:asciiTheme="minorHAnsi" w:hAnsiTheme="minorHAnsi"/>
          <w:sz w:val="22"/>
          <w:szCs w:val="22"/>
        </w:rPr>
        <w:t>able and from stakeholder communities.</w:t>
      </w:r>
      <w:r w:rsidR="006A7F4F" w:rsidRPr="006A7F4F">
        <w:rPr>
          <w:rStyle w:val="normaltextrun"/>
          <w:rFonts w:asciiTheme="minorHAnsi" w:hAnsiTheme="minorHAnsi"/>
          <w:sz w:val="22"/>
          <w:szCs w:val="22"/>
          <w:vertAlign w:val="superscript"/>
        </w:rPr>
        <w:t>33,34,35</w:t>
      </w:r>
      <w:r w:rsidR="00A82BBB" w:rsidRPr="00A82BBB">
        <w:rPr>
          <w:rStyle w:val="normaltextrun"/>
          <w:rFonts w:asciiTheme="minorHAnsi" w:hAnsiTheme="minorHAnsi"/>
          <w:sz w:val="22"/>
          <w:szCs w:val="22"/>
        </w:rPr>
        <w:t xml:space="preserve"> </w:t>
      </w:r>
      <w:r w:rsidRPr="00C963F5">
        <w:rPr>
          <w:rStyle w:val="normaltextrun"/>
          <w:rFonts w:asciiTheme="minorHAnsi" w:hAnsiTheme="minorHAnsi"/>
          <w:sz w:val="22"/>
          <w:szCs w:val="22"/>
        </w:rPr>
        <w:t xml:space="preserve">This work may offer a </w:t>
      </w:r>
      <w:r w:rsidRPr="00C963F5">
        <w:rPr>
          <w:rStyle w:val="normaltextrun"/>
          <w:rFonts w:asciiTheme="minorHAnsi" w:hAnsiTheme="minorHAnsi"/>
          <w:i/>
          <w:sz w:val="22"/>
          <w:szCs w:val="22"/>
        </w:rPr>
        <w:t>starting point</w:t>
      </w:r>
      <w:r w:rsidRPr="00C963F5">
        <w:rPr>
          <w:rStyle w:val="normaltextrun"/>
          <w:rFonts w:asciiTheme="minorHAnsi" w:hAnsiTheme="minorHAnsi"/>
          <w:sz w:val="22"/>
          <w:szCs w:val="22"/>
        </w:rPr>
        <w:t xml:space="preserve"> for the multidisciplinary consensus panel in developing clinical practice guidelines to inform </w:t>
      </w:r>
      <w:r w:rsidRPr="00C963F5">
        <w:rPr>
          <w:rStyle w:val="normaltextrun"/>
          <w:rFonts w:asciiTheme="minorHAnsi" w:hAnsiTheme="minorHAnsi"/>
          <w:color w:val="000000"/>
          <w:sz w:val="22"/>
          <w:szCs w:val="22"/>
        </w:rPr>
        <w:t>individualized clinical assessment of patients’ predicted short-term mortality risk; however, the Bioethics Table</w:t>
      </w:r>
      <w:r w:rsidR="00622223">
        <w:rPr>
          <w:rStyle w:val="normaltextrun"/>
          <w:rFonts w:asciiTheme="minorHAnsi" w:hAnsiTheme="minorHAnsi"/>
          <w:color w:val="000000"/>
          <w:sz w:val="22"/>
          <w:szCs w:val="22"/>
        </w:rPr>
        <w:t xml:space="preserve"> </w:t>
      </w:r>
      <w:r w:rsidR="00622223" w:rsidRPr="00622223">
        <w:rPr>
          <w:rStyle w:val="normaltextrun"/>
          <w:rFonts w:asciiTheme="minorHAnsi" w:hAnsiTheme="minorHAnsi"/>
          <w:color w:val="000000"/>
          <w:sz w:val="22"/>
          <w:szCs w:val="22"/>
        </w:rPr>
        <w:t>does not have sufficient clinical expertise to recommend</w:t>
      </w:r>
      <w:r w:rsidRPr="00C963F5">
        <w:rPr>
          <w:rStyle w:val="normaltextrun"/>
          <w:rFonts w:asciiTheme="minorHAnsi" w:hAnsiTheme="minorHAnsi"/>
          <w:color w:val="000000"/>
          <w:sz w:val="22"/>
          <w:szCs w:val="22"/>
        </w:rPr>
        <w:t xml:space="preserve"> that these clinical factors and tools be used. </w:t>
      </w:r>
    </w:p>
    <w:p w14:paraId="279A2980" w14:textId="77777777" w:rsidR="00C963F5" w:rsidRPr="00C963F5" w:rsidRDefault="00C963F5" w:rsidP="00C963F5">
      <w:pPr>
        <w:pStyle w:val="paragraph"/>
        <w:spacing w:before="0" w:beforeAutospacing="0" w:after="0" w:afterAutospacing="0"/>
        <w:textAlignment w:val="baseline"/>
        <w:rPr>
          <w:rStyle w:val="normaltextrun"/>
          <w:rFonts w:asciiTheme="minorHAnsi" w:hAnsiTheme="minorHAnsi"/>
          <w:sz w:val="22"/>
          <w:szCs w:val="22"/>
        </w:rPr>
      </w:pPr>
    </w:p>
    <w:p w14:paraId="6036EC83" w14:textId="3303CF84" w:rsidR="00C963F5" w:rsidRPr="00C963F5" w:rsidRDefault="00B87BD3" w:rsidP="00C963F5">
      <w:pPr>
        <w:pStyle w:val="paragraph"/>
        <w:spacing w:before="0" w:beforeAutospacing="0" w:after="0" w:afterAutospacing="0"/>
        <w:textAlignment w:val="baseline"/>
        <w:rPr>
          <w:rStyle w:val="normaltextrun"/>
          <w:rFonts w:asciiTheme="minorHAnsi" w:hAnsiTheme="minorHAnsi"/>
          <w:color w:val="000000"/>
          <w:sz w:val="22"/>
          <w:szCs w:val="22"/>
        </w:rPr>
      </w:pPr>
      <w:r>
        <w:rPr>
          <w:rStyle w:val="normaltextrun"/>
          <w:rFonts w:asciiTheme="minorHAnsi" w:hAnsiTheme="minorHAnsi"/>
          <w:sz w:val="22"/>
          <w:szCs w:val="22"/>
        </w:rPr>
        <w:t>Table 1</w:t>
      </w:r>
      <w:r w:rsidR="00C963F5" w:rsidRPr="00C963F5">
        <w:rPr>
          <w:rStyle w:val="normaltextrun"/>
          <w:rFonts w:asciiTheme="minorHAnsi" w:hAnsiTheme="minorHAnsi"/>
          <w:sz w:val="22"/>
          <w:szCs w:val="22"/>
        </w:rPr>
        <w:t xml:space="preserve"> </w:t>
      </w:r>
      <w:r w:rsidR="00C963F5" w:rsidRPr="00C963F5">
        <w:rPr>
          <w:rStyle w:val="normaltextrun"/>
          <w:rFonts w:asciiTheme="minorHAnsi" w:hAnsiTheme="minorHAnsi"/>
          <w:color w:val="000000"/>
          <w:sz w:val="22"/>
          <w:szCs w:val="22"/>
        </w:rPr>
        <w:t xml:space="preserve">refers to clinical tools that were not developed to predict </w:t>
      </w:r>
      <w:r w:rsidR="00C963F5">
        <w:rPr>
          <w:rStyle w:val="normaltextrun"/>
          <w:rFonts w:asciiTheme="minorHAnsi" w:hAnsiTheme="minorHAnsi"/>
          <w:color w:val="000000"/>
          <w:sz w:val="22"/>
          <w:szCs w:val="22"/>
        </w:rPr>
        <w:t xml:space="preserve">short-term </w:t>
      </w:r>
      <w:r w:rsidR="00C963F5" w:rsidRPr="00C963F5">
        <w:rPr>
          <w:rStyle w:val="normaltextrun"/>
          <w:rFonts w:asciiTheme="minorHAnsi" w:hAnsiTheme="minorHAnsi"/>
          <w:color w:val="000000"/>
          <w:sz w:val="22"/>
          <w:szCs w:val="22"/>
        </w:rPr>
        <w:t>mortality risk or to inform resource allocation decisions</w:t>
      </w:r>
      <w:r w:rsidR="00622223">
        <w:rPr>
          <w:rStyle w:val="normaltextrun"/>
          <w:rFonts w:asciiTheme="minorHAnsi" w:hAnsiTheme="minorHAnsi"/>
          <w:color w:val="000000"/>
          <w:sz w:val="22"/>
          <w:szCs w:val="22"/>
        </w:rPr>
        <w:t>. To our knowledge,</w:t>
      </w:r>
      <w:r w:rsidR="00C963F5" w:rsidRPr="00C963F5">
        <w:rPr>
          <w:rStyle w:val="normaltextrun"/>
          <w:rFonts w:asciiTheme="minorHAnsi" w:hAnsiTheme="minorHAnsi"/>
          <w:color w:val="000000"/>
          <w:sz w:val="22"/>
          <w:szCs w:val="22"/>
        </w:rPr>
        <w:t xml:space="preserve"> no clinical tool has been validated for the specific purpose of critical care resource allocation in either pandemic or normal times. Consequently, unless and until valid tools are developed, clinicians </w:t>
      </w:r>
      <w:r w:rsidR="00A82BBB">
        <w:rPr>
          <w:rStyle w:val="normaltextrun"/>
          <w:rFonts w:asciiTheme="minorHAnsi" w:hAnsiTheme="minorHAnsi"/>
          <w:color w:val="000000"/>
          <w:sz w:val="22"/>
          <w:szCs w:val="22"/>
        </w:rPr>
        <w:t xml:space="preserve">choosing to rely on existing tools </w:t>
      </w:r>
      <w:r w:rsidR="00C963F5" w:rsidRPr="00C963F5">
        <w:rPr>
          <w:rStyle w:val="normaltextrun"/>
          <w:rFonts w:asciiTheme="minorHAnsi" w:hAnsiTheme="minorHAnsi"/>
          <w:color w:val="000000"/>
          <w:sz w:val="22"/>
          <w:szCs w:val="22"/>
        </w:rPr>
        <w:t xml:space="preserve">must adapt the clinical tools </w:t>
      </w:r>
      <w:r w:rsidR="00C963F5">
        <w:rPr>
          <w:rStyle w:val="normaltextrun"/>
          <w:rFonts w:asciiTheme="minorHAnsi" w:hAnsiTheme="minorHAnsi"/>
          <w:color w:val="000000"/>
          <w:sz w:val="22"/>
          <w:szCs w:val="22"/>
        </w:rPr>
        <w:t xml:space="preserve">available to them </w:t>
      </w:r>
      <w:r w:rsidR="00C963F5" w:rsidRPr="00C963F5">
        <w:rPr>
          <w:rStyle w:val="normaltextrun"/>
          <w:rFonts w:asciiTheme="minorHAnsi" w:hAnsiTheme="minorHAnsi"/>
          <w:color w:val="000000"/>
          <w:sz w:val="22"/>
          <w:szCs w:val="22"/>
        </w:rPr>
        <w:t>to the context of critical care triage for major surge in the COVID-19 pandemic</w:t>
      </w:r>
      <w:r w:rsidR="00C963F5">
        <w:rPr>
          <w:rStyle w:val="normaltextrun"/>
          <w:rFonts w:asciiTheme="minorHAnsi" w:hAnsiTheme="minorHAnsi"/>
          <w:color w:val="000000"/>
          <w:sz w:val="22"/>
          <w:szCs w:val="22"/>
        </w:rPr>
        <w:t>. Otherwise,</w:t>
      </w:r>
      <w:r w:rsidR="00C963F5" w:rsidRPr="00C963F5">
        <w:rPr>
          <w:rStyle w:val="normaltextrun"/>
          <w:rFonts w:asciiTheme="minorHAnsi" w:hAnsiTheme="minorHAnsi"/>
          <w:color w:val="000000"/>
          <w:sz w:val="22"/>
          <w:szCs w:val="22"/>
        </w:rPr>
        <w:t xml:space="preserve"> they must rely on clinical judgment alone or a non-clinical standard (e.g., first-come, first-served; random allocation). As noted in Section D above, there are good reasons for not relying on clinical judgment alone, notably because it increases the subjectivity of clinical assessment, introduces clinician bias and inconsistency, places greater cognitive and moral burden on clinicians making decisions in a crisis, and presents greater risk of violating human rights and exacerbating health and social inequities. However, even clinical tools for which there is strong evidence supporting their accuracy (i.e., their ability to predict short-term mortality risk), reliability (i.e., multiple people using the tool on the same patient would obtain the same result), and feasibility (i.e., people are able to use the tool in the context of a pandemic) may still be concerning if they are unjustifiably discriminatory towards a specific group on prohibited human rights grounds. </w:t>
      </w:r>
    </w:p>
    <w:p w14:paraId="361C55B3" w14:textId="77777777" w:rsidR="00C963F5" w:rsidRPr="00C963F5" w:rsidRDefault="00C963F5" w:rsidP="00C963F5">
      <w:pPr>
        <w:pStyle w:val="paragraph"/>
        <w:spacing w:before="0" w:beforeAutospacing="0" w:after="0" w:afterAutospacing="0"/>
        <w:textAlignment w:val="baseline"/>
        <w:rPr>
          <w:rStyle w:val="normaltextrun"/>
          <w:rFonts w:asciiTheme="minorHAnsi" w:hAnsiTheme="minorHAnsi"/>
          <w:color w:val="000000"/>
          <w:sz w:val="22"/>
          <w:szCs w:val="22"/>
        </w:rPr>
      </w:pPr>
    </w:p>
    <w:p w14:paraId="78109462" w14:textId="0BA28B41" w:rsidR="00C963F5" w:rsidRPr="00C963F5" w:rsidRDefault="00C963F5" w:rsidP="006C6C4A">
      <w:pPr>
        <w:pStyle w:val="paragraph"/>
        <w:spacing w:before="0" w:beforeAutospacing="0" w:after="0" w:afterAutospacing="0"/>
        <w:ind w:right="4"/>
        <w:textAlignment w:val="baseline"/>
        <w:rPr>
          <w:rFonts w:asciiTheme="minorHAnsi" w:hAnsiTheme="minorHAnsi" w:cs="Calibri"/>
          <w:color w:val="000000"/>
          <w:sz w:val="22"/>
          <w:szCs w:val="22"/>
        </w:rPr>
      </w:pPr>
      <w:r w:rsidRPr="00C963F5">
        <w:rPr>
          <w:rStyle w:val="normaltextrun"/>
          <w:rFonts w:asciiTheme="minorHAnsi" w:hAnsiTheme="minorHAnsi"/>
          <w:color w:val="000000"/>
          <w:sz w:val="22"/>
          <w:szCs w:val="22"/>
        </w:rPr>
        <w:t>Clinical tools must be able to distinguish between patients on the basis of predicted short</w:t>
      </w:r>
      <w:r w:rsidR="00C24968">
        <w:rPr>
          <w:rStyle w:val="normaltextrun"/>
          <w:rFonts w:asciiTheme="minorHAnsi" w:hAnsiTheme="minorHAnsi"/>
          <w:color w:val="000000"/>
          <w:sz w:val="22"/>
          <w:szCs w:val="22"/>
        </w:rPr>
        <w:t>-term morality risk</w:t>
      </w:r>
      <w:r w:rsidRPr="00C963F5">
        <w:rPr>
          <w:rStyle w:val="normaltextrun"/>
          <w:rFonts w:asciiTheme="minorHAnsi" w:hAnsiTheme="minorHAnsi"/>
          <w:color w:val="000000"/>
          <w:sz w:val="22"/>
          <w:szCs w:val="22"/>
        </w:rPr>
        <w:t xml:space="preserve">, but even validated tools may have a disproportionate </w:t>
      </w:r>
      <w:r>
        <w:rPr>
          <w:rStyle w:val="normaltextrun"/>
          <w:rFonts w:asciiTheme="minorHAnsi" w:hAnsiTheme="minorHAnsi"/>
          <w:color w:val="000000"/>
          <w:sz w:val="22"/>
          <w:szCs w:val="22"/>
        </w:rPr>
        <w:t>impact</w:t>
      </w:r>
      <w:r w:rsidRPr="00C963F5">
        <w:rPr>
          <w:rStyle w:val="normaltextrun"/>
          <w:rFonts w:asciiTheme="minorHAnsi" w:hAnsiTheme="minorHAnsi"/>
          <w:color w:val="000000"/>
          <w:sz w:val="22"/>
          <w:szCs w:val="22"/>
        </w:rPr>
        <w:t xml:space="preserve"> on some</w:t>
      </w:r>
      <w:r w:rsidR="006C6C4A">
        <w:rPr>
          <w:rStyle w:val="normaltextrun"/>
          <w:rFonts w:asciiTheme="minorHAnsi" w:hAnsiTheme="minorHAnsi"/>
          <w:color w:val="000000"/>
          <w:sz w:val="22"/>
          <w:szCs w:val="22"/>
        </w:rPr>
        <w:t xml:space="preserve"> </w:t>
      </w:r>
      <w:r w:rsidRPr="00C963F5">
        <w:rPr>
          <w:rStyle w:val="normaltextrun"/>
          <w:rFonts w:asciiTheme="minorHAnsi" w:hAnsiTheme="minorHAnsi"/>
          <w:color w:val="000000"/>
          <w:sz w:val="22"/>
          <w:szCs w:val="22"/>
        </w:rPr>
        <w:t xml:space="preserve">groups because short-term mortality risk is not randomly distributed among the population. Thus, any clinical tool used in the </w:t>
      </w:r>
      <w:r w:rsidRPr="00C963F5">
        <w:rPr>
          <w:rStyle w:val="normaltextrun"/>
          <w:rFonts w:asciiTheme="minorHAnsi" w:hAnsiTheme="minorHAnsi"/>
          <w:color w:val="000000"/>
          <w:sz w:val="22"/>
          <w:szCs w:val="22"/>
        </w:rPr>
        <w:lastRenderedPageBreak/>
        <w:t>pandemic context of a major surge should be superior to any available alternative in relation to</w:t>
      </w:r>
      <w:r>
        <w:rPr>
          <w:rStyle w:val="normaltextrun"/>
          <w:rFonts w:asciiTheme="minorHAnsi" w:hAnsiTheme="minorHAnsi"/>
          <w:color w:val="000000"/>
          <w:sz w:val="22"/>
          <w:szCs w:val="22"/>
        </w:rPr>
        <w:t>:</w:t>
      </w:r>
      <w:r w:rsidRPr="00C963F5">
        <w:rPr>
          <w:rStyle w:val="normaltextrun"/>
          <w:rFonts w:asciiTheme="minorHAnsi" w:hAnsiTheme="minorHAnsi"/>
          <w:color w:val="000000"/>
          <w:sz w:val="22"/>
          <w:szCs w:val="22"/>
        </w:rPr>
        <w:t xml:space="preserve"> </w:t>
      </w:r>
      <w:proofErr w:type="spellStart"/>
      <w:r w:rsidRPr="00C963F5">
        <w:rPr>
          <w:rStyle w:val="normaltextrun"/>
          <w:rFonts w:asciiTheme="minorHAnsi" w:hAnsiTheme="minorHAnsi"/>
          <w:color w:val="000000"/>
          <w:sz w:val="22"/>
          <w:szCs w:val="22"/>
        </w:rPr>
        <w:t>i</w:t>
      </w:r>
      <w:proofErr w:type="spellEnd"/>
      <w:r w:rsidRPr="00C963F5">
        <w:rPr>
          <w:rStyle w:val="normaltextrun"/>
          <w:rFonts w:asciiTheme="minorHAnsi" w:hAnsiTheme="minorHAnsi"/>
          <w:color w:val="000000"/>
          <w:sz w:val="22"/>
          <w:szCs w:val="22"/>
        </w:rPr>
        <w:t>) its evidence-based value in predicting short-term mortality</w:t>
      </w:r>
      <w:r>
        <w:rPr>
          <w:rStyle w:val="normaltextrun"/>
          <w:rFonts w:asciiTheme="minorHAnsi" w:hAnsiTheme="minorHAnsi"/>
          <w:color w:val="000000"/>
          <w:sz w:val="22"/>
          <w:szCs w:val="22"/>
        </w:rPr>
        <w:t>,</w:t>
      </w:r>
      <w:r w:rsidRPr="00C963F5">
        <w:rPr>
          <w:rStyle w:val="normaltextrun"/>
          <w:rFonts w:asciiTheme="minorHAnsi" w:hAnsiTheme="minorHAnsi"/>
          <w:color w:val="000000"/>
          <w:sz w:val="22"/>
          <w:szCs w:val="22"/>
        </w:rPr>
        <w:t xml:space="preserve"> and ii) the degree to which it engages concerns about human rights. </w:t>
      </w:r>
      <w:r w:rsidRPr="00C963F5">
        <w:rPr>
          <w:rStyle w:val="eop"/>
          <w:rFonts w:asciiTheme="minorHAnsi" w:hAnsiTheme="minorHAnsi" w:cs="Calibri"/>
          <w:color w:val="000000"/>
          <w:sz w:val="22"/>
          <w:szCs w:val="22"/>
        </w:rPr>
        <w:t>This important insight was underscored in the Bioethics Table’s deliberation and consultation with stakeholders on the use of the Clinical Frailty Sc</w:t>
      </w:r>
      <w:r w:rsidR="00005634">
        <w:rPr>
          <w:rStyle w:val="eop"/>
          <w:rFonts w:asciiTheme="minorHAnsi" w:hAnsiTheme="minorHAnsi" w:cs="Calibri"/>
          <w:color w:val="000000"/>
          <w:sz w:val="22"/>
          <w:szCs w:val="22"/>
        </w:rPr>
        <w:t>ale</w:t>
      </w:r>
      <w:r w:rsidRPr="00C963F5">
        <w:rPr>
          <w:rStyle w:val="eop"/>
          <w:rFonts w:asciiTheme="minorHAnsi" w:hAnsiTheme="minorHAnsi" w:cs="Calibri"/>
          <w:color w:val="000000"/>
          <w:sz w:val="22"/>
          <w:szCs w:val="22"/>
        </w:rPr>
        <w:t xml:space="preserve"> (CFS) as a prognostic tool in progressive illness</w:t>
      </w:r>
      <w:r w:rsidR="004C5F0F">
        <w:rPr>
          <w:rStyle w:val="eop"/>
          <w:rFonts w:asciiTheme="minorHAnsi" w:hAnsiTheme="minorHAnsi" w:cs="Calibri"/>
          <w:color w:val="000000"/>
          <w:sz w:val="22"/>
          <w:szCs w:val="22"/>
        </w:rPr>
        <w:t xml:space="preserve">, </w:t>
      </w:r>
      <w:r w:rsidR="004C5F0F" w:rsidRPr="004C5F0F">
        <w:rPr>
          <w:rStyle w:val="eop"/>
          <w:rFonts w:asciiTheme="minorHAnsi" w:hAnsiTheme="minorHAnsi" w:cs="Calibri"/>
          <w:color w:val="000000"/>
          <w:sz w:val="22"/>
          <w:szCs w:val="22"/>
        </w:rPr>
        <w:t xml:space="preserve">and can be used as a case example of how any of the tools which follow should be critically </w:t>
      </w:r>
      <w:r w:rsidR="004C5F0F">
        <w:rPr>
          <w:rStyle w:val="eop"/>
          <w:rFonts w:asciiTheme="minorHAnsi" w:hAnsiTheme="minorHAnsi" w:cs="Calibri"/>
          <w:color w:val="000000"/>
          <w:sz w:val="22"/>
          <w:szCs w:val="22"/>
        </w:rPr>
        <w:t>considered</w:t>
      </w:r>
      <w:r w:rsidR="004C5F0F" w:rsidRPr="004C5F0F">
        <w:rPr>
          <w:rStyle w:val="eop"/>
          <w:rFonts w:asciiTheme="minorHAnsi" w:hAnsiTheme="minorHAnsi" w:cs="Calibri"/>
          <w:color w:val="000000"/>
          <w:sz w:val="22"/>
          <w:szCs w:val="22"/>
        </w:rPr>
        <w:t xml:space="preserve"> in the context of triage</w:t>
      </w:r>
      <w:r w:rsidR="004C5F0F">
        <w:rPr>
          <w:rStyle w:val="eop"/>
          <w:rFonts w:asciiTheme="minorHAnsi" w:hAnsiTheme="minorHAnsi" w:cs="Calibri"/>
          <w:color w:val="000000"/>
          <w:sz w:val="22"/>
          <w:szCs w:val="22"/>
        </w:rPr>
        <w:t>.</w:t>
      </w:r>
    </w:p>
    <w:p w14:paraId="2F196412" w14:textId="77777777" w:rsidR="00C963F5" w:rsidRPr="00C963F5" w:rsidRDefault="00C963F5" w:rsidP="00C963F5">
      <w:pPr>
        <w:pStyle w:val="paragraph"/>
        <w:spacing w:before="0" w:beforeAutospacing="0" w:after="0" w:afterAutospacing="0"/>
        <w:textAlignment w:val="baseline"/>
        <w:rPr>
          <w:rFonts w:asciiTheme="minorHAnsi" w:hAnsiTheme="minorHAnsi" w:cs="Calibri"/>
          <w:color w:val="000000"/>
          <w:sz w:val="22"/>
          <w:szCs w:val="22"/>
        </w:rPr>
      </w:pPr>
    </w:p>
    <w:p w14:paraId="7C20D2BD" w14:textId="35C9BC96" w:rsidR="00C963F5" w:rsidRPr="00C963F5" w:rsidRDefault="00C963F5" w:rsidP="00C963F5">
      <w:pPr>
        <w:pStyle w:val="paragraph"/>
        <w:spacing w:before="0" w:beforeAutospacing="0" w:after="0" w:afterAutospacing="0"/>
        <w:textAlignment w:val="baseline"/>
        <w:rPr>
          <w:rFonts w:asciiTheme="minorHAnsi" w:hAnsiTheme="minorHAnsi" w:cs="Calibri"/>
          <w:sz w:val="22"/>
          <w:szCs w:val="22"/>
        </w:rPr>
      </w:pPr>
      <w:r w:rsidRPr="00C963F5">
        <w:rPr>
          <w:rStyle w:val="eop"/>
          <w:rFonts w:asciiTheme="minorHAnsi" w:hAnsiTheme="minorHAnsi" w:cs="Calibri"/>
          <w:color w:val="000000"/>
          <w:sz w:val="22"/>
          <w:szCs w:val="22"/>
          <w:lang w:val="en-US"/>
        </w:rPr>
        <w:t xml:space="preserve">The CFS </w:t>
      </w:r>
      <w:r w:rsidRPr="00C963F5">
        <w:rPr>
          <w:rStyle w:val="normaltextrun"/>
          <w:rFonts w:asciiTheme="minorHAnsi" w:hAnsiTheme="minorHAnsi"/>
          <w:sz w:val="22"/>
          <w:szCs w:val="22"/>
        </w:rPr>
        <w:t>is currently in widespread use throughout the healthcare system, including in assessment of patients with critical illness in a non-pandemic context.</w:t>
      </w:r>
      <w:r w:rsidR="00071677" w:rsidRPr="00071677">
        <w:rPr>
          <w:rStyle w:val="normaltextrun"/>
          <w:rFonts w:asciiTheme="minorHAnsi" w:hAnsiTheme="minorHAnsi"/>
          <w:sz w:val="22"/>
          <w:szCs w:val="22"/>
          <w:vertAlign w:val="superscript"/>
        </w:rPr>
        <w:t>43</w:t>
      </w:r>
      <w:r w:rsidR="00B87BD3">
        <w:rPr>
          <w:rStyle w:val="normaltextrun"/>
          <w:rFonts w:asciiTheme="minorHAnsi" w:hAnsiTheme="minorHAnsi"/>
          <w:sz w:val="22"/>
          <w:szCs w:val="22"/>
          <w:vertAlign w:val="superscript"/>
        </w:rPr>
        <w:t>,44</w:t>
      </w:r>
      <w:r w:rsidR="00F02F18">
        <w:rPr>
          <w:rStyle w:val="normaltextrun"/>
          <w:rFonts w:asciiTheme="minorHAnsi" w:hAnsiTheme="minorHAnsi"/>
          <w:sz w:val="22"/>
          <w:szCs w:val="22"/>
          <w:vertAlign w:val="superscript"/>
        </w:rPr>
        <w:t>,45</w:t>
      </w:r>
      <w:r w:rsidRPr="00C963F5">
        <w:rPr>
          <w:rStyle w:val="eop"/>
          <w:rFonts w:asciiTheme="minorHAnsi" w:hAnsiTheme="minorHAnsi" w:cs="Calibri"/>
          <w:sz w:val="22"/>
          <w:szCs w:val="22"/>
        </w:rPr>
        <w:t> Recent observational studies in the COVID-19 pandemic show a strong association between CFS and predicted mortality.</w:t>
      </w:r>
      <w:r w:rsidR="00F02F18" w:rsidRPr="00BC6346">
        <w:rPr>
          <w:rStyle w:val="eop"/>
          <w:rFonts w:asciiTheme="minorHAnsi" w:hAnsiTheme="minorHAnsi" w:cs="Calibri"/>
          <w:sz w:val="22"/>
          <w:szCs w:val="22"/>
          <w:vertAlign w:val="superscript"/>
        </w:rPr>
        <w:t>44,46,47,48</w:t>
      </w:r>
      <w:r w:rsidR="00BC6346" w:rsidRPr="00BC6346">
        <w:rPr>
          <w:rStyle w:val="eop"/>
          <w:rFonts w:asciiTheme="minorHAnsi" w:hAnsiTheme="minorHAnsi" w:cs="Calibri"/>
          <w:sz w:val="22"/>
          <w:szCs w:val="22"/>
          <w:vertAlign w:val="superscript"/>
        </w:rPr>
        <w:t>,49,50</w:t>
      </w:r>
      <w:r w:rsidRPr="00C963F5">
        <w:rPr>
          <w:rStyle w:val="eop"/>
          <w:rFonts w:asciiTheme="minorHAnsi" w:hAnsiTheme="minorHAnsi" w:cs="Calibri"/>
          <w:sz w:val="22"/>
          <w:szCs w:val="22"/>
        </w:rPr>
        <w:t xml:space="preserve"> </w:t>
      </w:r>
      <w:r w:rsidRPr="00C963F5">
        <w:rPr>
          <w:rStyle w:val="normaltextrun"/>
          <w:rFonts w:asciiTheme="minorHAnsi" w:hAnsiTheme="minorHAnsi"/>
          <w:sz w:val="22"/>
          <w:szCs w:val="22"/>
        </w:rPr>
        <w:t xml:space="preserve">This </w:t>
      </w:r>
      <w:r w:rsidR="00622223">
        <w:rPr>
          <w:rStyle w:val="normaltextrun"/>
          <w:rFonts w:asciiTheme="minorHAnsi" w:hAnsiTheme="minorHAnsi"/>
          <w:sz w:val="22"/>
          <w:szCs w:val="22"/>
        </w:rPr>
        <w:t>finding is consistent with</w:t>
      </w:r>
      <w:r w:rsidRPr="00C963F5">
        <w:rPr>
          <w:rStyle w:val="normaltextrun"/>
          <w:rFonts w:asciiTheme="minorHAnsi" w:hAnsiTheme="minorHAnsi"/>
          <w:sz w:val="22"/>
          <w:szCs w:val="22"/>
        </w:rPr>
        <w:t xml:space="preserve"> other studies indicating that assessment of clinical frailty is helpful in developing treatment plans and in predicting patient outcomes, including mortality risk.</w:t>
      </w:r>
      <w:r w:rsidR="00C90468" w:rsidRPr="00C90468">
        <w:rPr>
          <w:rStyle w:val="normaltextrun"/>
          <w:rFonts w:asciiTheme="minorHAnsi" w:hAnsiTheme="minorHAnsi"/>
          <w:sz w:val="22"/>
          <w:szCs w:val="22"/>
          <w:vertAlign w:val="superscript"/>
        </w:rPr>
        <w:t>51,52,53</w:t>
      </w:r>
      <w:r w:rsidRPr="00C963F5">
        <w:rPr>
          <w:rStyle w:val="normaltextrun"/>
          <w:rFonts w:asciiTheme="minorHAnsi" w:hAnsiTheme="minorHAnsi"/>
          <w:sz w:val="22"/>
          <w:szCs w:val="22"/>
        </w:rPr>
        <w:t> However, the CFS has not been validated as a clinical tool for use in critical care triage</w:t>
      </w:r>
      <w:r>
        <w:rPr>
          <w:rStyle w:val="normaltextrun"/>
          <w:rFonts w:asciiTheme="minorHAnsi" w:hAnsiTheme="minorHAnsi"/>
          <w:sz w:val="22"/>
          <w:szCs w:val="22"/>
        </w:rPr>
        <w:t>, nor has it been validated for all patient populations</w:t>
      </w:r>
      <w:r w:rsidRPr="00C963F5">
        <w:rPr>
          <w:rStyle w:val="normaltextrun"/>
          <w:rFonts w:asciiTheme="minorHAnsi" w:hAnsiTheme="minorHAnsi"/>
          <w:sz w:val="22"/>
          <w:szCs w:val="22"/>
        </w:rPr>
        <w:t>.</w:t>
      </w:r>
      <w:r w:rsidR="00622223">
        <w:rPr>
          <w:rStyle w:val="normaltextrun"/>
          <w:rFonts w:asciiTheme="minorHAnsi" w:hAnsiTheme="minorHAnsi"/>
          <w:sz w:val="22"/>
          <w:szCs w:val="22"/>
        </w:rPr>
        <w:t xml:space="preserve"> </w:t>
      </w:r>
      <w:r w:rsidR="00622223" w:rsidRPr="00622223">
        <w:rPr>
          <w:rStyle w:val="normaltextrun"/>
          <w:rFonts w:asciiTheme="minorHAnsi" w:hAnsiTheme="minorHAnsi"/>
          <w:sz w:val="22"/>
          <w:szCs w:val="22"/>
        </w:rPr>
        <w:t>Most studies using the CFS have included those who are over 65 years of age and have a progressive illness.</w:t>
      </w:r>
      <w:r w:rsidR="00C90468" w:rsidRPr="00C90468">
        <w:rPr>
          <w:rStyle w:val="normaltextrun"/>
          <w:rFonts w:asciiTheme="minorHAnsi" w:hAnsiTheme="minorHAnsi"/>
          <w:sz w:val="22"/>
          <w:szCs w:val="22"/>
          <w:vertAlign w:val="superscript"/>
        </w:rPr>
        <w:t>45</w:t>
      </w:r>
      <w:r w:rsidRPr="00C963F5">
        <w:rPr>
          <w:rStyle w:val="normaltextrun"/>
          <w:rFonts w:asciiTheme="minorHAnsi" w:hAnsiTheme="minorHAnsi"/>
          <w:sz w:val="22"/>
          <w:szCs w:val="22"/>
        </w:rPr>
        <w:t xml:space="preserve"> </w:t>
      </w:r>
      <w:r w:rsidRPr="00C963F5">
        <w:rPr>
          <w:rFonts w:asciiTheme="minorHAnsi" w:hAnsiTheme="minorHAnsi" w:cs="Calibri"/>
          <w:sz w:val="22"/>
          <w:szCs w:val="22"/>
        </w:rPr>
        <w:t xml:space="preserve">The CFS relies on an assessment of functional status, measured in terms of basic and instrumental activities of daily living, and is used to inform </w:t>
      </w:r>
      <w:r>
        <w:rPr>
          <w:rFonts w:asciiTheme="minorHAnsi" w:hAnsiTheme="minorHAnsi" w:cs="Calibri"/>
          <w:sz w:val="22"/>
          <w:szCs w:val="22"/>
        </w:rPr>
        <w:t xml:space="preserve">the </w:t>
      </w:r>
      <w:r w:rsidRPr="00C963F5">
        <w:rPr>
          <w:rFonts w:asciiTheme="minorHAnsi" w:hAnsiTheme="minorHAnsi" w:cs="Calibri"/>
          <w:sz w:val="22"/>
          <w:szCs w:val="22"/>
        </w:rPr>
        <w:t xml:space="preserve">assessment of a patient’s general deterioration over time and is generally preferred over age as a better predictor of a patient’s health outcomes. </w:t>
      </w:r>
      <w:r w:rsidR="00622223" w:rsidRPr="00C963F5">
        <w:rPr>
          <w:rFonts w:asciiTheme="minorHAnsi" w:hAnsiTheme="minorHAnsi" w:cs="Calibri"/>
          <w:sz w:val="22"/>
          <w:szCs w:val="22"/>
        </w:rPr>
        <w:t>However, the Bioethics Table learned through its consultation with disability rights experts</w:t>
      </w:r>
      <w:r w:rsidR="00622223">
        <w:rPr>
          <w:rFonts w:asciiTheme="minorHAnsi" w:hAnsiTheme="minorHAnsi" w:cs="Calibri"/>
          <w:sz w:val="22"/>
          <w:szCs w:val="22"/>
        </w:rPr>
        <w:t xml:space="preserve"> that</w:t>
      </w:r>
      <w:r w:rsidR="00622223" w:rsidRPr="00C963F5">
        <w:rPr>
          <w:rFonts w:asciiTheme="minorHAnsi" w:hAnsiTheme="minorHAnsi" w:cs="Calibri"/>
          <w:sz w:val="22"/>
          <w:szCs w:val="22"/>
        </w:rPr>
        <w:t xml:space="preserve"> the use of CFS in the context of critical care triage </w:t>
      </w:r>
      <w:r w:rsidR="00622223">
        <w:rPr>
          <w:rFonts w:asciiTheme="minorHAnsi" w:hAnsiTheme="minorHAnsi" w:cs="Calibri"/>
          <w:sz w:val="22"/>
          <w:szCs w:val="22"/>
        </w:rPr>
        <w:t xml:space="preserve">raises significant concerns that </w:t>
      </w:r>
      <w:r w:rsidR="00622223" w:rsidRPr="00C963F5">
        <w:rPr>
          <w:rFonts w:asciiTheme="minorHAnsi" w:hAnsiTheme="minorHAnsi" w:cs="Calibri"/>
          <w:sz w:val="22"/>
          <w:szCs w:val="22"/>
        </w:rPr>
        <w:t>persons with disabilities, many of whom may need assistance with activities of daily living</w:t>
      </w:r>
      <w:r w:rsidR="00622223">
        <w:rPr>
          <w:rFonts w:asciiTheme="minorHAnsi" w:hAnsiTheme="minorHAnsi" w:cs="Calibri"/>
          <w:sz w:val="22"/>
          <w:szCs w:val="22"/>
        </w:rPr>
        <w:t>,</w:t>
      </w:r>
      <w:r w:rsidR="00622223" w:rsidRPr="00C963F5">
        <w:rPr>
          <w:rFonts w:asciiTheme="minorHAnsi" w:hAnsiTheme="minorHAnsi" w:cs="Calibri"/>
          <w:sz w:val="22"/>
          <w:szCs w:val="22"/>
        </w:rPr>
        <w:t xml:space="preserve"> would score higher on the CFS than an able-bodied person</w:t>
      </w:r>
      <w:r w:rsidR="00622223">
        <w:rPr>
          <w:rFonts w:asciiTheme="minorHAnsi" w:hAnsiTheme="minorHAnsi" w:cs="Calibri"/>
          <w:sz w:val="22"/>
          <w:szCs w:val="22"/>
        </w:rPr>
        <w:t xml:space="preserve"> and that this could lead to the </w:t>
      </w:r>
      <w:r w:rsidR="00622223" w:rsidRPr="00C963F5">
        <w:rPr>
          <w:rFonts w:asciiTheme="minorHAnsi" w:hAnsiTheme="minorHAnsi" w:cs="Calibri"/>
          <w:sz w:val="22"/>
          <w:szCs w:val="22"/>
        </w:rPr>
        <w:t>over-triaging of persons with disabilities</w:t>
      </w:r>
      <w:r w:rsidR="00622223">
        <w:rPr>
          <w:rFonts w:asciiTheme="minorHAnsi" w:hAnsiTheme="minorHAnsi" w:cs="Calibri"/>
          <w:sz w:val="22"/>
          <w:szCs w:val="22"/>
        </w:rPr>
        <w:t>.</w:t>
      </w:r>
      <w:r w:rsidR="006B698F" w:rsidRPr="006B698F">
        <w:rPr>
          <w:rFonts w:asciiTheme="minorHAnsi" w:hAnsiTheme="minorHAnsi" w:cs="Calibri"/>
          <w:sz w:val="22"/>
          <w:szCs w:val="22"/>
          <w:vertAlign w:val="superscript"/>
        </w:rPr>
        <w:t>3</w:t>
      </w:r>
      <w:r w:rsidR="006C6C4A">
        <w:rPr>
          <w:rFonts w:asciiTheme="minorHAnsi" w:hAnsiTheme="minorHAnsi" w:cs="Calibri"/>
          <w:sz w:val="22"/>
          <w:szCs w:val="22"/>
          <w:vertAlign w:val="superscript"/>
        </w:rPr>
        <w:t>4</w:t>
      </w:r>
      <w:r w:rsidR="006B698F" w:rsidRPr="006B698F">
        <w:rPr>
          <w:rFonts w:asciiTheme="minorHAnsi" w:hAnsiTheme="minorHAnsi" w:cs="Calibri"/>
          <w:sz w:val="22"/>
          <w:szCs w:val="22"/>
          <w:vertAlign w:val="superscript"/>
        </w:rPr>
        <w:t>,3</w:t>
      </w:r>
      <w:r w:rsidR="006C6C4A">
        <w:rPr>
          <w:rFonts w:asciiTheme="minorHAnsi" w:hAnsiTheme="minorHAnsi" w:cs="Calibri"/>
          <w:sz w:val="22"/>
          <w:szCs w:val="22"/>
          <w:vertAlign w:val="superscript"/>
        </w:rPr>
        <w:t>5</w:t>
      </w:r>
      <w:r w:rsidR="00622223">
        <w:rPr>
          <w:rFonts w:asciiTheme="minorHAnsi" w:hAnsiTheme="minorHAnsi" w:cs="Calibri"/>
          <w:sz w:val="22"/>
          <w:szCs w:val="22"/>
        </w:rPr>
        <w:t xml:space="preserve"> </w:t>
      </w:r>
      <w:r w:rsidR="00C24968">
        <w:rPr>
          <w:rFonts w:asciiTheme="minorHAnsi" w:hAnsiTheme="minorHAnsi" w:cs="Calibri"/>
          <w:sz w:val="22"/>
          <w:szCs w:val="22"/>
        </w:rPr>
        <w:t>The CFS</w:t>
      </w:r>
      <w:r w:rsidRPr="00C963F5">
        <w:rPr>
          <w:rFonts w:asciiTheme="minorHAnsi" w:hAnsiTheme="minorHAnsi" w:cs="Calibri"/>
          <w:sz w:val="22"/>
          <w:szCs w:val="22"/>
        </w:rPr>
        <w:t xml:space="preserve"> would seem to </w:t>
      </w:r>
      <w:r w:rsidR="00A82BBB">
        <w:rPr>
          <w:rFonts w:asciiTheme="minorHAnsi" w:hAnsiTheme="minorHAnsi" w:cs="Calibri"/>
          <w:sz w:val="22"/>
          <w:szCs w:val="22"/>
        </w:rPr>
        <w:t>conflate</w:t>
      </w:r>
      <w:r w:rsidRPr="00C963F5">
        <w:rPr>
          <w:rFonts w:asciiTheme="minorHAnsi" w:hAnsiTheme="minorHAnsi" w:cs="Calibri"/>
          <w:sz w:val="22"/>
          <w:szCs w:val="22"/>
        </w:rPr>
        <w:t xml:space="preserve"> disability with frailty and hence would contribute to over-triaging of persons with disabilities. In this sense, while CFS may be discriminating between patients on the basis of frailty, it may have the effect of being unjustifiably discriminatory to</w:t>
      </w:r>
      <w:r>
        <w:rPr>
          <w:rFonts w:asciiTheme="minorHAnsi" w:hAnsiTheme="minorHAnsi" w:cs="Calibri"/>
          <w:sz w:val="22"/>
          <w:szCs w:val="22"/>
        </w:rPr>
        <w:t>,</w:t>
      </w:r>
      <w:r w:rsidRPr="00C963F5">
        <w:rPr>
          <w:rFonts w:asciiTheme="minorHAnsi" w:hAnsiTheme="minorHAnsi" w:cs="Calibri"/>
          <w:sz w:val="22"/>
          <w:szCs w:val="22"/>
        </w:rPr>
        <w:t xml:space="preserve"> and disadvantaging of</w:t>
      </w:r>
      <w:r>
        <w:rPr>
          <w:rFonts w:asciiTheme="minorHAnsi" w:hAnsiTheme="minorHAnsi" w:cs="Calibri"/>
          <w:sz w:val="22"/>
          <w:szCs w:val="22"/>
        </w:rPr>
        <w:t>,</w:t>
      </w:r>
      <w:r w:rsidRPr="00C963F5">
        <w:rPr>
          <w:rFonts w:asciiTheme="minorHAnsi" w:hAnsiTheme="minorHAnsi" w:cs="Calibri"/>
          <w:sz w:val="22"/>
          <w:szCs w:val="22"/>
        </w:rPr>
        <w:t xml:space="preserve"> persons with disabilities on grounds unrelated to an individual patient’s actual </w:t>
      </w:r>
      <w:r>
        <w:rPr>
          <w:rFonts w:asciiTheme="minorHAnsi" w:hAnsiTheme="minorHAnsi" w:cs="Calibri"/>
          <w:sz w:val="22"/>
          <w:szCs w:val="22"/>
        </w:rPr>
        <w:t xml:space="preserve">predicted </w:t>
      </w:r>
      <w:r w:rsidRPr="00C963F5">
        <w:rPr>
          <w:rFonts w:asciiTheme="minorHAnsi" w:hAnsiTheme="minorHAnsi" w:cs="Calibri"/>
          <w:sz w:val="22"/>
          <w:szCs w:val="22"/>
        </w:rPr>
        <w:t xml:space="preserve">short-term mortality risk. This is no trivial matter given the systemic discrimination which persons with disabilities face already in health care and other contexts. </w:t>
      </w:r>
      <w:r w:rsidR="006C6C4A" w:rsidRPr="006C6C4A">
        <w:rPr>
          <w:rFonts w:asciiTheme="minorHAnsi" w:hAnsiTheme="minorHAnsi" w:cs="Calibri"/>
          <w:sz w:val="22"/>
          <w:szCs w:val="22"/>
        </w:rPr>
        <w:t xml:space="preserve">For these reasons, </w:t>
      </w:r>
      <w:r w:rsidR="006C6C4A">
        <w:rPr>
          <w:rFonts w:asciiTheme="minorHAnsi" w:hAnsiTheme="minorHAnsi" w:cs="Calibri"/>
          <w:sz w:val="22"/>
          <w:szCs w:val="22"/>
        </w:rPr>
        <w:t>the disability rights experts that we consulted recommended</w:t>
      </w:r>
      <w:r w:rsidR="006C6C4A" w:rsidRPr="006C6C4A">
        <w:rPr>
          <w:rFonts w:asciiTheme="minorHAnsi" w:hAnsiTheme="minorHAnsi" w:cs="Calibri"/>
          <w:sz w:val="22"/>
          <w:szCs w:val="22"/>
        </w:rPr>
        <w:t xml:space="preserve"> that the CFS not be used for the purpose of critical care triage</w:t>
      </w:r>
      <w:r w:rsidR="006C6C4A">
        <w:rPr>
          <w:rFonts w:asciiTheme="minorHAnsi" w:hAnsiTheme="minorHAnsi" w:cs="Calibri"/>
          <w:sz w:val="22"/>
          <w:szCs w:val="22"/>
        </w:rPr>
        <w:t>.</w:t>
      </w:r>
      <w:r w:rsidR="006C6C4A" w:rsidRPr="006C6C4A">
        <w:rPr>
          <w:rFonts w:asciiTheme="minorHAnsi" w:hAnsiTheme="minorHAnsi" w:cs="Calibri"/>
          <w:sz w:val="22"/>
          <w:szCs w:val="22"/>
          <w:vertAlign w:val="superscript"/>
        </w:rPr>
        <w:t>33,34</w:t>
      </w:r>
    </w:p>
    <w:p w14:paraId="12419273" w14:textId="77777777" w:rsidR="00C963F5" w:rsidRPr="00C963F5" w:rsidRDefault="00C963F5" w:rsidP="00C963F5">
      <w:pPr>
        <w:pStyle w:val="paragraph"/>
        <w:spacing w:before="0" w:beforeAutospacing="0" w:after="0" w:afterAutospacing="0"/>
        <w:textAlignment w:val="baseline"/>
        <w:rPr>
          <w:rStyle w:val="eop"/>
          <w:rFonts w:asciiTheme="minorHAnsi" w:hAnsiTheme="minorHAnsi" w:cs="Calibri"/>
          <w:color w:val="000000"/>
          <w:sz w:val="22"/>
          <w:szCs w:val="22"/>
        </w:rPr>
      </w:pPr>
    </w:p>
    <w:p w14:paraId="789C0DEE" w14:textId="65591DF3" w:rsidR="00C963F5" w:rsidRDefault="00C963F5" w:rsidP="00C963F5">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r w:rsidRPr="00C963F5">
        <w:rPr>
          <w:rStyle w:val="eop"/>
          <w:rFonts w:asciiTheme="minorHAnsi" w:hAnsiTheme="minorHAnsi" w:cs="Calibri"/>
          <w:color w:val="000000"/>
          <w:sz w:val="22"/>
          <w:szCs w:val="22"/>
        </w:rPr>
        <w:t xml:space="preserve">The evolving nature of clinical evidence and experience in the COVID-19 context underscores the importance of developing clinical tools that are fit for purpose. However, the case of CFS illustrates how clinical evidence and experience are not sufficient </w:t>
      </w:r>
      <w:r w:rsidR="00005634">
        <w:rPr>
          <w:rStyle w:val="eop"/>
          <w:rFonts w:asciiTheme="minorHAnsi" w:hAnsiTheme="minorHAnsi" w:cs="Calibri"/>
          <w:color w:val="000000"/>
          <w:sz w:val="22"/>
          <w:szCs w:val="22"/>
        </w:rPr>
        <w:t xml:space="preserve">alone </w:t>
      </w:r>
      <w:r w:rsidRPr="00C963F5">
        <w:rPr>
          <w:rStyle w:val="eop"/>
          <w:rFonts w:asciiTheme="minorHAnsi" w:hAnsiTheme="minorHAnsi" w:cs="Calibri"/>
          <w:color w:val="000000"/>
          <w:sz w:val="22"/>
          <w:szCs w:val="22"/>
        </w:rPr>
        <w:t xml:space="preserve">to establish the justifiable use of a clinical tool and calls attention to the embedding of social norms within clinical tools and in their application in practice. </w:t>
      </w:r>
      <w:r w:rsidR="006C6C4A" w:rsidRPr="006C6C4A">
        <w:rPr>
          <w:rStyle w:val="eop"/>
          <w:rFonts w:asciiTheme="minorHAnsi" w:hAnsiTheme="minorHAnsi" w:cs="Calibri"/>
          <w:color w:val="000000"/>
          <w:sz w:val="22"/>
          <w:szCs w:val="22"/>
        </w:rPr>
        <w:t xml:space="preserve">While we have received explicit feedback regarding the use of the CFS, further review </w:t>
      </w:r>
      <w:r w:rsidR="00005634">
        <w:rPr>
          <w:rStyle w:val="eop"/>
          <w:rFonts w:asciiTheme="minorHAnsi" w:hAnsiTheme="minorHAnsi" w:cs="Calibri"/>
          <w:color w:val="000000"/>
          <w:sz w:val="22"/>
          <w:szCs w:val="22"/>
        </w:rPr>
        <w:t xml:space="preserve">is </w:t>
      </w:r>
      <w:r w:rsidR="006C6C4A" w:rsidRPr="006C6C4A">
        <w:rPr>
          <w:rStyle w:val="eop"/>
          <w:rFonts w:asciiTheme="minorHAnsi" w:hAnsiTheme="minorHAnsi" w:cs="Calibri"/>
          <w:color w:val="000000"/>
          <w:sz w:val="22"/>
          <w:szCs w:val="22"/>
        </w:rPr>
        <w:t xml:space="preserve">necessary for other commonly used </w:t>
      </w:r>
      <w:r w:rsidR="006C6C4A">
        <w:rPr>
          <w:rStyle w:val="eop"/>
          <w:rFonts w:asciiTheme="minorHAnsi" w:hAnsiTheme="minorHAnsi" w:cs="Calibri"/>
          <w:color w:val="000000"/>
          <w:sz w:val="22"/>
          <w:szCs w:val="22"/>
        </w:rPr>
        <w:t xml:space="preserve">clinical </w:t>
      </w:r>
      <w:r w:rsidR="006C6C4A" w:rsidRPr="006C6C4A">
        <w:rPr>
          <w:rStyle w:val="eop"/>
          <w:rFonts w:asciiTheme="minorHAnsi" w:hAnsiTheme="minorHAnsi" w:cs="Calibri"/>
          <w:color w:val="000000"/>
          <w:sz w:val="22"/>
          <w:szCs w:val="22"/>
        </w:rPr>
        <w:t>tools which may be applied in the absence of a pandemic-validated tool with similar potential for disproportionate harm to members of the disability community</w:t>
      </w:r>
      <w:r w:rsidR="006C6C4A">
        <w:rPr>
          <w:rStyle w:val="eop"/>
          <w:rFonts w:asciiTheme="minorHAnsi" w:hAnsiTheme="minorHAnsi" w:cs="Calibri"/>
          <w:color w:val="000000"/>
          <w:sz w:val="22"/>
          <w:szCs w:val="22"/>
        </w:rPr>
        <w:t xml:space="preserve"> and/or</w:t>
      </w:r>
      <w:r w:rsidR="006C6C4A" w:rsidRPr="006C6C4A">
        <w:rPr>
          <w:rStyle w:val="eop"/>
          <w:rFonts w:asciiTheme="minorHAnsi" w:hAnsiTheme="minorHAnsi" w:cs="Calibri"/>
          <w:color w:val="000000"/>
          <w:sz w:val="22"/>
          <w:szCs w:val="22"/>
        </w:rPr>
        <w:t xml:space="preserve"> members of </w:t>
      </w:r>
      <w:r w:rsidR="006C6C4A">
        <w:rPr>
          <w:rStyle w:val="eop"/>
          <w:rFonts w:asciiTheme="minorHAnsi" w:hAnsiTheme="minorHAnsi" w:cs="Calibri"/>
          <w:color w:val="000000"/>
          <w:sz w:val="22"/>
          <w:szCs w:val="22"/>
        </w:rPr>
        <w:t>other populations</w:t>
      </w:r>
      <w:r w:rsidR="006C6C4A" w:rsidRPr="006C6C4A">
        <w:rPr>
          <w:rStyle w:val="eop"/>
          <w:rFonts w:asciiTheme="minorHAnsi" w:hAnsiTheme="minorHAnsi" w:cs="Calibri"/>
          <w:color w:val="000000"/>
          <w:sz w:val="22"/>
          <w:szCs w:val="22"/>
        </w:rPr>
        <w:t xml:space="preserve">. </w:t>
      </w:r>
      <w:r w:rsidRPr="00C963F5">
        <w:rPr>
          <w:rStyle w:val="normaltextrun"/>
          <w:rFonts w:asciiTheme="minorHAnsi" w:hAnsiTheme="minorHAnsi"/>
          <w:sz w:val="22"/>
          <w:szCs w:val="22"/>
        </w:rPr>
        <w:t xml:space="preserve">For these reasons, the Bioethics Table </w:t>
      </w:r>
      <w:r w:rsidRPr="00C963F5">
        <w:rPr>
          <w:rStyle w:val="normaltextrun"/>
          <w:rFonts w:asciiTheme="minorHAnsi" w:hAnsiTheme="minorHAnsi"/>
          <w:color w:val="000000"/>
          <w:sz w:val="22"/>
          <w:szCs w:val="22"/>
        </w:rPr>
        <w:t>has recommended that </w:t>
      </w:r>
      <w:r w:rsidRPr="00C963F5">
        <w:rPr>
          <w:rStyle w:val="normaltextrun"/>
          <w:rFonts w:asciiTheme="minorHAnsi" w:hAnsiTheme="minorHAnsi"/>
          <w:sz w:val="22"/>
          <w:szCs w:val="22"/>
        </w:rPr>
        <w:t xml:space="preserve">a multidisciplinary consensus panel of experts in critical care and other relevant clinical disciplines be convened for the purpose of developing clinical </w:t>
      </w:r>
      <w:r w:rsidR="004C5F0F">
        <w:rPr>
          <w:rStyle w:val="normaltextrun"/>
          <w:rFonts w:asciiTheme="minorHAnsi" w:hAnsiTheme="minorHAnsi"/>
          <w:sz w:val="22"/>
          <w:szCs w:val="22"/>
        </w:rPr>
        <w:t>assessment</w:t>
      </w:r>
      <w:r w:rsidRPr="00C963F5">
        <w:rPr>
          <w:rStyle w:val="normaltextrun"/>
          <w:rFonts w:asciiTheme="minorHAnsi" w:hAnsiTheme="minorHAnsi"/>
          <w:sz w:val="22"/>
          <w:szCs w:val="22"/>
        </w:rPr>
        <w:t xml:space="preserve"> guidelines based on best available evidence and within the guiding ethical principles of the </w:t>
      </w:r>
      <w:r w:rsidRPr="00C963F5">
        <w:rPr>
          <w:rStyle w:val="normaltextrun"/>
          <w:rFonts w:asciiTheme="minorHAnsi" w:hAnsiTheme="minorHAnsi"/>
          <w:i/>
          <w:sz w:val="22"/>
          <w:szCs w:val="22"/>
        </w:rPr>
        <w:t>Proposed Framework</w:t>
      </w:r>
      <w:r w:rsidR="00247F32">
        <w:rPr>
          <w:rStyle w:val="normaltextrun"/>
          <w:rFonts w:asciiTheme="minorHAnsi" w:hAnsiTheme="minorHAnsi"/>
          <w:i/>
          <w:sz w:val="22"/>
          <w:szCs w:val="22"/>
        </w:rPr>
        <w:t xml:space="preserve"> </w:t>
      </w:r>
      <w:r w:rsidR="00247F32">
        <w:rPr>
          <w:rStyle w:val="normaltextrun"/>
          <w:rFonts w:asciiTheme="minorHAnsi" w:hAnsiTheme="minorHAnsi"/>
          <w:iCs/>
          <w:sz w:val="22"/>
          <w:szCs w:val="22"/>
        </w:rPr>
        <w:t>and</w:t>
      </w:r>
      <w:r w:rsidR="004C5F0F">
        <w:rPr>
          <w:rStyle w:val="normaltextrun"/>
          <w:rFonts w:asciiTheme="minorHAnsi" w:hAnsiTheme="minorHAnsi"/>
          <w:i/>
          <w:sz w:val="22"/>
          <w:szCs w:val="22"/>
        </w:rPr>
        <w:t xml:space="preserve"> </w:t>
      </w:r>
      <w:r w:rsidR="00247F32">
        <w:rPr>
          <w:rStyle w:val="normaltextrun"/>
          <w:rFonts w:asciiTheme="minorHAnsi" w:hAnsiTheme="minorHAnsi"/>
          <w:sz w:val="22"/>
          <w:szCs w:val="22"/>
        </w:rPr>
        <w:t>using a similar lens as described above. S</w:t>
      </w:r>
      <w:r w:rsidRPr="00C963F5">
        <w:rPr>
          <w:rStyle w:val="normaltextrun"/>
          <w:rFonts w:asciiTheme="minorHAnsi" w:hAnsiTheme="minorHAnsi"/>
          <w:sz w:val="22"/>
          <w:szCs w:val="22"/>
        </w:rPr>
        <w:t>uch a panel should seek input from experts in ethics, human rights, law, and related disciplines, and</w:t>
      </w:r>
      <w:r w:rsidRPr="00C963F5">
        <w:rPr>
          <w:rStyle w:val="normaltextrun"/>
          <w:rFonts w:asciiTheme="minorHAnsi" w:hAnsiTheme="minorHAnsi"/>
          <w:color w:val="000000"/>
          <w:sz w:val="22"/>
          <w:szCs w:val="22"/>
          <w:shd w:val="clear" w:color="auto" w:fill="FFFFFF"/>
        </w:rPr>
        <w:t xml:space="preserve"> engage the perspectives of those representing marginalized populations and others who may be disproportionately affected by critical care triage.</w:t>
      </w:r>
      <w:r w:rsidR="00A71CEF" w:rsidRPr="00A71CEF">
        <w:t xml:space="preserve"> </w:t>
      </w:r>
      <w:r w:rsidR="00A71CEF" w:rsidRPr="00A71CEF">
        <w:rPr>
          <w:rStyle w:val="normaltextrun"/>
          <w:rFonts w:asciiTheme="minorHAnsi" w:hAnsiTheme="minorHAnsi"/>
          <w:color w:val="000000"/>
          <w:sz w:val="22"/>
          <w:szCs w:val="22"/>
          <w:shd w:val="clear" w:color="auto" w:fill="FFFFFF"/>
        </w:rPr>
        <w:t xml:space="preserve">The process by which </w:t>
      </w:r>
      <w:r w:rsidR="00A71CEF">
        <w:rPr>
          <w:rStyle w:val="normaltextrun"/>
          <w:rFonts w:asciiTheme="minorHAnsi" w:hAnsiTheme="minorHAnsi"/>
          <w:color w:val="000000"/>
          <w:sz w:val="22"/>
          <w:szCs w:val="22"/>
          <w:shd w:val="clear" w:color="auto" w:fill="FFFFFF"/>
        </w:rPr>
        <w:t>such clinical assessment g</w:t>
      </w:r>
      <w:r w:rsidR="00A71CEF" w:rsidRPr="00A71CEF">
        <w:rPr>
          <w:rStyle w:val="normaltextrun"/>
          <w:rFonts w:asciiTheme="minorHAnsi" w:hAnsiTheme="minorHAnsi"/>
          <w:color w:val="000000"/>
          <w:sz w:val="22"/>
          <w:szCs w:val="22"/>
          <w:shd w:val="clear" w:color="auto" w:fill="FFFFFF"/>
        </w:rPr>
        <w:t xml:space="preserve">uidelines are generated and finalized, including the process by which experts and other stakeholders are engaged, should be made transparent. Explicit justifications grounded in the principles and considerations outlined </w:t>
      </w:r>
      <w:r w:rsidR="00A71CEF">
        <w:rPr>
          <w:rStyle w:val="normaltextrun"/>
          <w:rFonts w:asciiTheme="minorHAnsi" w:hAnsiTheme="minorHAnsi"/>
          <w:color w:val="000000"/>
          <w:sz w:val="22"/>
          <w:szCs w:val="22"/>
          <w:shd w:val="clear" w:color="auto" w:fill="FFFFFF"/>
        </w:rPr>
        <w:t xml:space="preserve">in this appendix and </w:t>
      </w:r>
      <w:r w:rsidR="00A71CEF" w:rsidRPr="00A71CEF">
        <w:rPr>
          <w:rStyle w:val="normaltextrun"/>
          <w:rFonts w:asciiTheme="minorHAnsi" w:hAnsiTheme="minorHAnsi"/>
          <w:color w:val="000000"/>
          <w:sz w:val="22"/>
          <w:szCs w:val="22"/>
          <w:shd w:val="clear" w:color="auto" w:fill="FFFFFF"/>
        </w:rPr>
        <w:t xml:space="preserve">in the </w:t>
      </w:r>
      <w:r w:rsidR="00A71CEF" w:rsidRPr="00A71CEF">
        <w:rPr>
          <w:rStyle w:val="normaltextrun"/>
          <w:rFonts w:asciiTheme="minorHAnsi" w:hAnsiTheme="minorHAnsi"/>
          <w:i/>
          <w:iCs/>
          <w:color w:val="000000"/>
          <w:sz w:val="22"/>
          <w:szCs w:val="22"/>
          <w:shd w:val="clear" w:color="auto" w:fill="FFFFFF"/>
        </w:rPr>
        <w:t>Proposed Framework</w:t>
      </w:r>
      <w:r w:rsidR="00A71CEF" w:rsidRPr="00A71CEF">
        <w:rPr>
          <w:rStyle w:val="normaltextrun"/>
          <w:rFonts w:asciiTheme="minorHAnsi" w:hAnsiTheme="minorHAnsi"/>
          <w:color w:val="000000"/>
          <w:sz w:val="22"/>
          <w:szCs w:val="22"/>
          <w:shd w:val="clear" w:color="auto" w:fill="FFFFFF"/>
        </w:rPr>
        <w:t xml:space="preserve"> should be provided for the inclusion or exclusion of clinical factors or tools.</w:t>
      </w:r>
      <w:r w:rsidR="00BC6346">
        <w:rPr>
          <w:rStyle w:val="normaltextrun"/>
          <w:rFonts w:asciiTheme="minorHAnsi" w:hAnsiTheme="minorHAnsi"/>
          <w:color w:val="000000"/>
          <w:sz w:val="22"/>
          <w:szCs w:val="22"/>
          <w:shd w:val="clear" w:color="auto" w:fill="FFFFFF"/>
        </w:rPr>
        <w:t xml:space="preserve"> We suggest that </w:t>
      </w:r>
      <w:r w:rsidR="00577096">
        <w:rPr>
          <w:rStyle w:val="normaltextrun"/>
          <w:rFonts w:asciiTheme="minorHAnsi" w:hAnsiTheme="minorHAnsi"/>
          <w:color w:val="000000"/>
          <w:sz w:val="22"/>
          <w:szCs w:val="22"/>
          <w:shd w:val="clear" w:color="auto" w:fill="FFFFFF"/>
        </w:rPr>
        <w:t>human rights tools and</w:t>
      </w:r>
      <w:r w:rsidR="00BC6346">
        <w:rPr>
          <w:rStyle w:val="normaltextrun"/>
          <w:rFonts w:asciiTheme="minorHAnsi" w:hAnsiTheme="minorHAnsi"/>
          <w:color w:val="000000"/>
          <w:sz w:val="22"/>
          <w:szCs w:val="22"/>
          <w:shd w:val="clear" w:color="auto" w:fill="FFFFFF"/>
        </w:rPr>
        <w:t xml:space="preserve"> health equity </w:t>
      </w:r>
      <w:r w:rsidR="00BC6346">
        <w:rPr>
          <w:rStyle w:val="normaltextrun"/>
          <w:rFonts w:asciiTheme="minorHAnsi" w:hAnsiTheme="minorHAnsi"/>
          <w:color w:val="000000"/>
          <w:sz w:val="22"/>
          <w:szCs w:val="22"/>
          <w:shd w:val="clear" w:color="auto" w:fill="FFFFFF"/>
        </w:rPr>
        <w:lastRenderedPageBreak/>
        <w:t>impact assessment</w:t>
      </w:r>
      <w:r w:rsidR="00577096">
        <w:rPr>
          <w:rStyle w:val="normaltextrun"/>
          <w:rFonts w:asciiTheme="minorHAnsi" w:hAnsiTheme="minorHAnsi"/>
          <w:color w:val="000000"/>
          <w:sz w:val="22"/>
          <w:szCs w:val="22"/>
          <w:shd w:val="clear" w:color="auto" w:fill="FFFFFF"/>
        </w:rPr>
        <w:t xml:space="preserve"> tools</w:t>
      </w:r>
      <w:r w:rsidR="00BC6346">
        <w:rPr>
          <w:rStyle w:val="normaltextrun"/>
          <w:rFonts w:asciiTheme="minorHAnsi" w:hAnsiTheme="minorHAnsi"/>
          <w:color w:val="000000"/>
          <w:sz w:val="22"/>
          <w:szCs w:val="22"/>
          <w:shd w:val="clear" w:color="auto" w:fill="FFFFFF"/>
        </w:rPr>
        <w:t xml:space="preserve"> be applied to any tools considered for inclusion in such guideline, as well as to the guideline itself.</w:t>
      </w:r>
      <w:r w:rsidR="00BC6346">
        <w:rPr>
          <w:rStyle w:val="FootnoteReference"/>
          <w:rFonts w:asciiTheme="minorHAnsi" w:hAnsiTheme="minorHAnsi"/>
          <w:color w:val="000000"/>
          <w:sz w:val="22"/>
          <w:szCs w:val="22"/>
          <w:shd w:val="clear" w:color="auto" w:fill="FFFFFF"/>
        </w:rPr>
        <w:footnoteReference w:id="13"/>
      </w:r>
    </w:p>
    <w:p w14:paraId="4ACA0916" w14:textId="7F5DDA91" w:rsidR="00D31D59" w:rsidRDefault="00D31D59" w:rsidP="00C963F5">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p>
    <w:p w14:paraId="5E892D3A" w14:textId="76DEEA4E" w:rsidR="00D31D59" w:rsidRDefault="00D31D59" w:rsidP="00D31D59">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r>
        <w:rPr>
          <w:rStyle w:val="normaltextrun"/>
          <w:rFonts w:asciiTheme="minorHAnsi" w:hAnsiTheme="minorHAnsi"/>
          <w:color w:val="000000"/>
          <w:sz w:val="22"/>
          <w:szCs w:val="22"/>
          <w:shd w:val="clear" w:color="auto" w:fill="FFFFFF"/>
        </w:rPr>
        <w:t xml:space="preserve">In addition to the tools listed in Table 1, the following resources may be consulted to assist in assessing </w:t>
      </w:r>
      <w:r w:rsidR="001030CB">
        <w:rPr>
          <w:rStyle w:val="normaltextrun"/>
          <w:rFonts w:asciiTheme="minorHAnsi" w:hAnsiTheme="minorHAnsi"/>
          <w:color w:val="000000"/>
          <w:sz w:val="22"/>
          <w:szCs w:val="22"/>
          <w:shd w:val="clear" w:color="auto" w:fill="FFFFFF"/>
        </w:rPr>
        <w:t xml:space="preserve">patient </w:t>
      </w:r>
      <w:r>
        <w:rPr>
          <w:rStyle w:val="normaltextrun"/>
          <w:rFonts w:asciiTheme="minorHAnsi" w:hAnsiTheme="minorHAnsi"/>
          <w:color w:val="000000"/>
          <w:sz w:val="22"/>
          <w:szCs w:val="22"/>
          <w:shd w:val="clear" w:color="auto" w:fill="FFFFFF"/>
        </w:rPr>
        <w:t xml:space="preserve">vulnerabilities: </w:t>
      </w:r>
    </w:p>
    <w:p w14:paraId="1E8993CD" w14:textId="77777777" w:rsidR="00D31D59" w:rsidRDefault="00D31D59" w:rsidP="00D31D59">
      <w:pPr>
        <w:pStyle w:val="paragraph"/>
        <w:numPr>
          <w:ilvl w:val="0"/>
          <w:numId w:val="36"/>
        </w:numPr>
        <w:spacing w:before="0" w:beforeAutospacing="0" w:after="0" w:afterAutospacing="0"/>
        <w:textAlignment w:val="baseline"/>
        <w:rPr>
          <w:rStyle w:val="normaltextrun"/>
          <w:rFonts w:asciiTheme="minorHAnsi" w:hAnsiTheme="minorHAnsi"/>
          <w:color w:val="000000"/>
          <w:sz w:val="22"/>
          <w:szCs w:val="22"/>
        </w:rPr>
      </w:pPr>
      <w:r w:rsidRPr="00D31D59">
        <w:rPr>
          <w:rStyle w:val="normaltextrun"/>
          <w:rFonts w:asciiTheme="minorHAnsi" w:hAnsiTheme="minorHAnsi"/>
          <w:color w:val="000000"/>
          <w:sz w:val="22"/>
          <w:szCs w:val="22"/>
        </w:rPr>
        <w:t xml:space="preserve">The Centre for Effective Practice has some guidance for managing poverty and other social vulnerabilities, and the following tool is designed for COVID-19 care specifically: </w:t>
      </w:r>
      <w:hyperlink r:id="rId18" w:history="1">
        <w:r w:rsidRPr="00D31D59">
          <w:rPr>
            <w:rStyle w:val="Hyperlink"/>
            <w:rFonts w:asciiTheme="minorHAnsi" w:hAnsiTheme="minorHAnsi"/>
            <w:sz w:val="22"/>
            <w:szCs w:val="22"/>
          </w:rPr>
          <w:t>Social Care Guidance in the COVID-19 Context</w:t>
        </w:r>
      </w:hyperlink>
    </w:p>
    <w:p w14:paraId="43E78A54" w14:textId="738A2A0B" w:rsidR="00D31D59" w:rsidRDefault="00D31D59" w:rsidP="002705D9">
      <w:pPr>
        <w:pStyle w:val="paragraph"/>
        <w:numPr>
          <w:ilvl w:val="0"/>
          <w:numId w:val="36"/>
        </w:numPr>
        <w:spacing w:before="0" w:beforeAutospacing="0" w:after="0" w:afterAutospacing="0"/>
        <w:textAlignment w:val="baseline"/>
        <w:rPr>
          <w:rStyle w:val="normaltextrun"/>
          <w:rFonts w:asciiTheme="minorHAnsi" w:hAnsiTheme="minorHAnsi"/>
          <w:color w:val="000000"/>
          <w:sz w:val="22"/>
          <w:szCs w:val="22"/>
        </w:rPr>
      </w:pPr>
      <w:r w:rsidRPr="00D31D59">
        <w:rPr>
          <w:rStyle w:val="normaltextrun"/>
          <w:rFonts w:asciiTheme="minorHAnsi" w:hAnsiTheme="minorHAnsi"/>
          <w:color w:val="000000"/>
          <w:sz w:val="22"/>
          <w:szCs w:val="22"/>
        </w:rPr>
        <w:t xml:space="preserve">Pinto AD, Bloch G. (2017). Framework for building primary care capacity to address the social determinants of health. </w:t>
      </w:r>
      <w:r w:rsidRPr="00D31D59">
        <w:rPr>
          <w:rStyle w:val="normaltextrun"/>
          <w:rFonts w:asciiTheme="minorHAnsi" w:hAnsiTheme="minorHAnsi"/>
          <w:i/>
          <w:iCs/>
          <w:color w:val="000000"/>
          <w:sz w:val="22"/>
          <w:szCs w:val="22"/>
        </w:rPr>
        <w:t>Canadian Family Physician</w:t>
      </w:r>
      <w:r w:rsidRPr="00D31D59">
        <w:rPr>
          <w:rStyle w:val="normaltextrun"/>
          <w:rFonts w:asciiTheme="minorHAnsi" w:hAnsiTheme="minorHAnsi"/>
          <w:color w:val="000000"/>
          <w:sz w:val="22"/>
          <w:szCs w:val="22"/>
        </w:rPr>
        <w:t>, 63(11): e476-e482. Available</w:t>
      </w:r>
      <w:r w:rsidR="002A650F">
        <w:rPr>
          <w:rStyle w:val="normaltextrun"/>
          <w:rFonts w:asciiTheme="minorHAnsi" w:hAnsiTheme="minorHAnsi"/>
          <w:color w:val="000000"/>
          <w:sz w:val="22"/>
          <w:szCs w:val="22"/>
        </w:rPr>
        <w:t xml:space="preserve"> on the </w:t>
      </w:r>
      <w:hyperlink r:id="rId19" w:history="1">
        <w:r w:rsidR="002A650F" w:rsidRPr="002A650F">
          <w:rPr>
            <w:rStyle w:val="Hyperlink"/>
            <w:rFonts w:asciiTheme="minorHAnsi" w:hAnsiTheme="minorHAnsi"/>
            <w:iCs/>
            <w:sz w:val="22"/>
            <w:szCs w:val="22"/>
          </w:rPr>
          <w:t>Canadian Family Physician website.</w:t>
        </w:r>
      </w:hyperlink>
      <w:r w:rsidR="002A650F">
        <w:rPr>
          <w:rStyle w:val="normaltextrun"/>
          <w:rFonts w:asciiTheme="minorHAnsi" w:hAnsiTheme="minorHAnsi"/>
          <w:i/>
          <w:iCs/>
          <w:color w:val="000000"/>
          <w:sz w:val="22"/>
          <w:szCs w:val="22"/>
        </w:rPr>
        <w:t xml:space="preserve"> </w:t>
      </w:r>
    </w:p>
    <w:p w14:paraId="5B1C2AC6" w14:textId="77777777" w:rsidR="00D31D59" w:rsidRDefault="00D31D59" w:rsidP="00D31D59">
      <w:pPr>
        <w:pStyle w:val="paragraph"/>
        <w:numPr>
          <w:ilvl w:val="0"/>
          <w:numId w:val="36"/>
        </w:numPr>
        <w:spacing w:before="0" w:beforeAutospacing="0" w:after="0" w:afterAutospacing="0"/>
        <w:textAlignment w:val="baseline"/>
        <w:rPr>
          <w:rStyle w:val="normaltextrun"/>
          <w:rFonts w:asciiTheme="minorHAnsi" w:hAnsiTheme="minorHAnsi"/>
          <w:color w:val="000000"/>
          <w:sz w:val="22"/>
          <w:szCs w:val="22"/>
        </w:rPr>
      </w:pPr>
      <w:proofErr w:type="spellStart"/>
      <w:r w:rsidRPr="00D31D59">
        <w:rPr>
          <w:rStyle w:val="normaltextrun"/>
          <w:rFonts w:asciiTheme="minorHAnsi" w:hAnsiTheme="minorHAnsi"/>
          <w:color w:val="000000"/>
          <w:sz w:val="22"/>
          <w:szCs w:val="22"/>
        </w:rPr>
        <w:t>MedEd</w:t>
      </w:r>
      <w:proofErr w:type="spellEnd"/>
      <w:r w:rsidRPr="00D31D59">
        <w:rPr>
          <w:rStyle w:val="normaltextrun"/>
          <w:rFonts w:asciiTheme="minorHAnsi" w:hAnsiTheme="minorHAnsi"/>
          <w:color w:val="000000"/>
          <w:sz w:val="22"/>
          <w:szCs w:val="22"/>
        </w:rPr>
        <w:t xml:space="preserve"> Portal’s </w:t>
      </w:r>
      <w:hyperlink r:id="rId20" w:history="1">
        <w:r w:rsidRPr="00D31D59">
          <w:rPr>
            <w:rStyle w:val="Hyperlink"/>
            <w:rFonts w:asciiTheme="minorHAnsi" w:hAnsiTheme="minorHAnsi"/>
            <w:sz w:val="22"/>
            <w:szCs w:val="22"/>
          </w:rPr>
          <w:t>Anti-Racism in Medicine Collection</w:t>
        </w:r>
      </w:hyperlink>
    </w:p>
    <w:p w14:paraId="7BE81099" w14:textId="2E95D3D7" w:rsidR="28E960E0" w:rsidRPr="002A650F" w:rsidRDefault="00D31D59" w:rsidP="00F927F8">
      <w:pPr>
        <w:pStyle w:val="paragraph"/>
        <w:numPr>
          <w:ilvl w:val="0"/>
          <w:numId w:val="36"/>
        </w:numPr>
        <w:spacing w:before="0" w:beforeAutospacing="0" w:after="0" w:afterAutospacing="0"/>
        <w:textAlignment w:val="baseline"/>
        <w:rPr>
          <w:rStyle w:val="normaltextrun"/>
          <w:b/>
          <w:bCs/>
          <w:i/>
          <w:iCs/>
          <w:sz w:val="22"/>
          <w:szCs w:val="22"/>
        </w:rPr>
      </w:pPr>
      <w:r w:rsidRPr="002A650F">
        <w:rPr>
          <w:rStyle w:val="normaltextrun"/>
          <w:rFonts w:asciiTheme="minorHAnsi" w:hAnsiTheme="minorHAnsi"/>
          <w:color w:val="000000"/>
          <w:sz w:val="22"/>
          <w:szCs w:val="22"/>
        </w:rPr>
        <w:t xml:space="preserve">Flanagan BE, Gregory EW, </w:t>
      </w:r>
      <w:proofErr w:type="spellStart"/>
      <w:r w:rsidRPr="002A650F">
        <w:rPr>
          <w:rStyle w:val="normaltextrun"/>
          <w:rFonts w:asciiTheme="minorHAnsi" w:hAnsiTheme="minorHAnsi"/>
          <w:color w:val="000000"/>
          <w:sz w:val="22"/>
          <w:szCs w:val="22"/>
        </w:rPr>
        <w:t>Hallisey</w:t>
      </w:r>
      <w:proofErr w:type="spellEnd"/>
      <w:r w:rsidRPr="002A650F">
        <w:rPr>
          <w:rStyle w:val="normaltextrun"/>
          <w:rFonts w:asciiTheme="minorHAnsi" w:hAnsiTheme="minorHAnsi"/>
          <w:color w:val="000000"/>
          <w:sz w:val="22"/>
          <w:szCs w:val="22"/>
        </w:rPr>
        <w:t xml:space="preserve"> EJ et al. (2011). A social vulnerability index for disaster management. </w:t>
      </w:r>
      <w:r w:rsidRPr="002A650F">
        <w:rPr>
          <w:rStyle w:val="normaltextrun"/>
          <w:rFonts w:asciiTheme="minorHAnsi" w:hAnsiTheme="minorHAnsi"/>
          <w:i/>
          <w:iCs/>
          <w:color w:val="000000"/>
          <w:sz w:val="22"/>
          <w:szCs w:val="22"/>
        </w:rPr>
        <w:t>Journal of homeland security and emergency management</w:t>
      </w:r>
      <w:r w:rsidRPr="002A650F">
        <w:rPr>
          <w:rStyle w:val="normaltextrun"/>
          <w:rFonts w:asciiTheme="minorHAnsi" w:hAnsiTheme="minorHAnsi"/>
          <w:color w:val="000000"/>
          <w:sz w:val="22"/>
          <w:szCs w:val="22"/>
        </w:rPr>
        <w:t>, 8(1). Available</w:t>
      </w:r>
      <w:r w:rsidR="002A650F">
        <w:rPr>
          <w:rStyle w:val="normaltextrun"/>
          <w:rFonts w:asciiTheme="minorHAnsi" w:hAnsiTheme="minorHAnsi"/>
          <w:color w:val="000000"/>
          <w:sz w:val="22"/>
          <w:szCs w:val="22"/>
        </w:rPr>
        <w:t xml:space="preserve"> as a </w:t>
      </w:r>
      <w:hyperlink r:id="rId21" w:history="1">
        <w:r w:rsidR="002A650F" w:rsidRPr="002A650F">
          <w:rPr>
            <w:rStyle w:val="Hyperlink"/>
            <w:rFonts w:asciiTheme="minorHAnsi" w:hAnsiTheme="minorHAnsi"/>
            <w:sz w:val="22"/>
            <w:szCs w:val="22"/>
          </w:rPr>
          <w:t>Researchgate.org shared document.</w:t>
        </w:r>
      </w:hyperlink>
      <w:r w:rsidRPr="002A650F">
        <w:rPr>
          <w:rStyle w:val="normaltextrun"/>
          <w:rFonts w:asciiTheme="minorHAnsi" w:hAnsiTheme="minorHAnsi"/>
          <w:color w:val="000000"/>
          <w:sz w:val="22"/>
          <w:szCs w:val="22"/>
        </w:rPr>
        <w:t xml:space="preserve"> </w:t>
      </w:r>
    </w:p>
    <w:p w14:paraId="6AEF9EB8" w14:textId="3DE5D97E" w:rsidR="480E8F74" w:rsidRDefault="480E8F74" w:rsidP="00F927F8">
      <w:pPr>
        <w:spacing w:before="240" w:after="240"/>
        <w:rPr>
          <w:sz w:val="22"/>
          <w:szCs w:val="22"/>
        </w:rPr>
      </w:pPr>
      <w:r w:rsidRPr="00D07AA7">
        <w:rPr>
          <w:b/>
          <w:bCs/>
          <w:sz w:val="22"/>
          <w:szCs w:val="22"/>
        </w:rPr>
        <w:t>Table</w:t>
      </w:r>
      <w:r w:rsidR="5A689BE2" w:rsidRPr="00D07AA7">
        <w:rPr>
          <w:b/>
          <w:bCs/>
          <w:sz w:val="22"/>
          <w:szCs w:val="22"/>
        </w:rPr>
        <w:t xml:space="preserve"> </w:t>
      </w:r>
      <w:r w:rsidRPr="00D07AA7">
        <w:rPr>
          <w:b/>
          <w:bCs/>
          <w:sz w:val="22"/>
          <w:szCs w:val="22"/>
        </w:rPr>
        <w:t>1</w:t>
      </w:r>
      <w:r w:rsidR="009B72FA" w:rsidRPr="00D07AA7">
        <w:rPr>
          <w:b/>
          <w:bCs/>
          <w:sz w:val="22"/>
          <w:szCs w:val="22"/>
        </w:rPr>
        <w:t>:</w:t>
      </w:r>
      <w:r w:rsidR="009B72FA">
        <w:rPr>
          <w:sz w:val="22"/>
          <w:szCs w:val="22"/>
        </w:rPr>
        <w:t xml:space="preserve"> Clinical factors and tools that published evidence and/or</w:t>
      </w:r>
      <w:r w:rsidR="009B72FA" w:rsidRPr="009B72FA">
        <w:rPr>
          <w:sz w:val="22"/>
          <w:szCs w:val="22"/>
        </w:rPr>
        <w:t xml:space="preserve"> clinical experience</w:t>
      </w:r>
      <w:r w:rsidR="009B72FA">
        <w:rPr>
          <w:sz w:val="22"/>
          <w:szCs w:val="22"/>
        </w:rPr>
        <w:t xml:space="preserve"> suggest have value in predicting short-term mortality risk (Note: </w:t>
      </w:r>
      <w:r w:rsidR="004C5F0F">
        <w:rPr>
          <w:sz w:val="22"/>
          <w:szCs w:val="22"/>
        </w:rPr>
        <w:t xml:space="preserve">it is </w:t>
      </w:r>
      <w:r w:rsidR="004C5F0F" w:rsidRPr="004C5F0F">
        <w:rPr>
          <w:sz w:val="22"/>
          <w:szCs w:val="22"/>
        </w:rPr>
        <w:t>not the Bioethics Table’s recommendation that these clinical factors and tools be used at the present time</w:t>
      </w:r>
      <w:r w:rsidR="00005634">
        <w:rPr>
          <w:sz w:val="22"/>
          <w:szCs w:val="22"/>
        </w:rPr>
        <w:t xml:space="preserve"> for the purposes of critical care triage</w:t>
      </w:r>
      <w:r w:rsidR="004C5F0F">
        <w:rPr>
          <w:sz w:val="22"/>
          <w:szCs w:val="22"/>
        </w:rPr>
        <w:t xml:space="preserve">. While they reflect best available evidence and/or clinical experience, they have not necessarily met the ethical or human rights concerns or standards noted above.) </w:t>
      </w:r>
    </w:p>
    <w:tbl>
      <w:tblPr>
        <w:tblStyle w:val="TableGrid1"/>
        <w:tblW w:w="0" w:type="auto"/>
        <w:tblLook w:val="04A0" w:firstRow="1" w:lastRow="0" w:firstColumn="1" w:lastColumn="0" w:noHBand="0" w:noVBand="1"/>
      </w:tblPr>
      <w:tblGrid>
        <w:gridCol w:w="840"/>
        <w:gridCol w:w="3385"/>
        <w:gridCol w:w="3476"/>
        <w:gridCol w:w="1649"/>
      </w:tblGrid>
      <w:tr w:rsidR="00F927F8" w:rsidRPr="00676FE3" w14:paraId="79286599" w14:textId="77777777" w:rsidTr="00172F1F">
        <w:tc>
          <w:tcPr>
            <w:tcW w:w="840" w:type="dxa"/>
            <w:shd w:val="clear" w:color="auto" w:fill="BFBFBF"/>
          </w:tcPr>
          <w:p w14:paraId="062F6BA9" w14:textId="77777777" w:rsidR="00F927F8" w:rsidRPr="00676FE3" w:rsidRDefault="00F927F8" w:rsidP="00F927F8">
            <w:pPr>
              <w:rPr>
                <w:rFonts w:ascii="Calibri" w:eastAsia="Calibri" w:hAnsi="Calibri" w:cs="Arial"/>
              </w:rPr>
            </w:pPr>
            <w:r w:rsidRPr="00676FE3">
              <w:rPr>
                <w:rFonts w:ascii="Calibri" w:eastAsia="Calibri" w:hAnsi="Calibri" w:cs="Arial"/>
                <w:b/>
                <w:bCs/>
                <w:sz w:val="15"/>
                <w:szCs w:val="15"/>
                <w:u w:val="single"/>
              </w:rPr>
              <w:t>Clinical Factor</w:t>
            </w:r>
          </w:p>
        </w:tc>
        <w:tc>
          <w:tcPr>
            <w:tcW w:w="3385" w:type="dxa"/>
            <w:shd w:val="clear" w:color="auto" w:fill="BFBFBF"/>
          </w:tcPr>
          <w:p w14:paraId="6441E1AC" w14:textId="77777777" w:rsidR="00F927F8" w:rsidRPr="00676FE3" w:rsidRDefault="00F927F8" w:rsidP="00F927F8">
            <w:pPr>
              <w:rPr>
                <w:rFonts w:ascii="Calibri" w:eastAsia="Calibri" w:hAnsi="Calibri" w:cs="Arial"/>
                <w:b/>
                <w:bCs/>
                <w:sz w:val="15"/>
                <w:szCs w:val="15"/>
                <w:u w:val="single"/>
              </w:rPr>
            </w:pPr>
            <w:r w:rsidRPr="00676FE3">
              <w:rPr>
                <w:rFonts w:ascii="Calibri" w:eastAsia="Calibri" w:hAnsi="Calibri" w:cs="Arial"/>
                <w:b/>
                <w:bCs/>
                <w:sz w:val="15"/>
                <w:szCs w:val="15"/>
                <w:u w:val="single"/>
              </w:rPr>
              <w:t>Level 1 Triage Scenario (Aiming to identify patients with &gt;80% short-term mortality risk)</w:t>
            </w:r>
          </w:p>
        </w:tc>
        <w:tc>
          <w:tcPr>
            <w:tcW w:w="3476" w:type="dxa"/>
            <w:shd w:val="clear" w:color="auto" w:fill="BFBFBF"/>
          </w:tcPr>
          <w:p w14:paraId="4E7B74ED" w14:textId="77777777" w:rsidR="00F927F8" w:rsidRPr="00676FE3" w:rsidRDefault="00F927F8" w:rsidP="00F927F8">
            <w:pPr>
              <w:rPr>
                <w:rFonts w:ascii="Calibri" w:eastAsia="Calibri" w:hAnsi="Calibri" w:cs="Arial"/>
                <w:b/>
                <w:bCs/>
                <w:sz w:val="15"/>
                <w:szCs w:val="15"/>
                <w:u w:val="single"/>
              </w:rPr>
            </w:pPr>
            <w:r w:rsidRPr="00676FE3">
              <w:rPr>
                <w:rFonts w:ascii="Calibri" w:eastAsia="Calibri" w:hAnsi="Calibri" w:cs="Arial"/>
                <w:b/>
                <w:bCs/>
                <w:sz w:val="15"/>
                <w:szCs w:val="15"/>
                <w:u w:val="single"/>
              </w:rPr>
              <w:t>Level 2 Triage Scenario (Aiming to identify patients with &gt;50% short-term mortality risk)</w:t>
            </w:r>
          </w:p>
        </w:tc>
        <w:tc>
          <w:tcPr>
            <w:tcW w:w="1649" w:type="dxa"/>
            <w:shd w:val="clear" w:color="auto" w:fill="BFBFBF"/>
          </w:tcPr>
          <w:p w14:paraId="71418215" w14:textId="77777777" w:rsidR="00F927F8" w:rsidRPr="00676FE3" w:rsidRDefault="00F927F8" w:rsidP="00F927F8">
            <w:pPr>
              <w:rPr>
                <w:rFonts w:ascii="Calibri" w:eastAsia="Calibri" w:hAnsi="Calibri" w:cs="Arial"/>
              </w:rPr>
            </w:pPr>
            <w:r w:rsidRPr="00676FE3">
              <w:rPr>
                <w:rFonts w:ascii="Calibri" w:eastAsia="Calibri" w:hAnsi="Calibri" w:cs="Arial"/>
                <w:b/>
                <w:bCs/>
                <w:sz w:val="15"/>
                <w:szCs w:val="15"/>
                <w:u w:val="single"/>
              </w:rPr>
              <w:t>Level 3 Triage Scenario (Aiming to identify people with &gt;30% short-term mortality risk)</w:t>
            </w:r>
          </w:p>
        </w:tc>
      </w:tr>
      <w:tr w:rsidR="00F927F8" w:rsidRPr="00676FE3" w14:paraId="2FF18932" w14:textId="77777777" w:rsidTr="00172F1F">
        <w:tc>
          <w:tcPr>
            <w:tcW w:w="840" w:type="dxa"/>
            <w:tcBorders>
              <w:top w:val="single" w:sz="4" w:space="0" w:color="auto"/>
              <w:left w:val="single" w:sz="4" w:space="0" w:color="auto"/>
              <w:bottom w:val="single" w:sz="4" w:space="0" w:color="auto"/>
              <w:right w:val="single" w:sz="4" w:space="0" w:color="auto"/>
            </w:tcBorders>
          </w:tcPr>
          <w:p w14:paraId="1DCE9618"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A</w:t>
            </w:r>
          </w:p>
        </w:tc>
        <w:tc>
          <w:tcPr>
            <w:tcW w:w="3385" w:type="dxa"/>
            <w:tcBorders>
              <w:top w:val="single" w:sz="4" w:space="0" w:color="auto"/>
              <w:left w:val="single" w:sz="4" w:space="0" w:color="auto"/>
              <w:bottom w:val="single" w:sz="4" w:space="0" w:color="auto"/>
              <w:right w:val="single" w:sz="4" w:space="0" w:color="auto"/>
            </w:tcBorders>
          </w:tcPr>
          <w:p w14:paraId="1960E5C5"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Severe Trauma with predicted mortality &gt;80% based on TRISS score</w:t>
            </w:r>
          </w:p>
        </w:tc>
        <w:tc>
          <w:tcPr>
            <w:tcW w:w="3476" w:type="dxa"/>
            <w:tcBorders>
              <w:top w:val="single" w:sz="4" w:space="0" w:color="auto"/>
              <w:left w:val="single" w:sz="4" w:space="0" w:color="auto"/>
              <w:bottom w:val="single" w:sz="4" w:space="0" w:color="auto"/>
              <w:right w:val="single" w:sz="4" w:space="0" w:color="auto"/>
            </w:tcBorders>
          </w:tcPr>
          <w:p w14:paraId="355B823F"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Severe Trauma with predicted mortality &gt;50% based on TRISS score</w:t>
            </w:r>
          </w:p>
        </w:tc>
        <w:tc>
          <w:tcPr>
            <w:tcW w:w="1649" w:type="dxa"/>
            <w:tcBorders>
              <w:top w:val="single" w:sz="4" w:space="0" w:color="auto"/>
              <w:left w:val="single" w:sz="4" w:space="0" w:color="auto"/>
              <w:bottom w:val="single" w:sz="4" w:space="0" w:color="auto"/>
              <w:right w:val="single" w:sz="4" w:space="0" w:color="auto"/>
            </w:tcBorders>
          </w:tcPr>
          <w:p w14:paraId="12A06FE6"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Trauma with predicted mortality &gt;30% based on TRISS score</w:t>
            </w:r>
          </w:p>
        </w:tc>
      </w:tr>
      <w:tr w:rsidR="00F927F8" w:rsidRPr="00676FE3" w14:paraId="6D707378" w14:textId="77777777" w:rsidTr="00172F1F">
        <w:tc>
          <w:tcPr>
            <w:tcW w:w="840" w:type="dxa"/>
            <w:tcBorders>
              <w:top w:val="single" w:sz="4" w:space="0" w:color="auto"/>
              <w:left w:val="single" w:sz="4" w:space="0" w:color="auto"/>
              <w:bottom w:val="single" w:sz="4" w:space="0" w:color="auto"/>
              <w:right w:val="single" w:sz="4" w:space="0" w:color="auto"/>
            </w:tcBorders>
          </w:tcPr>
          <w:p w14:paraId="6029174F"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B</w:t>
            </w:r>
          </w:p>
        </w:tc>
        <w:tc>
          <w:tcPr>
            <w:tcW w:w="3385" w:type="dxa"/>
            <w:tcBorders>
              <w:top w:val="single" w:sz="4" w:space="0" w:color="auto"/>
              <w:left w:val="single" w:sz="4" w:space="0" w:color="auto"/>
              <w:bottom w:val="single" w:sz="4" w:space="0" w:color="auto"/>
              <w:right w:val="single" w:sz="4" w:space="0" w:color="auto"/>
            </w:tcBorders>
          </w:tcPr>
          <w:p w14:paraId="23700ADE"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Severe burns with any 2 of: Age &gt;60, &gt;40% total body surface area affected, inhalation injury</w:t>
            </w:r>
          </w:p>
        </w:tc>
        <w:tc>
          <w:tcPr>
            <w:tcW w:w="3476" w:type="dxa"/>
            <w:tcBorders>
              <w:top w:val="single" w:sz="4" w:space="0" w:color="auto"/>
              <w:left w:val="single" w:sz="4" w:space="0" w:color="auto"/>
              <w:bottom w:val="single" w:sz="4" w:space="0" w:color="auto"/>
              <w:right w:val="single" w:sz="4" w:space="0" w:color="auto"/>
            </w:tcBorders>
          </w:tcPr>
          <w:p w14:paraId="1C5D9FF9" w14:textId="77777777" w:rsidR="00F927F8" w:rsidRPr="00676FE3" w:rsidRDefault="00F927F8" w:rsidP="00F927F8">
            <w:pPr>
              <w:rPr>
                <w:rFonts w:ascii="Calibri" w:eastAsia="Calibri" w:hAnsi="Calibri" w:cs="Arial"/>
              </w:rPr>
            </w:pPr>
            <w:r w:rsidRPr="00676FE3">
              <w:rPr>
                <w:rFonts w:ascii="Calibri" w:eastAsia="Calibri" w:hAnsi="Calibri" w:cs="Arial"/>
                <w:sz w:val="15"/>
                <w:szCs w:val="15"/>
              </w:rPr>
              <w:t>Same as Level 1</w:t>
            </w:r>
          </w:p>
        </w:tc>
        <w:tc>
          <w:tcPr>
            <w:tcW w:w="1649" w:type="dxa"/>
            <w:tcBorders>
              <w:top w:val="single" w:sz="4" w:space="0" w:color="auto"/>
              <w:left w:val="single" w:sz="4" w:space="0" w:color="auto"/>
              <w:bottom w:val="single" w:sz="4" w:space="0" w:color="auto"/>
              <w:right w:val="single" w:sz="4" w:space="0" w:color="auto"/>
            </w:tcBorders>
          </w:tcPr>
          <w:p w14:paraId="4ECEC535"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Same as Level 1</w:t>
            </w:r>
          </w:p>
        </w:tc>
      </w:tr>
      <w:tr w:rsidR="00F927F8" w:rsidRPr="00676FE3" w14:paraId="7DB21AA4" w14:textId="77777777" w:rsidTr="00172F1F">
        <w:tc>
          <w:tcPr>
            <w:tcW w:w="840" w:type="dxa"/>
            <w:tcBorders>
              <w:top w:val="single" w:sz="4" w:space="0" w:color="auto"/>
              <w:left w:val="single" w:sz="4" w:space="0" w:color="auto"/>
              <w:bottom w:val="single" w:sz="4" w:space="0" w:color="auto"/>
              <w:right w:val="single" w:sz="4" w:space="0" w:color="auto"/>
            </w:tcBorders>
          </w:tcPr>
          <w:p w14:paraId="0E0AAE0B"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C</w:t>
            </w:r>
          </w:p>
        </w:tc>
        <w:tc>
          <w:tcPr>
            <w:tcW w:w="3385" w:type="dxa"/>
            <w:tcBorders>
              <w:top w:val="single" w:sz="4" w:space="0" w:color="auto"/>
              <w:left w:val="single" w:sz="4" w:space="0" w:color="auto"/>
              <w:bottom w:val="single" w:sz="4" w:space="0" w:color="auto"/>
              <w:right w:val="single" w:sz="4" w:space="0" w:color="auto"/>
            </w:tcBorders>
          </w:tcPr>
          <w:p w14:paraId="4AC3A1C1"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Cardiac arrest</w:t>
            </w:r>
          </w:p>
          <w:p w14:paraId="4E214713" w14:textId="77777777" w:rsidR="00F927F8" w:rsidRPr="00676FE3" w:rsidRDefault="00F927F8" w:rsidP="00F927F8">
            <w:pPr>
              <w:numPr>
                <w:ilvl w:val="0"/>
                <w:numId w:val="13"/>
              </w:numPr>
              <w:ind w:left="313" w:hanging="124"/>
              <w:contextualSpacing/>
              <w:rPr>
                <w:rFonts w:ascii="Calibri" w:eastAsia="Calibri" w:hAnsi="Calibri" w:cs="Arial"/>
                <w:sz w:val="15"/>
                <w:szCs w:val="15"/>
              </w:rPr>
            </w:pPr>
            <w:r w:rsidRPr="00676FE3">
              <w:rPr>
                <w:rFonts w:ascii="Calibri" w:eastAsia="Calibri" w:hAnsi="Calibri" w:cs="Arial"/>
                <w:sz w:val="15"/>
                <w:szCs w:val="15"/>
              </w:rPr>
              <w:t xml:space="preserve">Unwitnessed cardiac arrest or </w:t>
            </w:r>
          </w:p>
          <w:p w14:paraId="6DB07532" w14:textId="77777777" w:rsidR="00F927F8" w:rsidRPr="00676FE3" w:rsidRDefault="00F927F8" w:rsidP="00F927F8">
            <w:pPr>
              <w:numPr>
                <w:ilvl w:val="0"/>
                <w:numId w:val="13"/>
              </w:numPr>
              <w:ind w:left="313" w:hanging="124"/>
              <w:contextualSpacing/>
              <w:rPr>
                <w:rFonts w:ascii="Calibri" w:eastAsia="Calibri" w:hAnsi="Calibri" w:cs="Arial"/>
                <w:sz w:val="15"/>
                <w:szCs w:val="15"/>
              </w:rPr>
            </w:pPr>
            <w:r w:rsidRPr="00676FE3">
              <w:rPr>
                <w:rFonts w:ascii="Calibri" w:eastAsia="Calibri" w:hAnsi="Calibri" w:cs="Arial"/>
                <w:sz w:val="15"/>
                <w:szCs w:val="15"/>
              </w:rPr>
              <w:t>Witnessed cardiac arrest with non-shockable rhythm or</w:t>
            </w:r>
          </w:p>
          <w:p w14:paraId="258D0271" w14:textId="77777777" w:rsidR="00F927F8" w:rsidRPr="00676FE3" w:rsidRDefault="00F927F8" w:rsidP="00F927F8">
            <w:pPr>
              <w:numPr>
                <w:ilvl w:val="0"/>
                <w:numId w:val="13"/>
              </w:numPr>
              <w:ind w:left="313" w:hanging="124"/>
              <w:contextualSpacing/>
              <w:rPr>
                <w:rFonts w:ascii="Calibri" w:eastAsia="Calibri" w:hAnsi="Calibri" w:cs="Arial"/>
                <w:sz w:val="15"/>
                <w:szCs w:val="15"/>
              </w:rPr>
            </w:pPr>
            <w:r w:rsidRPr="00676FE3">
              <w:rPr>
                <w:rFonts w:ascii="Calibri" w:eastAsia="Calibri" w:hAnsi="Calibri" w:cs="Arial"/>
                <w:sz w:val="15"/>
                <w:szCs w:val="15"/>
              </w:rPr>
              <w:t>Recurrent cardiac arrest</w:t>
            </w:r>
          </w:p>
        </w:tc>
        <w:tc>
          <w:tcPr>
            <w:tcW w:w="3476" w:type="dxa"/>
            <w:tcBorders>
              <w:top w:val="single" w:sz="4" w:space="0" w:color="auto"/>
              <w:left w:val="single" w:sz="4" w:space="0" w:color="auto"/>
              <w:bottom w:val="single" w:sz="4" w:space="0" w:color="auto"/>
              <w:right w:val="single" w:sz="4" w:space="0" w:color="auto"/>
            </w:tcBorders>
          </w:tcPr>
          <w:p w14:paraId="2DA36585"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Same as Level 1</w:t>
            </w:r>
          </w:p>
        </w:tc>
        <w:tc>
          <w:tcPr>
            <w:tcW w:w="1649" w:type="dxa"/>
            <w:tcBorders>
              <w:top w:val="single" w:sz="4" w:space="0" w:color="auto"/>
              <w:left w:val="single" w:sz="4" w:space="0" w:color="auto"/>
              <w:bottom w:val="single" w:sz="4" w:space="0" w:color="auto"/>
              <w:right w:val="single" w:sz="4" w:space="0" w:color="auto"/>
            </w:tcBorders>
          </w:tcPr>
          <w:p w14:paraId="707A6931"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Cardiac arrest</w:t>
            </w:r>
          </w:p>
          <w:p w14:paraId="232280C0" w14:textId="77777777" w:rsidR="00F927F8" w:rsidRPr="00676FE3" w:rsidRDefault="00F927F8" w:rsidP="00F927F8">
            <w:pPr>
              <w:rPr>
                <w:rFonts w:ascii="Calibri" w:eastAsia="Calibri" w:hAnsi="Calibri" w:cs="Arial"/>
                <w:sz w:val="15"/>
                <w:szCs w:val="15"/>
              </w:rPr>
            </w:pPr>
          </w:p>
        </w:tc>
      </w:tr>
      <w:tr w:rsidR="00F927F8" w:rsidRPr="00676FE3" w14:paraId="6BCFBB2A" w14:textId="77777777" w:rsidTr="00172F1F">
        <w:tc>
          <w:tcPr>
            <w:tcW w:w="840" w:type="dxa"/>
          </w:tcPr>
          <w:p w14:paraId="34B4FE10"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D</w:t>
            </w:r>
          </w:p>
        </w:tc>
        <w:tc>
          <w:tcPr>
            <w:tcW w:w="3385" w:type="dxa"/>
          </w:tcPr>
          <w:p w14:paraId="1E8388A7"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Metastatic malignant disease with any of the following:</w:t>
            </w:r>
          </w:p>
          <w:p w14:paraId="371E242B" w14:textId="77777777" w:rsidR="00F927F8" w:rsidRPr="00676FE3" w:rsidRDefault="00F927F8" w:rsidP="00F927F8">
            <w:pPr>
              <w:numPr>
                <w:ilvl w:val="0"/>
                <w:numId w:val="14"/>
              </w:numPr>
              <w:ind w:left="313" w:hanging="124"/>
              <w:contextualSpacing/>
              <w:rPr>
                <w:rFonts w:ascii="Calibri" w:eastAsia="Calibri" w:hAnsi="Calibri" w:cs="Arial"/>
                <w:sz w:val="15"/>
                <w:szCs w:val="15"/>
              </w:rPr>
            </w:pPr>
            <w:r w:rsidRPr="00676FE3">
              <w:rPr>
                <w:rFonts w:ascii="Calibri" w:eastAsia="Calibri" w:hAnsi="Calibri" w:cs="Arial"/>
                <w:sz w:val="15"/>
                <w:szCs w:val="15"/>
              </w:rPr>
              <w:t>ECOG grade&gt;=2 at baseline (2-4 weeks before admission)</w:t>
            </w:r>
          </w:p>
          <w:p w14:paraId="1A5E53A0" w14:textId="77777777" w:rsidR="00F927F8" w:rsidRPr="00676FE3" w:rsidRDefault="00F927F8" w:rsidP="00F927F8">
            <w:pPr>
              <w:numPr>
                <w:ilvl w:val="0"/>
                <w:numId w:val="14"/>
              </w:numPr>
              <w:ind w:left="313" w:hanging="124"/>
              <w:contextualSpacing/>
              <w:rPr>
                <w:rFonts w:ascii="Calibri" w:eastAsia="Calibri" w:hAnsi="Calibri" w:cs="Arial"/>
                <w:sz w:val="15"/>
                <w:szCs w:val="15"/>
              </w:rPr>
            </w:pPr>
            <w:r w:rsidRPr="00676FE3">
              <w:rPr>
                <w:rFonts w:ascii="Calibri" w:eastAsia="Calibri" w:hAnsi="Calibri" w:cs="Arial"/>
                <w:sz w:val="15"/>
                <w:szCs w:val="15"/>
              </w:rPr>
              <w:t>Disease progressing or stable on treatment</w:t>
            </w:r>
          </w:p>
          <w:p w14:paraId="2FBAD7F9" w14:textId="77777777" w:rsidR="00F927F8" w:rsidRPr="00676FE3" w:rsidRDefault="00F927F8" w:rsidP="00F927F8">
            <w:pPr>
              <w:numPr>
                <w:ilvl w:val="0"/>
                <w:numId w:val="14"/>
              </w:numPr>
              <w:ind w:left="313" w:hanging="124"/>
              <w:contextualSpacing/>
              <w:rPr>
                <w:rFonts w:ascii="Calibri" w:eastAsia="Calibri" w:hAnsi="Calibri" w:cs="Arial"/>
                <w:sz w:val="15"/>
                <w:szCs w:val="15"/>
              </w:rPr>
            </w:pPr>
            <w:r w:rsidRPr="00676FE3">
              <w:rPr>
                <w:rFonts w:ascii="Calibri" w:eastAsia="Calibri" w:hAnsi="Calibri" w:cs="Arial"/>
                <w:sz w:val="15"/>
                <w:szCs w:val="15"/>
              </w:rPr>
              <w:t>Active treatment plan with &gt;80% predicted mortality during or soon after critical illness</w:t>
            </w:r>
          </w:p>
          <w:p w14:paraId="2DFC43CD" w14:textId="77777777" w:rsidR="00F927F8" w:rsidRPr="00676FE3" w:rsidRDefault="00F927F8" w:rsidP="00F927F8">
            <w:pPr>
              <w:numPr>
                <w:ilvl w:val="0"/>
                <w:numId w:val="14"/>
              </w:numPr>
              <w:ind w:left="313" w:hanging="124"/>
              <w:contextualSpacing/>
              <w:rPr>
                <w:rFonts w:ascii="Calibri" w:eastAsia="Calibri" w:hAnsi="Calibri" w:cs="Arial"/>
                <w:sz w:val="15"/>
                <w:szCs w:val="15"/>
              </w:rPr>
            </w:pPr>
            <w:r w:rsidRPr="00676FE3">
              <w:rPr>
                <w:rFonts w:ascii="Calibri" w:eastAsia="Calibri" w:hAnsi="Calibri" w:cs="Arial"/>
                <w:sz w:val="15"/>
                <w:szCs w:val="15"/>
              </w:rPr>
              <w:t>Unproven (experimental) treatment plan</w:t>
            </w:r>
          </w:p>
          <w:p w14:paraId="41C1C8DE" w14:textId="77777777" w:rsidR="00F927F8" w:rsidRPr="00676FE3" w:rsidRDefault="00F927F8" w:rsidP="00F927F8">
            <w:pPr>
              <w:numPr>
                <w:ilvl w:val="0"/>
                <w:numId w:val="14"/>
              </w:numPr>
              <w:ind w:left="313" w:hanging="124"/>
              <w:contextualSpacing/>
              <w:rPr>
                <w:rFonts w:ascii="Calibri" w:eastAsia="Calibri" w:hAnsi="Calibri" w:cs="Arial"/>
                <w:sz w:val="15"/>
                <w:szCs w:val="15"/>
              </w:rPr>
            </w:pPr>
            <w:r w:rsidRPr="00676FE3">
              <w:rPr>
                <w:rFonts w:ascii="Calibri" w:eastAsia="Calibri" w:hAnsi="Calibri" w:cs="Arial"/>
                <w:sz w:val="15"/>
                <w:szCs w:val="15"/>
              </w:rPr>
              <w:t>Treatment plan that would only be started if the patient recovers from critical illness</w:t>
            </w:r>
          </w:p>
        </w:tc>
        <w:tc>
          <w:tcPr>
            <w:tcW w:w="3476" w:type="dxa"/>
          </w:tcPr>
          <w:p w14:paraId="4243CBBC"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Metastatic malignant disease with any of the following:</w:t>
            </w:r>
          </w:p>
          <w:p w14:paraId="3DEBB208" w14:textId="77777777" w:rsidR="00F927F8" w:rsidRPr="00676FE3" w:rsidRDefault="00F927F8" w:rsidP="00F927F8">
            <w:pPr>
              <w:numPr>
                <w:ilvl w:val="0"/>
                <w:numId w:val="14"/>
              </w:numPr>
              <w:ind w:left="313" w:hanging="124"/>
              <w:contextualSpacing/>
              <w:rPr>
                <w:rFonts w:ascii="Calibri" w:eastAsia="Yu Mincho" w:hAnsi="Calibri" w:cs="Arial"/>
                <w:sz w:val="15"/>
                <w:szCs w:val="15"/>
              </w:rPr>
            </w:pPr>
            <w:r w:rsidRPr="00676FE3">
              <w:rPr>
                <w:rFonts w:ascii="Calibri" w:eastAsia="Calibri" w:hAnsi="Calibri" w:cs="Arial"/>
                <w:sz w:val="15"/>
                <w:szCs w:val="15"/>
              </w:rPr>
              <w:t>ECOG grade&gt;=2 at baseline (2-4 weeks before admission)</w:t>
            </w:r>
          </w:p>
          <w:p w14:paraId="1619A25E" w14:textId="77777777" w:rsidR="00F927F8" w:rsidRPr="00676FE3" w:rsidRDefault="00F927F8" w:rsidP="00F927F8">
            <w:pPr>
              <w:numPr>
                <w:ilvl w:val="0"/>
                <w:numId w:val="14"/>
              </w:numPr>
              <w:ind w:left="313" w:hanging="124"/>
              <w:contextualSpacing/>
              <w:rPr>
                <w:rFonts w:ascii="Calibri" w:eastAsia="Yu Mincho" w:hAnsi="Calibri" w:cs="Arial"/>
                <w:sz w:val="15"/>
                <w:szCs w:val="15"/>
              </w:rPr>
            </w:pPr>
            <w:r w:rsidRPr="00676FE3">
              <w:rPr>
                <w:rFonts w:ascii="Calibri" w:eastAsia="Calibri" w:hAnsi="Calibri" w:cs="Arial"/>
                <w:sz w:val="15"/>
                <w:szCs w:val="15"/>
              </w:rPr>
              <w:t>Disease progressing or stable on treatment</w:t>
            </w:r>
          </w:p>
          <w:p w14:paraId="7076B23C" w14:textId="77777777" w:rsidR="00F927F8" w:rsidRPr="00676FE3" w:rsidRDefault="00F927F8" w:rsidP="00F927F8">
            <w:pPr>
              <w:numPr>
                <w:ilvl w:val="0"/>
                <w:numId w:val="14"/>
              </w:numPr>
              <w:ind w:left="313" w:hanging="124"/>
              <w:contextualSpacing/>
              <w:rPr>
                <w:rFonts w:ascii="Calibri" w:eastAsia="Calibri" w:hAnsi="Calibri" w:cs="Arial"/>
                <w:sz w:val="15"/>
                <w:szCs w:val="15"/>
              </w:rPr>
            </w:pPr>
            <w:r w:rsidRPr="00676FE3">
              <w:rPr>
                <w:rFonts w:ascii="Calibri" w:eastAsia="Calibri" w:hAnsi="Calibri" w:cs="Arial"/>
                <w:sz w:val="15"/>
                <w:szCs w:val="15"/>
              </w:rPr>
              <w:t>Active treatment plan with &gt;50% predicted mortality during or soon after critical illness</w:t>
            </w:r>
          </w:p>
          <w:p w14:paraId="14A08995" w14:textId="77777777" w:rsidR="00F927F8" w:rsidRPr="00676FE3" w:rsidRDefault="00F927F8" w:rsidP="00F927F8">
            <w:pPr>
              <w:numPr>
                <w:ilvl w:val="0"/>
                <w:numId w:val="14"/>
              </w:numPr>
              <w:ind w:left="313" w:hanging="124"/>
              <w:contextualSpacing/>
              <w:rPr>
                <w:rFonts w:ascii="Calibri" w:eastAsia="Calibri" w:hAnsi="Calibri" w:cs="Arial"/>
                <w:sz w:val="15"/>
                <w:szCs w:val="15"/>
              </w:rPr>
            </w:pPr>
            <w:r w:rsidRPr="00676FE3">
              <w:rPr>
                <w:rFonts w:ascii="Calibri" w:eastAsia="Calibri" w:hAnsi="Calibri" w:cs="Arial"/>
                <w:sz w:val="15"/>
                <w:szCs w:val="15"/>
              </w:rPr>
              <w:t>Unproven (experimental) treatment plan</w:t>
            </w:r>
          </w:p>
          <w:p w14:paraId="6DCACE40" w14:textId="77777777" w:rsidR="00F927F8" w:rsidRPr="00676FE3" w:rsidRDefault="00F927F8" w:rsidP="00F927F8">
            <w:pPr>
              <w:numPr>
                <w:ilvl w:val="0"/>
                <w:numId w:val="14"/>
              </w:numPr>
              <w:ind w:left="313" w:hanging="124"/>
              <w:contextualSpacing/>
              <w:rPr>
                <w:rFonts w:ascii="Calibri" w:eastAsia="Calibri" w:hAnsi="Calibri" w:cs="Arial"/>
                <w:sz w:val="15"/>
                <w:szCs w:val="15"/>
              </w:rPr>
            </w:pPr>
            <w:r w:rsidRPr="00676FE3">
              <w:rPr>
                <w:rFonts w:ascii="Calibri" w:eastAsia="Calibri" w:hAnsi="Calibri" w:cs="Arial"/>
                <w:sz w:val="15"/>
                <w:szCs w:val="15"/>
              </w:rPr>
              <w:t>Treatment plan that would only be started if the patient recovers from critical illness</w:t>
            </w:r>
          </w:p>
        </w:tc>
        <w:tc>
          <w:tcPr>
            <w:tcW w:w="1649" w:type="dxa"/>
          </w:tcPr>
          <w:p w14:paraId="18576523"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 xml:space="preserve">Metastatic malignant disease </w:t>
            </w:r>
          </w:p>
        </w:tc>
      </w:tr>
    </w:tbl>
    <w:p w14:paraId="332C520C" w14:textId="33BE8181" w:rsidR="109A04B4" w:rsidRDefault="109A04B4" w:rsidP="44D22B2E"/>
    <w:p w14:paraId="2E7AF4ED" w14:textId="7CE476F3" w:rsidR="00F927F8" w:rsidRDefault="00F927F8" w:rsidP="44D22B2E"/>
    <w:p w14:paraId="63B4422F" w14:textId="77777777" w:rsidR="00F927F8" w:rsidRDefault="00F927F8" w:rsidP="44D22B2E"/>
    <w:p w14:paraId="2B9C0002" w14:textId="47D2FF08" w:rsidR="00F927F8" w:rsidRDefault="00F927F8" w:rsidP="44D22B2E"/>
    <w:tbl>
      <w:tblPr>
        <w:tblStyle w:val="TableGrid1"/>
        <w:tblW w:w="0" w:type="auto"/>
        <w:tblLook w:val="04A0" w:firstRow="1" w:lastRow="0" w:firstColumn="1" w:lastColumn="0" w:noHBand="0" w:noVBand="1"/>
      </w:tblPr>
      <w:tblGrid>
        <w:gridCol w:w="840"/>
        <w:gridCol w:w="3385"/>
        <w:gridCol w:w="3476"/>
        <w:gridCol w:w="1649"/>
      </w:tblGrid>
      <w:tr w:rsidR="00F927F8" w:rsidRPr="00676FE3" w14:paraId="4BA382E3" w14:textId="77777777" w:rsidTr="00172F1F">
        <w:tc>
          <w:tcPr>
            <w:tcW w:w="840" w:type="dxa"/>
            <w:shd w:val="clear" w:color="auto" w:fill="BFBFBF"/>
          </w:tcPr>
          <w:p w14:paraId="3B2607D4" w14:textId="77777777" w:rsidR="00F927F8" w:rsidRPr="00676FE3" w:rsidRDefault="00F927F8" w:rsidP="00F927F8">
            <w:pPr>
              <w:rPr>
                <w:rFonts w:ascii="Calibri" w:eastAsia="Calibri" w:hAnsi="Calibri" w:cs="Arial"/>
              </w:rPr>
            </w:pPr>
            <w:r w:rsidRPr="00676FE3">
              <w:rPr>
                <w:rFonts w:ascii="Calibri" w:eastAsia="Calibri" w:hAnsi="Calibri" w:cs="Arial"/>
                <w:b/>
                <w:bCs/>
                <w:sz w:val="15"/>
                <w:szCs w:val="15"/>
                <w:u w:val="single"/>
              </w:rPr>
              <w:lastRenderedPageBreak/>
              <w:t>Clinical Factor</w:t>
            </w:r>
          </w:p>
        </w:tc>
        <w:tc>
          <w:tcPr>
            <w:tcW w:w="3385" w:type="dxa"/>
            <w:shd w:val="clear" w:color="auto" w:fill="BFBFBF"/>
          </w:tcPr>
          <w:p w14:paraId="3D0734F2" w14:textId="77777777" w:rsidR="00F927F8" w:rsidRPr="00676FE3" w:rsidRDefault="00F927F8" w:rsidP="00F927F8">
            <w:pPr>
              <w:rPr>
                <w:rFonts w:ascii="Calibri" w:eastAsia="Calibri" w:hAnsi="Calibri" w:cs="Arial"/>
                <w:b/>
                <w:bCs/>
                <w:sz w:val="15"/>
                <w:szCs w:val="15"/>
                <w:u w:val="single"/>
              </w:rPr>
            </w:pPr>
            <w:r w:rsidRPr="00676FE3">
              <w:rPr>
                <w:rFonts w:ascii="Calibri" w:eastAsia="Calibri" w:hAnsi="Calibri" w:cs="Arial"/>
                <w:b/>
                <w:bCs/>
                <w:sz w:val="15"/>
                <w:szCs w:val="15"/>
                <w:u w:val="single"/>
              </w:rPr>
              <w:t>Level 1 Triage Scenario (Aiming to identify patients with &gt;80% short-term mortality risk)</w:t>
            </w:r>
          </w:p>
        </w:tc>
        <w:tc>
          <w:tcPr>
            <w:tcW w:w="3476" w:type="dxa"/>
            <w:shd w:val="clear" w:color="auto" w:fill="BFBFBF"/>
          </w:tcPr>
          <w:p w14:paraId="5886F517" w14:textId="77777777" w:rsidR="00F927F8" w:rsidRPr="00676FE3" w:rsidRDefault="00F927F8" w:rsidP="00F927F8">
            <w:pPr>
              <w:rPr>
                <w:rFonts w:ascii="Calibri" w:eastAsia="Calibri" w:hAnsi="Calibri" w:cs="Arial"/>
                <w:b/>
                <w:bCs/>
                <w:sz w:val="15"/>
                <w:szCs w:val="15"/>
                <w:u w:val="single"/>
              </w:rPr>
            </w:pPr>
            <w:r w:rsidRPr="00676FE3">
              <w:rPr>
                <w:rFonts w:ascii="Calibri" w:eastAsia="Calibri" w:hAnsi="Calibri" w:cs="Arial"/>
                <w:b/>
                <w:bCs/>
                <w:sz w:val="15"/>
                <w:szCs w:val="15"/>
                <w:u w:val="single"/>
              </w:rPr>
              <w:t>Level 2 Triage Scenario (Aiming to identify patients with &gt;50% short-term mortality risk)</w:t>
            </w:r>
          </w:p>
        </w:tc>
        <w:tc>
          <w:tcPr>
            <w:tcW w:w="1649" w:type="dxa"/>
            <w:shd w:val="clear" w:color="auto" w:fill="BFBFBF"/>
          </w:tcPr>
          <w:p w14:paraId="4C7550A4" w14:textId="77777777" w:rsidR="00F927F8" w:rsidRPr="00676FE3" w:rsidRDefault="00F927F8" w:rsidP="00F927F8">
            <w:pPr>
              <w:rPr>
                <w:rFonts w:ascii="Calibri" w:eastAsia="Calibri" w:hAnsi="Calibri" w:cs="Arial"/>
              </w:rPr>
            </w:pPr>
            <w:r w:rsidRPr="00676FE3">
              <w:rPr>
                <w:rFonts w:ascii="Calibri" w:eastAsia="Calibri" w:hAnsi="Calibri" w:cs="Arial"/>
                <w:b/>
                <w:bCs/>
                <w:sz w:val="15"/>
                <w:szCs w:val="15"/>
                <w:u w:val="single"/>
              </w:rPr>
              <w:t>Level 3 Triage Scenario (Aiming to identify people with &gt;30% short-term mortality risk)</w:t>
            </w:r>
          </w:p>
        </w:tc>
      </w:tr>
      <w:tr w:rsidR="00F927F8" w:rsidRPr="00676FE3" w14:paraId="078B6029" w14:textId="77777777" w:rsidTr="00172F1F">
        <w:tc>
          <w:tcPr>
            <w:tcW w:w="840" w:type="dxa"/>
          </w:tcPr>
          <w:p w14:paraId="5AE11A1A"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E</w:t>
            </w:r>
          </w:p>
        </w:tc>
        <w:tc>
          <w:tcPr>
            <w:tcW w:w="3385" w:type="dxa"/>
          </w:tcPr>
          <w:p w14:paraId="08B336E8"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Severe and irreversible neurologic event with &gt;80% risk of death based on:</w:t>
            </w:r>
          </w:p>
          <w:p w14:paraId="5E4E257E"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 xml:space="preserve">For Intracerebral Hemorrhage a modified ICH score of </w:t>
            </w:r>
            <w:r w:rsidRPr="00676FE3">
              <w:rPr>
                <w:rFonts w:ascii="Calibri" w:eastAsia="Calibri" w:hAnsi="Calibri" w:cs="Arial"/>
                <w:b/>
                <w:bCs/>
                <w:sz w:val="15"/>
                <w:szCs w:val="15"/>
              </w:rPr>
              <w:t>4-7</w:t>
            </w:r>
          </w:p>
          <w:p w14:paraId="770129FD"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For Subarachnoid Hemorrhage, a WFNS grade 5 (GCS 3-6)</w:t>
            </w:r>
          </w:p>
          <w:p w14:paraId="02B4B93D"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For Traumatic Brain Injury, the IMPACT score</w:t>
            </w:r>
          </w:p>
          <w:p w14:paraId="6A33030B"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 xml:space="preserve">Acute ischemic stroke alone would not be excluded at this level </w:t>
            </w:r>
          </w:p>
        </w:tc>
        <w:tc>
          <w:tcPr>
            <w:tcW w:w="3476" w:type="dxa"/>
          </w:tcPr>
          <w:p w14:paraId="4208AB71"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Severe and irreversible neurologic event with &gt;50% risk of death based on:</w:t>
            </w:r>
          </w:p>
          <w:p w14:paraId="61A5F4DA"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 xml:space="preserve">For Intracerebral Hemorrhage a modified ICH score of </w:t>
            </w:r>
            <w:r w:rsidRPr="00676FE3">
              <w:rPr>
                <w:rFonts w:ascii="Calibri" w:eastAsia="Calibri" w:hAnsi="Calibri" w:cs="Arial"/>
                <w:b/>
                <w:bCs/>
                <w:sz w:val="15"/>
                <w:szCs w:val="15"/>
              </w:rPr>
              <w:t>3-7</w:t>
            </w:r>
          </w:p>
          <w:p w14:paraId="36AF3121"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For Subarachnoid Hemorrhage, a WFNS grade 3-5 (GCS 3-12 OR GCS 13-14 AND focal neurological deficits)</w:t>
            </w:r>
          </w:p>
          <w:p w14:paraId="79FC81F9"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For Traumatic Brain Injury, the IMPACT score</w:t>
            </w:r>
          </w:p>
          <w:p w14:paraId="67131621"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 xml:space="preserve">For acute ischemic stroke, an NIHSS of </w:t>
            </w:r>
            <w:r w:rsidRPr="00676FE3">
              <w:rPr>
                <w:rFonts w:ascii="Calibri" w:eastAsia="Calibri" w:hAnsi="Calibri" w:cs="Arial"/>
                <w:b/>
                <w:bCs/>
                <w:sz w:val="15"/>
                <w:szCs w:val="15"/>
              </w:rPr>
              <w:t>22-42.</w:t>
            </w:r>
          </w:p>
        </w:tc>
        <w:tc>
          <w:tcPr>
            <w:tcW w:w="1649" w:type="dxa"/>
          </w:tcPr>
          <w:p w14:paraId="6244E6BF"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Irreversible neurologic event/condition with &gt;30% risk of death on:</w:t>
            </w:r>
          </w:p>
          <w:p w14:paraId="085529C5"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 xml:space="preserve">For Intracerebral Hemorrhage a modified ICH score of </w:t>
            </w:r>
            <w:r w:rsidRPr="00676FE3">
              <w:rPr>
                <w:rFonts w:ascii="Calibri" w:eastAsia="Calibri" w:hAnsi="Calibri" w:cs="Arial"/>
                <w:b/>
                <w:bCs/>
                <w:sz w:val="15"/>
                <w:szCs w:val="15"/>
              </w:rPr>
              <w:t>2-7</w:t>
            </w:r>
          </w:p>
          <w:p w14:paraId="4630321F"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 xml:space="preserve">For Subarachnoid Hemorrhage, a WFNS grade 2-5 (GCS &lt;15) </w:t>
            </w:r>
          </w:p>
          <w:p w14:paraId="41FFBB02"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For Traumatic Brain Injury, the IMPACT score</w:t>
            </w:r>
          </w:p>
          <w:p w14:paraId="0AB61D36" w14:textId="77777777" w:rsidR="00F927F8" w:rsidRPr="00676FE3" w:rsidRDefault="00F927F8" w:rsidP="00F927F8">
            <w:pPr>
              <w:numPr>
                <w:ilvl w:val="0"/>
                <w:numId w:val="15"/>
              </w:numPr>
              <w:ind w:left="310" w:hanging="127"/>
              <w:contextualSpacing/>
              <w:rPr>
                <w:rFonts w:ascii="Calibri" w:eastAsia="Calibri" w:hAnsi="Calibri" w:cs="Arial"/>
                <w:sz w:val="15"/>
                <w:szCs w:val="15"/>
              </w:rPr>
            </w:pPr>
            <w:r w:rsidRPr="00676FE3">
              <w:rPr>
                <w:rFonts w:ascii="Calibri" w:eastAsia="Calibri" w:hAnsi="Calibri" w:cs="Arial"/>
                <w:sz w:val="15"/>
                <w:szCs w:val="15"/>
              </w:rPr>
              <w:t xml:space="preserve">For acute ischemic stroke, an NIHSS of </w:t>
            </w:r>
            <w:r w:rsidRPr="00676FE3">
              <w:rPr>
                <w:rFonts w:ascii="Calibri" w:eastAsia="Calibri" w:hAnsi="Calibri" w:cs="Arial"/>
                <w:b/>
                <w:bCs/>
                <w:sz w:val="15"/>
                <w:szCs w:val="15"/>
              </w:rPr>
              <w:t>14-42.</w:t>
            </w:r>
          </w:p>
        </w:tc>
      </w:tr>
      <w:tr w:rsidR="00F927F8" w:rsidRPr="00676FE3" w14:paraId="436EC756" w14:textId="77777777" w:rsidTr="00172F1F">
        <w:tc>
          <w:tcPr>
            <w:tcW w:w="840" w:type="dxa"/>
          </w:tcPr>
          <w:p w14:paraId="08F4B993"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F</w:t>
            </w:r>
          </w:p>
        </w:tc>
        <w:tc>
          <w:tcPr>
            <w:tcW w:w="3385" w:type="dxa"/>
          </w:tcPr>
          <w:p w14:paraId="2F7FE41E"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End-stage organ failure meeting the following criteria:</w:t>
            </w:r>
          </w:p>
          <w:p w14:paraId="585F10B7" w14:textId="77777777" w:rsidR="00F927F8" w:rsidRPr="00676FE3" w:rsidRDefault="00F927F8" w:rsidP="00F927F8">
            <w:pPr>
              <w:ind w:left="313" w:hanging="142"/>
              <w:rPr>
                <w:rFonts w:ascii="Calibri" w:eastAsia="Calibri" w:hAnsi="Calibri" w:cs="Arial"/>
                <w:i/>
                <w:iCs/>
                <w:sz w:val="15"/>
                <w:szCs w:val="15"/>
              </w:rPr>
            </w:pPr>
            <w:r w:rsidRPr="00676FE3">
              <w:rPr>
                <w:rFonts w:ascii="Calibri" w:eastAsia="Calibri" w:hAnsi="Calibri" w:cs="Arial"/>
                <w:i/>
                <w:iCs/>
                <w:sz w:val="15"/>
                <w:szCs w:val="15"/>
              </w:rPr>
              <w:t>Heart</w:t>
            </w:r>
          </w:p>
          <w:p w14:paraId="521110B3" w14:textId="77777777" w:rsidR="00F927F8" w:rsidRPr="00676FE3" w:rsidRDefault="00F927F8" w:rsidP="00F927F8">
            <w:pPr>
              <w:numPr>
                <w:ilvl w:val="0"/>
                <w:numId w:val="16"/>
              </w:numPr>
              <w:ind w:left="313" w:hanging="142"/>
              <w:contextualSpacing/>
              <w:rPr>
                <w:rFonts w:ascii="Calibri" w:eastAsia="Calibri" w:hAnsi="Calibri" w:cs="Arial"/>
                <w:i/>
                <w:iCs/>
                <w:sz w:val="15"/>
                <w:szCs w:val="15"/>
              </w:rPr>
            </w:pPr>
            <w:r w:rsidRPr="00676FE3">
              <w:rPr>
                <w:rFonts w:ascii="Calibri" w:eastAsia="Calibri" w:hAnsi="Calibri" w:cs="Arial"/>
                <w:sz w:val="15"/>
                <w:szCs w:val="15"/>
              </w:rPr>
              <w:t>Chronic End-stage Heart Failure with NYHA Class 4 symptoms, ineligible for advanced therapies (mechanical support, transplant)</w:t>
            </w:r>
          </w:p>
          <w:p w14:paraId="73BA8328" w14:textId="77777777" w:rsidR="00F927F8" w:rsidRPr="00676FE3" w:rsidRDefault="00F927F8" w:rsidP="00F927F8">
            <w:pPr>
              <w:ind w:left="171"/>
              <w:rPr>
                <w:rFonts w:ascii="Calibri" w:eastAsia="Calibri" w:hAnsi="Calibri" w:cs="Arial"/>
                <w:i/>
                <w:iCs/>
                <w:sz w:val="15"/>
                <w:szCs w:val="15"/>
              </w:rPr>
            </w:pPr>
            <w:r w:rsidRPr="00676FE3">
              <w:rPr>
                <w:rFonts w:ascii="Calibri" w:eastAsia="Calibri" w:hAnsi="Calibri" w:cs="Arial"/>
                <w:i/>
                <w:iCs/>
                <w:sz w:val="15"/>
                <w:szCs w:val="15"/>
              </w:rPr>
              <w:t>Lung</w:t>
            </w:r>
          </w:p>
          <w:p w14:paraId="55469775" w14:textId="77777777" w:rsidR="00F927F8" w:rsidRPr="00676FE3" w:rsidRDefault="00F927F8" w:rsidP="00F927F8">
            <w:pPr>
              <w:numPr>
                <w:ilvl w:val="0"/>
                <w:numId w:val="16"/>
              </w:numPr>
              <w:ind w:left="313" w:hanging="124"/>
              <w:contextualSpacing/>
              <w:rPr>
                <w:rFonts w:ascii="Calibri" w:eastAsia="Yu Mincho" w:hAnsi="Calibri" w:cs="Arial"/>
                <w:sz w:val="15"/>
                <w:szCs w:val="15"/>
              </w:rPr>
            </w:pPr>
            <w:r w:rsidRPr="00676FE3">
              <w:rPr>
                <w:rFonts w:ascii="Calibri" w:eastAsia="Calibri" w:hAnsi="Calibri" w:cs="Calibri"/>
                <w:sz w:val="15"/>
                <w:szCs w:val="15"/>
              </w:rPr>
              <w:t>COPD - Use Clinical Frailty Score criterion (G)</w:t>
            </w:r>
          </w:p>
          <w:p w14:paraId="102D3C26" w14:textId="77777777" w:rsidR="00F927F8" w:rsidRPr="00676FE3" w:rsidRDefault="00F927F8" w:rsidP="00F927F8">
            <w:pPr>
              <w:numPr>
                <w:ilvl w:val="0"/>
                <w:numId w:val="16"/>
              </w:numPr>
              <w:contextualSpacing/>
              <w:rPr>
                <w:rFonts w:ascii="Calibri" w:eastAsia="Yu Mincho" w:hAnsi="Calibri" w:cs="Arial"/>
                <w:sz w:val="15"/>
                <w:szCs w:val="15"/>
              </w:rPr>
            </w:pPr>
            <w:r w:rsidRPr="00676FE3">
              <w:rPr>
                <w:rFonts w:ascii="Calibri" w:eastAsia="Calibri" w:hAnsi="Calibri" w:cs="Calibri"/>
                <w:sz w:val="15"/>
                <w:szCs w:val="15"/>
              </w:rPr>
              <w:t>Cystic Fibrosis with FEV</w:t>
            </w:r>
            <w:r w:rsidRPr="00676FE3">
              <w:rPr>
                <w:rFonts w:ascii="Calibri" w:eastAsia="Calibri" w:hAnsi="Calibri" w:cs="Calibri"/>
                <w:sz w:val="15"/>
                <w:szCs w:val="15"/>
                <w:vertAlign w:val="subscript"/>
              </w:rPr>
              <w:t>1</w:t>
            </w:r>
            <w:r w:rsidRPr="00676FE3">
              <w:rPr>
                <w:rFonts w:ascii="Calibri" w:eastAsia="Calibri" w:hAnsi="Calibri" w:cs="Calibri"/>
                <w:sz w:val="15"/>
                <w:szCs w:val="15"/>
              </w:rPr>
              <w:t xml:space="preserve"> &lt;20% predicted when measured at time of clinical stability</w:t>
            </w:r>
          </w:p>
          <w:p w14:paraId="32692CB6" w14:textId="77777777" w:rsidR="00F927F8" w:rsidRPr="00676FE3" w:rsidRDefault="00F927F8" w:rsidP="00F927F8">
            <w:pPr>
              <w:numPr>
                <w:ilvl w:val="0"/>
                <w:numId w:val="16"/>
              </w:numPr>
              <w:contextualSpacing/>
              <w:rPr>
                <w:rFonts w:ascii="Calibri" w:eastAsia="Yu Mincho" w:hAnsi="Calibri" w:cs="Arial"/>
                <w:sz w:val="15"/>
                <w:szCs w:val="15"/>
              </w:rPr>
            </w:pPr>
            <w:r w:rsidRPr="00676FE3">
              <w:rPr>
                <w:rFonts w:ascii="Calibri" w:eastAsia="Calibri" w:hAnsi="Calibri" w:cs="Calibri"/>
                <w:sz w:val="15"/>
                <w:szCs w:val="15"/>
              </w:rPr>
              <w:t>Pulmonary fibrosis with any of:</w:t>
            </w:r>
          </w:p>
          <w:p w14:paraId="07E510B9" w14:textId="77777777" w:rsidR="00F927F8" w:rsidRPr="00676FE3" w:rsidRDefault="00F927F8" w:rsidP="00F927F8">
            <w:pPr>
              <w:numPr>
                <w:ilvl w:val="1"/>
                <w:numId w:val="16"/>
              </w:numPr>
              <w:ind w:left="854" w:hanging="141"/>
              <w:contextualSpacing/>
              <w:rPr>
                <w:rFonts w:ascii="Calibri" w:eastAsia="Yu Mincho" w:hAnsi="Calibri" w:cs="Arial"/>
                <w:sz w:val="15"/>
                <w:szCs w:val="15"/>
              </w:rPr>
            </w:pPr>
            <w:r w:rsidRPr="00676FE3">
              <w:rPr>
                <w:rFonts w:ascii="Calibri" w:eastAsia="Calibri" w:hAnsi="Calibri" w:cs="Calibri"/>
                <w:sz w:val="15"/>
                <w:szCs w:val="15"/>
              </w:rPr>
              <w:t>VC &lt;60% or DLCO &lt;40% predicted</w:t>
            </w:r>
          </w:p>
          <w:p w14:paraId="79BF2B12" w14:textId="77777777" w:rsidR="00F927F8" w:rsidRPr="00676FE3" w:rsidRDefault="00F927F8" w:rsidP="00F927F8">
            <w:pPr>
              <w:numPr>
                <w:ilvl w:val="1"/>
                <w:numId w:val="16"/>
              </w:numPr>
              <w:ind w:left="854" w:hanging="141"/>
              <w:contextualSpacing/>
              <w:rPr>
                <w:rFonts w:ascii="Calibri" w:eastAsia="Yu Mincho" w:hAnsi="Calibri" w:cs="Arial"/>
                <w:sz w:val="15"/>
                <w:szCs w:val="15"/>
              </w:rPr>
            </w:pPr>
            <w:r w:rsidRPr="00676FE3">
              <w:rPr>
                <w:rFonts w:ascii="Calibri" w:eastAsia="Calibri" w:hAnsi="Calibri" w:cs="Calibri"/>
                <w:sz w:val="15"/>
                <w:szCs w:val="15"/>
              </w:rPr>
              <w:t>Chronic supplemental O</w:t>
            </w:r>
            <w:r w:rsidRPr="00676FE3">
              <w:rPr>
                <w:rFonts w:ascii="Calibri" w:eastAsia="Calibri" w:hAnsi="Calibri" w:cs="Calibri"/>
                <w:sz w:val="15"/>
                <w:szCs w:val="15"/>
                <w:vertAlign w:val="subscript"/>
              </w:rPr>
              <w:t xml:space="preserve">2 </w:t>
            </w:r>
            <w:r w:rsidRPr="00676FE3">
              <w:rPr>
                <w:rFonts w:ascii="Calibri" w:eastAsia="Calibri" w:hAnsi="Calibri" w:cs="Calibri"/>
                <w:sz w:val="15"/>
                <w:szCs w:val="15"/>
              </w:rPr>
              <w:t>&gt;12h per day</w:t>
            </w:r>
          </w:p>
          <w:p w14:paraId="35E455A3" w14:textId="77777777" w:rsidR="00F927F8" w:rsidRPr="00676FE3" w:rsidRDefault="00F927F8" w:rsidP="00F927F8">
            <w:pPr>
              <w:numPr>
                <w:ilvl w:val="0"/>
                <w:numId w:val="16"/>
              </w:numPr>
              <w:contextualSpacing/>
              <w:rPr>
                <w:rFonts w:ascii="Calibri" w:eastAsia="Yu Mincho" w:hAnsi="Calibri" w:cs="Arial"/>
                <w:sz w:val="15"/>
                <w:szCs w:val="15"/>
              </w:rPr>
            </w:pPr>
            <w:r w:rsidRPr="00676FE3">
              <w:rPr>
                <w:rFonts w:ascii="Calibri" w:eastAsia="Calibri" w:hAnsi="Calibri" w:cs="Calibri"/>
                <w:sz w:val="15"/>
                <w:szCs w:val="15"/>
              </w:rPr>
              <w:t>Secondary pulmonary hypertension (RVSP &gt;50 mmHg)</w:t>
            </w:r>
          </w:p>
          <w:p w14:paraId="13B6310C" w14:textId="77777777" w:rsidR="00F927F8" w:rsidRPr="00676FE3" w:rsidRDefault="00F927F8" w:rsidP="00F927F8">
            <w:pPr>
              <w:numPr>
                <w:ilvl w:val="0"/>
                <w:numId w:val="16"/>
              </w:numPr>
              <w:contextualSpacing/>
              <w:rPr>
                <w:rFonts w:ascii="Calibri" w:eastAsia="Yu Mincho" w:hAnsi="Calibri" w:cs="Arial"/>
                <w:sz w:val="15"/>
                <w:szCs w:val="15"/>
              </w:rPr>
            </w:pPr>
            <w:r w:rsidRPr="00676FE3">
              <w:rPr>
                <w:rFonts w:ascii="Calibri" w:eastAsia="Calibri" w:hAnsi="Calibri" w:cs="Calibri"/>
                <w:sz w:val="15"/>
                <w:szCs w:val="15"/>
              </w:rPr>
              <w:t>Rapid progression (&gt;10% decline in FVC over 6m, or acute exacerbation in previous 12m)</w:t>
            </w:r>
          </w:p>
          <w:p w14:paraId="4F84633D" w14:textId="77777777" w:rsidR="00F927F8" w:rsidRPr="00676FE3" w:rsidRDefault="00F927F8" w:rsidP="00F927F8">
            <w:pPr>
              <w:numPr>
                <w:ilvl w:val="0"/>
                <w:numId w:val="16"/>
              </w:numPr>
              <w:contextualSpacing/>
              <w:rPr>
                <w:rFonts w:ascii="Calibri" w:eastAsia="Yu Mincho" w:hAnsi="Calibri" w:cs="Arial"/>
                <w:sz w:val="15"/>
                <w:szCs w:val="15"/>
              </w:rPr>
            </w:pPr>
            <w:r w:rsidRPr="00676FE3">
              <w:rPr>
                <w:rFonts w:ascii="Calibri" w:eastAsia="Calibri" w:hAnsi="Calibri" w:cs="Calibri"/>
                <w:sz w:val="15"/>
                <w:szCs w:val="15"/>
              </w:rPr>
              <w:t>For pulmonary hypertension, anyone with ESC/ERS high risk criteria or a REVEAL 2.0 score &gt;=9 while on optimal therapy (see below)</w:t>
            </w:r>
          </w:p>
          <w:p w14:paraId="24DFF8BF" w14:textId="77777777" w:rsidR="00F927F8" w:rsidRPr="00676FE3" w:rsidRDefault="00F927F8" w:rsidP="00F927F8">
            <w:pPr>
              <w:ind w:left="172"/>
              <w:rPr>
                <w:rFonts w:ascii="Calibri" w:eastAsia="Calibri" w:hAnsi="Calibri" w:cs="Arial"/>
                <w:i/>
                <w:iCs/>
                <w:sz w:val="15"/>
                <w:szCs w:val="15"/>
              </w:rPr>
            </w:pPr>
            <w:r w:rsidRPr="00676FE3">
              <w:rPr>
                <w:rFonts w:ascii="Calibri" w:eastAsia="Calibri" w:hAnsi="Calibri" w:cs="Arial"/>
                <w:i/>
                <w:iCs/>
                <w:sz w:val="15"/>
                <w:szCs w:val="15"/>
              </w:rPr>
              <w:t>Liver</w:t>
            </w:r>
          </w:p>
          <w:p w14:paraId="3F568C35" w14:textId="77777777" w:rsidR="00F927F8" w:rsidRPr="00676FE3" w:rsidRDefault="00F927F8" w:rsidP="00F927F8">
            <w:pPr>
              <w:numPr>
                <w:ilvl w:val="0"/>
                <w:numId w:val="17"/>
              </w:numPr>
              <w:ind w:left="313" w:hanging="171"/>
              <w:contextualSpacing/>
              <w:rPr>
                <w:rFonts w:ascii="Calibri" w:eastAsia="Calibri" w:hAnsi="Calibri" w:cs="Arial"/>
                <w:sz w:val="15"/>
                <w:szCs w:val="15"/>
              </w:rPr>
            </w:pPr>
            <w:r w:rsidRPr="00676FE3">
              <w:rPr>
                <w:rFonts w:ascii="Calibri" w:eastAsia="Calibri" w:hAnsi="Calibri" w:cs="Arial"/>
                <w:sz w:val="15"/>
                <w:szCs w:val="15"/>
              </w:rPr>
              <w:t xml:space="preserve">Chronic Liver Disease with failure of 2 or more organ systems (ACLF Grades 2-3) </w:t>
            </w:r>
          </w:p>
          <w:p w14:paraId="764D9867" w14:textId="77777777" w:rsidR="00F927F8" w:rsidRPr="00676FE3" w:rsidRDefault="00F927F8" w:rsidP="00F927F8">
            <w:pPr>
              <w:numPr>
                <w:ilvl w:val="0"/>
                <w:numId w:val="17"/>
              </w:numPr>
              <w:ind w:left="313" w:hanging="171"/>
              <w:contextualSpacing/>
              <w:rPr>
                <w:rFonts w:ascii="Calibri" w:eastAsia="Calibri" w:hAnsi="Calibri" w:cs="Arial"/>
                <w:sz w:val="15"/>
                <w:szCs w:val="15"/>
              </w:rPr>
            </w:pPr>
            <w:r w:rsidRPr="00676FE3">
              <w:rPr>
                <w:rFonts w:ascii="Calibri" w:eastAsia="Calibri" w:hAnsi="Calibri" w:cs="Arial"/>
                <w:sz w:val="15"/>
                <w:szCs w:val="15"/>
              </w:rPr>
              <w:t>MELD score &gt;=25</w:t>
            </w:r>
          </w:p>
          <w:p w14:paraId="19DCAEBE" w14:textId="77777777" w:rsidR="00F927F8" w:rsidRPr="00676FE3" w:rsidRDefault="00F927F8" w:rsidP="00F927F8">
            <w:pPr>
              <w:rPr>
                <w:rFonts w:ascii="Calibri" w:eastAsia="Calibri" w:hAnsi="Calibri" w:cs="Arial"/>
                <w:sz w:val="15"/>
                <w:szCs w:val="15"/>
              </w:rPr>
            </w:pPr>
          </w:p>
          <w:p w14:paraId="4228644C"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Note that patients who meet these criteria may be eligible for ICU admission if they are currently on an organ donation waiting list and would be given highest priority if admitted to ICU (e.g., status 4/4F for liver transplantation). This does not include people who have been referred to a transplant service but have not yet been listed for a transplantation. This also would not apply if organ donation processes are halted due to triage conditions precluding organ procurement.</w:t>
            </w:r>
            <w:r w:rsidRPr="00676FE3">
              <w:rPr>
                <w:rFonts w:ascii="Calibri" w:eastAsia="Calibri" w:hAnsi="Calibri" w:cs="Arial"/>
                <w:sz w:val="15"/>
                <w:szCs w:val="15"/>
                <w:u w:val="single"/>
              </w:rPr>
              <w:t xml:space="preserve"> </w:t>
            </w:r>
          </w:p>
        </w:tc>
        <w:tc>
          <w:tcPr>
            <w:tcW w:w="3476" w:type="dxa"/>
          </w:tcPr>
          <w:p w14:paraId="229C9712"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End-stage organ failure meeting the following criteria:</w:t>
            </w:r>
          </w:p>
          <w:p w14:paraId="6C5C50BF" w14:textId="77777777" w:rsidR="00F927F8" w:rsidRPr="00676FE3" w:rsidRDefault="00F927F8" w:rsidP="00F927F8">
            <w:pPr>
              <w:ind w:left="313" w:hanging="142"/>
              <w:rPr>
                <w:rFonts w:ascii="Calibri" w:eastAsia="Calibri" w:hAnsi="Calibri" w:cs="Arial"/>
                <w:i/>
                <w:iCs/>
                <w:sz w:val="15"/>
                <w:szCs w:val="15"/>
              </w:rPr>
            </w:pPr>
            <w:r w:rsidRPr="00676FE3">
              <w:rPr>
                <w:rFonts w:ascii="Calibri" w:eastAsia="Calibri" w:hAnsi="Calibri" w:cs="Arial"/>
                <w:i/>
                <w:iCs/>
                <w:sz w:val="15"/>
                <w:szCs w:val="15"/>
              </w:rPr>
              <w:t>Heart</w:t>
            </w:r>
          </w:p>
          <w:p w14:paraId="2C92ACF8" w14:textId="77777777" w:rsidR="00F927F8" w:rsidRPr="00676FE3" w:rsidRDefault="00F927F8" w:rsidP="00F927F8">
            <w:pPr>
              <w:numPr>
                <w:ilvl w:val="0"/>
                <w:numId w:val="16"/>
              </w:numPr>
              <w:ind w:left="313" w:hanging="142"/>
              <w:contextualSpacing/>
              <w:rPr>
                <w:rFonts w:ascii="Calibri" w:eastAsia="Calibri" w:hAnsi="Calibri" w:cs="Arial"/>
                <w:i/>
                <w:iCs/>
                <w:sz w:val="15"/>
                <w:szCs w:val="15"/>
              </w:rPr>
            </w:pPr>
            <w:r w:rsidRPr="00676FE3">
              <w:rPr>
                <w:rFonts w:ascii="Calibri" w:eastAsia="Calibri" w:hAnsi="Calibri" w:cs="Arial"/>
                <w:sz w:val="15"/>
                <w:szCs w:val="15"/>
              </w:rPr>
              <w:t>Chronic End-stage Heart Failure with NYHA Class 3 or 4 symptoms, ineligible for advanced therapies (mechanical support, transplant) PLUS any of:</w:t>
            </w:r>
          </w:p>
          <w:p w14:paraId="12026A0F" w14:textId="77777777" w:rsidR="00F927F8" w:rsidRPr="00676FE3" w:rsidRDefault="00F927F8" w:rsidP="00F927F8">
            <w:pPr>
              <w:numPr>
                <w:ilvl w:val="1"/>
                <w:numId w:val="16"/>
              </w:numPr>
              <w:ind w:left="594" w:hanging="173"/>
              <w:contextualSpacing/>
              <w:rPr>
                <w:rFonts w:ascii="Calibri" w:eastAsia="Calibri" w:hAnsi="Calibri" w:cs="Arial"/>
                <w:i/>
                <w:iCs/>
                <w:sz w:val="15"/>
                <w:szCs w:val="15"/>
              </w:rPr>
            </w:pPr>
            <w:r w:rsidRPr="00676FE3">
              <w:rPr>
                <w:rFonts w:ascii="Calibri" w:eastAsia="Calibri" w:hAnsi="Calibri" w:cs="Arial"/>
                <w:sz w:val="15"/>
                <w:szCs w:val="15"/>
              </w:rPr>
              <w:t>High/increasing BNP</w:t>
            </w:r>
          </w:p>
          <w:p w14:paraId="01AB6B43" w14:textId="77777777" w:rsidR="00F927F8" w:rsidRPr="00676FE3" w:rsidRDefault="00F927F8" w:rsidP="00F927F8">
            <w:pPr>
              <w:numPr>
                <w:ilvl w:val="1"/>
                <w:numId w:val="16"/>
              </w:numPr>
              <w:ind w:left="594" w:hanging="173"/>
              <w:contextualSpacing/>
              <w:rPr>
                <w:rFonts w:ascii="Calibri" w:eastAsia="Calibri" w:hAnsi="Calibri" w:cs="Arial"/>
                <w:i/>
                <w:iCs/>
                <w:sz w:val="15"/>
                <w:szCs w:val="15"/>
              </w:rPr>
            </w:pPr>
            <w:proofErr w:type="spellStart"/>
            <w:r w:rsidRPr="00676FE3">
              <w:rPr>
                <w:rFonts w:ascii="Calibri" w:eastAsia="Calibri" w:hAnsi="Calibri" w:cs="Arial"/>
                <w:sz w:val="15"/>
                <w:szCs w:val="15"/>
              </w:rPr>
              <w:t>Cardiorenal</w:t>
            </w:r>
            <w:proofErr w:type="spellEnd"/>
            <w:r w:rsidRPr="00676FE3">
              <w:rPr>
                <w:rFonts w:ascii="Calibri" w:eastAsia="Calibri" w:hAnsi="Calibri" w:cs="Arial"/>
                <w:sz w:val="15"/>
                <w:szCs w:val="15"/>
              </w:rPr>
              <w:t xml:space="preserve"> syndrome</w:t>
            </w:r>
          </w:p>
          <w:p w14:paraId="283EAA74" w14:textId="77777777" w:rsidR="00F927F8" w:rsidRPr="00676FE3" w:rsidRDefault="00F927F8" w:rsidP="00F927F8">
            <w:pPr>
              <w:numPr>
                <w:ilvl w:val="1"/>
                <w:numId w:val="16"/>
              </w:numPr>
              <w:ind w:left="594" w:hanging="173"/>
              <w:contextualSpacing/>
              <w:rPr>
                <w:rFonts w:ascii="Calibri" w:eastAsia="Calibri" w:hAnsi="Calibri" w:cs="Arial"/>
                <w:i/>
                <w:iCs/>
                <w:sz w:val="15"/>
                <w:szCs w:val="15"/>
              </w:rPr>
            </w:pPr>
            <w:r w:rsidRPr="00676FE3">
              <w:rPr>
                <w:rFonts w:ascii="Calibri" w:eastAsia="Calibri" w:hAnsi="Calibri" w:cs="Arial"/>
                <w:sz w:val="15"/>
                <w:szCs w:val="15"/>
              </w:rPr>
              <w:t>Recent discharge (&lt;30d) or multiple admissions for CHF in past 6 months</w:t>
            </w:r>
          </w:p>
          <w:p w14:paraId="071DF811" w14:textId="77777777" w:rsidR="00F927F8" w:rsidRPr="00676FE3" w:rsidRDefault="00F927F8" w:rsidP="00F927F8">
            <w:pPr>
              <w:ind w:left="313" w:hanging="142"/>
              <w:rPr>
                <w:rFonts w:ascii="Calibri" w:eastAsia="Calibri" w:hAnsi="Calibri" w:cs="Arial"/>
                <w:i/>
                <w:iCs/>
                <w:sz w:val="15"/>
                <w:szCs w:val="15"/>
              </w:rPr>
            </w:pPr>
            <w:r w:rsidRPr="00676FE3">
              <w:rPr>
                <w:rFonts w:ascii="Calibri" w:eastAsia="Calibri" w:hAnsi="Calibri" w:cs="Arial"/>
                <w:i/>
                <w:iCs/>
                <w:sz w:val="15"/>
                <w:szCs w:val="15"/>
              </w:rPr>
              <w:t>Lung</w:t>
            </w:r>
          </w:p>
          <w:p w14:paraId="23C25914" w14:textId="77777777" w:rsidR="00F927F8" w:rsidRPr="00676FE3" w:rsidRDefault="00F927F8" w:rsidP="00F927F8">
            <w:pPr>
              <w:numPr>
                <w:ilvl w:val="0"/>
                <w:numId w:val="16"/>
              </w:numPr>
              <w:ind w:left="313" w:hanging="124"/>
              <w:contextualSpacing/>
              <w:rPr>
                <w:rFonts w:ascii="Calibri" w:eastAsia="Yu Mincho" w:hAnsi="Calibri" w:cs="Arial"/>
                <w:sz w:val="15"/>
                <w:szCs w:val="15"/>
              </w:rPr>
            </w:pPr>
            <w:r w:rsidRPr="00676FE3">
              <w:rPr>
                <w:rFonts w:ascii="Calibri" w:eastAsia="Calibri" w:hAnsi="Calibri" w:cs="Calibri"/>
                <w:sz w:val="15"/>
                <w:szCs w:val="15"/>
              </w:rPr>
              <w:t>COPD - Use Clinical Frailty Score criterion (G)</w:t>
            </w:r>
          </w:p>
          <w:p w14:paraId="71E010E1" w14:textId="77777777" w:rsidR="00F927F8" w:rsidRPr="00676FE3" w:rsidRDefault="00F927F8" w:rsidP="00F927F8">
            <w:pPr>
              <w:numPr>
                <w:ilvl w:val="0"/>
                <w:numId w:val="16"/>
              </w:numPr>
              <w:ind w:left="313" w:hanging="124"/>
              <w:contextualSpacing/>
              <w:rPr>
                <w:rFonts w:ascii="Calibri" w:eastAsia="Calibri" w:hAnsi="Calibri" w:cs="Arial"/>
                <w:sz w:val="15"/>
                <w:szCs w:val="15"/>
              </w:rPr>
            </w:pPr>
            <w:r w:rsidRPr="00676FE3">
              <w:rPr>
                <w:rFonts w:ascii="Calibri" w:eastAsia="Calibri" w:hAnsi="Calibri" w:cs="Calibri"/>
                <w:sz w:val="15"/>
                <w:szCs w:val="15"/>
              </w:rPr>
              <w:t>Cystic Fibrosis with FEV</w:t>
            </w:r>
            <w:r w:rsidRPr="00676FE3">
              <w:rPr>
                <w:rFonts w:ascii="Calibri" w:eastAsia="Calibri" w:hAnsi="Calibri" w:cs="Calibri"/>
                <w:sz w:val="15"/>
                <w:szCs w:val="15"/>
                <w:vertAlign w:val="subscript"/>
              </w:rPr>
              <w:t>1</w:t>
            </w:r>
            <w:r w:rsidRPr="00676FE3">
              <w:rPr>
                <w:rFonts w:ascii="Calibri" w:eastAsia="Calibri" w:hAnsi="Calibri" w:cs="Calibri"/>
                <w:sz w:val="15"/>
                <w:szCs w:val="15"/>
              </w:rPr>
              <w:t xml:space="preserve"> &lt;20% predicted when measured at time of clinical stability</w:t>
            </w:r>
          </w:p>
          <w:p w14:paraId="3BF485EB" w14:textId="77777777" w:rsidR="00F927F8" w:rsidRPr="00676FE3" w:rsidRDefault="00F927F8" w:rsidP="00F927F8">
            <w:pPr>
              <w:numPr>
                <w:ilvl w:val="0"/>
                <w:numId w:val="16"/>
              </w:numPr>
              <w:ind w:left="313" w:hanging="124"/>
              <w:contextualSpacing/>
              <w:rPr>
                <w:rFonts w:ascii="Calibri" w:eastAsia="Calibri" w:hAnsi="Calibri" w:cs="Arial"/>
                <w:sz w:val="15"/>
                <w:szCs w:val="15"/>
              </w:rPr>
            </w:pPr>
            <w:r w:rsidRPr="00676FE3">
              <w:rPr>
                <w:rFonts w:ascii="Calibri" w:eastAsia="Calibri" w:hAnsi="Calibri" w:cs="Calibri"/>
                <w:sz w:val="15"/>
                <w:szCs w:val="15"/>
              </w:rPr>
              <w:t>Pulmonary fibrosis with any of:</w:t>
            </w:r>
          </w:p>
          <w:p w14:paraId="2EC25DB7" w14:textId="77777777" w:rsidR="00F927F8" w:rsidRPr="00676FE3" w:rsidRDefault="00F927F8" w:rsidP="00F927F8">
            <w:pPr>
              <w:numPr>
                <w:ilvl w:val="1"/>
                <w:numId w:val="16"/>
              </w:numPr>
              <w:ind w:left="673" w:hanging="142"/>
              <w:contextualSpacing/>
              <w:rPr>
                <w:rFonts w:ascii="Calibri" w:eastAsia="Yu Mincho" w:hAnsi="Calibri" w:cs="Arial"/>
                <w:sz w:val="15"/>
                <w:szCs w:val="15"/>
              </w:rPr>
            </w:pPr>
            <w:r w:rsidRPr="00676FE3">
              <w:rPr>
                <w:rFonts w:ascii="Calibri" w:eastAsia="Calibri" w:hAnsi="Calibri" w:cs="Calibri"/>
                <w:sz w:val="15"/>
                <w:szCs w:val="15"/>
              </w:rPr>
              <w:t>VC &lt;60% or DLCO &lt;40% predicted</w:t>
            </w:r>
          </w:p>
          <w:p w14:paraId="71920B0C" w14:textId="77777777" w:rsidR="00F927F8" w:rsidRPr="00676FE3" w:rsidRDefault="00F927F8" w:rsidP="00F927F8">
            <w:pPr>
              <w:numPr>
                <w:ilvl w:val="1"/>
                <w:numId w:val="16"/>
              </w:numPr>
              <w:ind w:left="673" w:hanging="142"/>
              <w:contextualSpacing/>
              <w:rPr>
                <w:rFonts w:ascii="Calibri" w:eastAsia="Yu Mincho" w:hAnsi="Calibri" w:cs="Arial"/>
                <w:sz w:val="15"/>
                <w:szCs w:val="15"/>
              </w:rPr>
            </w:pPr>
            <w:r w:rsidRPr="00676FE3">
              <w:rPr>
                <w:rFonts w:ascii="Calibri" w:eastAsia="Calibri" w:hAnsi="Calibri" w:cs="Calibri"/>
                <w:sz w:val="15"/>
                <w:szCs w:val="15"/>
              </w:rPr>
              <w:t>Chronic supplemental O</w:t>
            </w:r>
            <w:r w:rsidRPr="00676FE3">
              <w:rPr>
                <w:rFonts w:ascii="Calibri" w:eastAsia="Calibri" w:hAnsi="Calibri" w:cs="Calibri"/>
                <w:sz w:val="15"/>
                <w:szCs w:val="15"/>
                <w:vertAlign w:val="subscript"/>
              </w:rPr>
              <w:t xml:space="preserve">2 </w:t>
            </w:r>
            <w:r w:rsidRPr="00676FE3">
              <w:rPr>
                <w:rFonts w:ascii="Calibri" w:eastAsia="Calibri" w:hAnsi="Calibri" w:cs="Calibri"/>
                <w:sz w:val="15"/>
                <w:szCs w:val="15"/>
              </w:rPr>
              <w:t>&gt;12h per day</w:t>
            </w:r>
          </w:p>
          <w:p w14:paraId="0ABEB5D6" w14:textId="77777777" w:rsidR="00F927F8" w:rsidRPr="00676FE3" w:rsidRDefault="00F927F8" w:rsidP="00F927F8">
            <w:pPr>
              <w:numPr>
                <w:ilvl w:val="0"/>
                <w:numId w:val="16"/>
              </w:numPr>
              <w:ind w:left="390" w:hanging="224"/>
              <w:contextualSpacing/>
              <w:rPr>
                <w:rFonts w:ascii="Calibri" w:eastAsia="Yu Mincho" w:hAnsi="Calibri" w:cs="Arial"/>
                <w:sz w:val="15"/>
                <w:szCs w:val="15"/>
              </w:rPr>
            </w:pPr>
            <w:r w:rsidRPr="00676FE3">
              <w:rPr>
                <w:rFonts w:ascii="Calibri" w:eastAsia="Calibri" w:hAnsi="Calibri" w:cs="Calibri"/>
                <w:sz w:val="15"/>
                <w:szCs w:val="15"/>
              </w:rPr>
              <w:t>Secondary pulmonary hypertension (RVSP &gt;50 mmHg)</w:t>
            </w:r>
          </w:p>
          <w:p w14:paraId="51528A90" w14:textId="77777777" w:rsidR="00F927F8" w:rsidRPr="00676FE3" w:rsidRDefault="00F927F8" w:rsidP="00F927F8">
            <w:pPr>
              <w:numPr>
                <w:ilvl w:val="0"/>
                <w:numId w:val="16"/>
              </w:numPr>
              <w:ind w:left="390" w:hanging="224"/>
              <w:contextualSpacing/>
              <w:rPr>
                <w:rFonts w:ascii="Calibri" w:eastAsia="Yu Mincho" w:hAnsi="Calibri" w:cs="Arial"/>
                <w:sz w:val="15"/>
                <w:szCs w:val="15"/>
              </w:rPr>
            </w:pPr>
            <w:r w:rsidRPr="00676FE3">
              <w:rPr>
                <w:rFonts w:ascii="Calibri" w:eastAsia="Calibri" w:hAnsi="Calibri" w:cs="Calibri"/>
                <w:sz w:val="15"/>
                <w:szCs w:val="15"/>
              </w:rPr>
              <w:t>Rapid progression (&gt;10% decline in FVC over 6m, or acute exacerbation in previous 12m)</w:t>
            </w:r>
          </w:p>
          <w:p w14:paraId="669A9C83" w14:textId="77777777" w:rsidR="00F927F8" w:rsidRPr="00676FE3" w:rsidRDefault="00F927F8" w:rsidP="00F927F8">
            <w:pPr>
              <w:numPr>
                <w:ilvl w:val="0"/>
                <w:numId w:val="16"/>
              </w:numPr>
              <w:ind w:left="390" w:hanging="224"/>
              <w:contextualSpacing/>
              <w:rPr>
                <w:rFonts w:ascii="Calibri" w:eastAsia="Yu Mincho" w:hAnsi="Calibri" w:cs="Arial"/>
                <w:sz w:val="15"/>
                <w:szCs w:val="15"/>
              </w:rPr>
            </w:pPr>
            <w:r w:rsidRPr="00676FE3">
              <w:rPr>
                <w:rFonts w:ascii="Calibri" w:eastAsia="Calibri" w:hAnsi="Calibri" w:cs="Calibri"/>
                <w:sz w:val="15"/>
                <w:szCs w:val="15"/>
              </w:rPr>
              <w:t>For pulmonary hypertension, all of:</w:t>
            </w:r>
          </w:p>
          <w:p w14:paraId="54734480" w14:textId="77777777" w:rsidR="00F927F8" w:rsidRPr="00676FE3" w:rsidRDefault="00F927F8" w:rsidP="00F927F8">
            <w:pPr>
              <w:numPr>
                <w:ilvl w:val="1"/>
                <w:numId w:val="16"/>
              </w:numPr>
              <w:ind w:left="673" w:hanging="141"/>
              <w:contextualSpacing/>
              <w:rPr>
                <w:rFonts w:ascii="Calibri" w:eastAsia="Yu Mincho" w:hAnsi="Calibri" w:cs="Arial"/>
                <w:sz w:val="15"/>
                <w:szCs w:val="15"/>
              </w:rPr>
            </w:pPr>
            <w:r w:rsidRPr="00676FE3">
              <w:rPr>
                <w:rFonts w:ascii="Calibri" w:eastAsia="Calibri" w:hAnsi="Calibri" w:cs="Calibri"/>
                <w:sz w:val="15"/>
                <w:szCs w:val="15"/>
              </w:rPr>
              <w:t>ESC/ERS intermediate risk criteria or a REVEAL 2.0 score &gt;=7 while on optimal therapy (see below)</w:t>
            </w:r>
          </w:p>
          <w:p w14:paraId="6517C674" w14:textId="77777777" w:rsidR="00F927F8" w:rsidRPr="00676FE3" w:rsidRDefault="00F927F8" w:rsidP="00F927F8">
            <w:pPr>
              <w:numPr>
                <w:ilvl w:val="1"/>
                <w:numId w:val="16"/>
              </w:numPr>
              <w:ind w:left="673" w:hanging="141"/>
              <w:contextualSpacing/>
              <w:rPr>
                <w:rFonts w:ascii="Calibri" w:eastAsia="Yu Mincho" w:hAnsi="Calibri" w:cs="Arial"/>
                <w:sz w:val="15"/>
                <w:szCs w:val="15"/>
              </w:rPr>
            </w:pPr>
            <w:r w:rsidRPr="00676FE3">
              <w:rPr>
                <w:rFonts w:ascii="Calibri" w:eastAsia="Calibri" w:hAnsi="Calibri" w:cs="Calibri"/>
                <w:sz w:val="15"/>
                <w:szCs w:val="15"/>
              </w:rPr>
              <w:t>Age &gt;=75</w:t>
            </w:r>
          </w:p>
          <w:p w14:paraId="5C2535D1" w14:textId="77777777" w:rsidR="00F927F8" w:rsidRPr="00676FE3" w:rsidRDefault="00F927F8" w:rsidP="00F927F8">
            <w:pPr>
              <w:numPr>
                <w:ilvl w:val="1"/>
                <w:numId w:val="16"/>
              </w:numPr>
              <w:ind w:left="673" w:hanging="141"/>
              <w:contextualSpacing/>
              <w:rPr>
                <w:rFonts w:ascii="Calibri" w:eastAsia="Yu Mincho" w:hAnsi="Calibri" w:cs="Arial"/>
                <w:sz w:val="15"/>
                <w:szCs w:val="15"/>
              </w:rPr>
            </w:pPr>
            <w:r w:rsidRPr="00676FE3">
              <w:rPr>
                <w:rFonts w:ascii="Calibri" w:eastAsia="Calibri" w:hAnsi="Calibri" w:cs="Calibri"/>
                <w:sz w:val="15"/>
                <w:szCs w:val="15"/>
              </w:rPr>
              <w:t>Hospitalization for pulmonary hypertension in past 3 months OR a significant comorbidity (e.g. renal failure</w:t>
            </w:r>
          </w:p>
          <w:p w14:paraId="1A8E7F6D" w14:textId="77777777" w:rsidR="00F927F8" w:rsidRPr="00676FE3" w:rsidRDefault="00F927F8" w:rsidP="00F927F8">
            <w:pPr>
              <w:ind w:left="313" w:hanging="142"/>
              <w:rPr>
                <w:rFonts w:ascii="Calibri" w:eastAsia="Calibri" w:hAnsi="Calibri" w:cs="Arial"/>
                <w:i/>
                <w:iCs/>
                <w:sz w:val="15"/>
                <w:szCs w:val="15"/>
              </w:rPr>
            </w:pPr>
            <w:r w:rsidRPr="00676FE3">
              <w:rPr>
                <w:rFonts w:ascii="Calibri" w:eastAsia="Calibri" w:hAnsi="Calibri" w:cs="Arial"/>
                <w:i/>
                <w:iCs/>
                <w:sz w:val="15"/>
                <w:szCs w:val="15"/>
              </w:rPr>
              <w:t>Liver</w:t>
            </w:r>
          </w:p>
          <w:p w14:paraId="67BB2CAC" w14:textId="77777777" w:rsidR="00F927F8" w:rsidRPr="00676FE3" w:rsidRDefault="00F927F8" w:rsidP="00F927F8">
            <w:pPr>
              <w:numPr>
                <w:ilvl w:val="0"/>
                <w:numId w:val="17"/>
              </w:numPr>
              <w:ind w:left="313" w:hanging="171"/>
              <w:contextualSpacing/>
              <w:rPr>
                <w:rFonts w:ascii="Calibri" w:eastAsia="Calibri" w:hAnsi="Calibri" w:cs="Arial"/>
                <w:sz w:val="15"/>
                <w:szCs w:val="15"/>
              </w:rPr>
            </w:pPr>
            <w:r w:rsidRPr="00676FE3">
              <w:rPr>
                <w:rFonts w:ascii="Calibri" w:eastAsia="Calibri" w:hAnsi="Calibri" w:cs="Arial"/>
                <w:sz w:val="15"/>
                <w:szCs w:val="15"/>
              </w:rPr>
              <w:t>Chronic Liver Disease with failure of 1 or more organ systems (ACLF Grades 1-3)</w:t>
            </w:r>
          </w:p>
          <w:p w14:paraId="12ADA58B" w14:textId="77777777" w:rsidR="00F927F8" w:rsidRPr="00676FE3" w:rsidRDefault="00F927F8" w:rsidP="00F927F8">
            <w:pPr>
              <w:numPr>
                <w:ilvl w:val="0"/>
                <w:numId w:val="17"/>
              </w:numPr>
              <w:ind w:left="313" w:hanging="171"/>
              <w:contextualSpacing/>
              <w:rPr>
                <w:rFonts w:ascii="Calibri" w:eastAsia="Calibri" w:hAnsi="Calibri" w:cs="Arial"/>
                <w:sz w:val="15"/>
                <w:szCs w:val="15"/>
              </w:rPr>
            </w:pPr>
            <w:r w:rsidRPr="00676FE3">
              <w:rPr>
                <w:rFonts w:ascii="Calibri" w:eastAsia="Calibri" w:hAnsi="Calibri" w:cs="Arial"/>
                <w:sz w:val="15"/>
                <w:szCs w:val="15"/>
              </w:rPr>
              <w:t>MELD score &gt;=15</w:t>
            </w:r>
          </w:p>
          <w:p w14:paraId="2AB47DEB" w14:textId="77777777" w:rsidR="00F927F8" w:rsidRPr="00676FE3" w:rsidRDefault="00F927F8" w:rsidP="00F927F8">
            <w:pPr>
              <w:rPr>
                <w:rFonts w:ascii="Calibri" w:eastAsia="Calibri" w:hAnsi="Calibri" w:cs="Arial"/>
                <w:sz w:val="15"/>
                <w:szCs w:val="15"/>
              </w:rPr>
            </w:pPr>
          </w:p>
          <w:p w14:paraId="694F7197"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Note that patients who meet these criteria may be eligible for ICU admission if they are currently on an organ donation waiting list and would be given highest priority if admitted to ICU (e.g., status 4/4F for liver transplantation). This does not include people who have been referred to a transplant service but have not yet been listed for a transplantation. This also would not apply if organ donation processes are halted due to triage conditions precluding organ procurement.</w:t>
            </w:r>
          </w:p>
        </w:tc>
        <w:tc>
          <w:tcPr>
            <w:tcW w:w="1649" w:type="dxa"/>
          </w:tcPr>
          <w:p w14:paraId="27C5AA2A"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End-stage organ failure as suggested by an unscheduled admission for an exacerbation or complication of their chronic illness in the past 12 months or previous organ transplant with evidence of chronic rejection or chronic organ dysfunction in the transplanted organ. Note that some admissions (e.g., catheter or access infections) may not suggest an elevated risk of mortality, and for some less common conditions unscheduled admissions may not suggest an elevated risk of mortality and specialist input should be sought.</w:t>
            </w:r>
          </w:p>
          <w:p w14:paraId="651DCDD8" w14:textId="77777777" w:rsidR="00F927F8" w:rsidRPr="00676FE3" w:rsidRDefault="00F927F8" w:rsidP="00F927F8">
            <w:pPr>
              <w:rPr>
                <w:rFonts w:ascii="Calibri" w:eastAsia="Calibri" w:hAnsi="Calibri" w:cs="Arial"/>
              </w:rPr>
            </w:pPr>
          </w:p>
        </w:tc>
      </w:tr>
    </w:tbl>
    <w:p w14:paraId="048EA0EA" w14:textId="77777777" w:rsidR="00F927F8" w:rsidRDefault="00F927F8" w:rsidP="44D22B2E"/>
    <w:tbl>
      <w:tblPr>
        <w:tblStyle w:val="TableGrid1"/>
        <w:tblW w:w="0" w:type="auto"/>
        <w:tblLook w:val="04A0" w:firstRow="1" w:lastRow="0" w:firstColumn="1" w:lastColumn="0" w:noHBand="0" w:noVBand="1"/>
      </w:tblPr>
      <w:tblGrid>
        <w:gridCol w:w="840"/>
        <w:gridCol w:w="3385"/>
        <w:gridCol w:w="3476"/>
        <w:gridCol w:w="1649"/>
      </w:tblGrid>
      <w:tr w:rsidR="00F927F8" w:rsidRPr="00676FE3" w14:paraId="59694937" w14:textId="77777777" w:rsidTr="00172F1F">
        <w:tc>
          <w:tcPr>
            <w:tcW w:w="840" w:type="dxa"/>
            <w:shd w:val="clear" w:color="auto" w:fill="BFBFBF"/>
          </w:tcPr>
          <w:p w14:paraId="7763BFC1" w14:textId="77777777" w:rsidR="00F927F8" w:rsidRPr="00676FE3" w:rsidRDefault="00F927F8" w:rsidP="00F927F8">
            <w:pPr>
              <w:rPr>
                <w:rFonts w:ascii="Calibri" w:eastAsia="Calibri" w:hAnsi="Calibri" w:cs="Arial"/>
              </w:rPr>
            </w:pPr>
            <w:r w:rsidRPr="00676FE3">
              <w:rPr>
                <w:rFonts w:ascii="Calibri" w:eastAsia="Calibri" w:hAnsi="Calibri" w:cs="Arial"/>
                <w:b/>
                <w:bCs/>
                <w:sz w:val="15"/>
                <w:szCs w:val="15"/>
                <w:u w:val="single"/>
              </w:rPr>
              <w:lastRenderedPageBreak/>
              <w:t>Clinical Factor</w:t>
            </w:r>
          </w:p>
        </w:tc>
        <w:tc>
          <w:tcPr>
            <w:tcW w:w="3385" w:type="dxa"/>
            <w:shd w:val="clear" w:color="auto" w:fill="BFBFBF"/>
          </w:tcPr>
          <w:p w14:paraId="48C04B58" w14:textId="77777777" w:rsidR="00F927F8" w:rsidRPr="00676FE3" w:rsidRDefault="00F927F8" w:rsidP="00F927F8">
            <w:pPr>
              <w:rPr>
                <w:rFonts w:ascii="Calibri" w:eastAsia="Calibri" w:hAnsi="Calibri" w:cs="Arial"/>
                <w:b/>
                <w:bCs/>
                <w:sz w:val="15"/>
                <w:szCs w:val="15"/>
                <w:u w:val="single"/>
              </w:rPr>
            </w:pPr>
            <w:r w:rsidRPr="00676FE3">
              <w:rPr>
                <w:rFonts w:ascii="Calibri" w:eastAsia="Calibri" w:hAnsi="Calibri" w:cs="Arial"/>
                <w:b/>
                <w:bCs/>
                <w:sz w:val="15"/>
                <w:szCs w:val="15"/>
                <w:u w:val="single"/>
              </w:rPr>
              <w:t>Level 1 Triage Scenario (Aiming to identify patients with &gt;80% short-term mortality risk)</w:t>
            </w:r>
          </w:p>
        </w:tc>
        <w:tc>
          <w:tcPr>
            <w:tcW w:w="3476" w:type="dxa"/>
            <w:shd w:val="clear" w:color="auto" w:fill="BFBFBF"/>
          </w:tcPr>
          <w:p w14:paraId="14174F1B" w14:textId="77777777" w:rsidR="00F927F8" w:rsidRPr="00676FE3" w:rsidRDefault="00F927F8" w:rsidP="00F927F8">
            <w:pPr>
              <w:rPr>
                <w:rFonts w:ascii="Calibri" w:eastAsia="Calibri" w:hAnsi="Calibri" w:cs="Arial"/>
                <w:b/>
                <w:bCs/>
                <w:sz w:val="15"/>
                <w:szCs w:val="15"/>
                <w:u w:val="single"/>
              </w:rPr>
            </w:pPr>
            <w:r w:rsidRPr="00676FE3">
              <w:rPr>
                <w:rFonts w:ascii="Calibri" w:eastAsia="Calibri" w:hAnsi="Calibri" w:cs="Arial"/>
                <w:b/>
                <w:bCs/>
                <w:sz w:val="15"/>
                <w:szCs w:val="15"/>
                <w:u w:val="single"/>
              </w:rPr>
              <w:t>Level 2 Triage Scenario (Aiming to identify patients with &gt;50% short-term mortality risk)</w:t>
            </w:r>
          </w:p>
        </w:tc>
        <w:tc>
          <w:tcPr>
            <w:tcW w:w="1649" w:type="dxa"/>
            <w:shd w:val="clear" w:color="auto" w:fill="BFBFBF"/>
          </w:tcPr>
          <w:p w14:paraId="5D427402" w14:textId="77777777" w:rsidR="00F927F8" w:rsidRPr="00676FE3" w:rsidRDefault="00F927F8" w:rsidP="00F927F8">
            <w:pPr>
              <w:rPr>
                <w:rFonts w:ascii="Calibri" w:eastAsia="Calibri" w:hAnsi="Calibri" w:cs="Arial"/>
              </w:rPr>
            </w:pPr>
            <w:r w:rsidRPr="00676FE3">
              <w:rPr>
                <w:rFonts w:ascii="Calibri" w:eastAsia="Calibri" w:hAnsi="Calibri" w:cs="Arial"/>
                <w:b/>
                <w:bCs/>
                <w:sz w:val="15"/>
                <w:szCs w:val="15"/>
                <w:u w:val="single"/>
              </w:rPr>
              <w:t>Level 3 Triage Scenario (Aiming to identify people with &gt;30% short-term mortality risk)</w:t>
            </w:r>
          </w:p>
        </w:tc>
      </w:tr>
      <w:tr w:rsidR="00F927F8" w:rsidRPr="00676FE3" w14:paraId="4335D955" w14:textId="77777777" w:rsidTr="00172F1F">
        <w:tc>
          <w:tcPr>
            <w:tcW w:w="840" w:type="dxa"/>
          </w:tcPr>
          <w:p w14:paraId="372AB0AD"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G</w:t>
            </w:r>
          </w:p>
          <w:p w14:paraId="7BC8B3B0"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*See discussion preceding table.</w:t>
            </w:r>
          </w:p>
        </w:tc>
        <w:tc>
          <w:tcPr>
            <w:tcW w:w="3385" w:type="dxa"/>
          </w:tcPr>
          <w:p w14:paraId="5DA254C8"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 xml:space="preserve">Clinical Frailty Score of &gt;=7 (on the 9-point tool) at baseline (2-4 weeks before admission) due to a </w:t>
            </w:r>
            <w:r w:rsidRPr="00676FE3">
              <w:rPr>
                <w:rFonts w:ascii="Calibri" w:eastAsia="Calibri" w:hAnsi="Calibri" w:cs="Arial"/>
                <w:b/>
                <w:bCs/>
                <w:sz w:val="15"/>
                <w:szCs w:val="15"/>
                <w:u w:val="single"/>
              </w:rPr>
              <w:t>progressive</w:t>
            </w:r>
            <w:r w:rsidRPr="00676FE3">
              <w:rPr>
                <w:rFonts w:ascii="Calibri" w:eastAsia="Calibri" w:hAnsi="Calibri" w:cs="Arial"/>
                <w:sz w:val="15"/>
                <w:szCs w:val="15"/>
              </w:rPr>
              <w:t xml:space="preserve"> illness or generalized deterioration of health status.</w:t>
            </w:r>
          </w:p>
          <w:p w14:paraId="379B6196" w14:textId="77777777" w:rsidR="00F927F8" w:rsidRPr="00676FE3" w:rsidRDefault="00F927F8" w:rsidP="00F927F8">
            <w:pPr>
              <w:rPr>
                <w:rFonts w:ascii="Calibri" w:eastAsia="Calibri" w:hAnsi="Calibri" w:cs="Arial"/>
                <w:sz w:val="15"/>
                <w:szCs w:val="15"/>
              </w:rPr>
            </w:pPr>
          </w:p>
          <w:p w14:paraId="5EFB84AB" w14:textId="77777777" w:rsidR="00F927F8" w:rsidRPr="00676FE3" w:rsidRDefault="00F927F8" w:rsidP="00F927F8">
            <w:pPr>
              <w:rPr>
                <w:rFonts w:ascii="Calibri" w:eastAsia="Calibri" w:hAnsi="Calibri" w:cs="Arial"/>
                <w:sz w:val="16"/>
                <w:szCs w:val="16"/>
              </w:rPr>
            </w:pPr>
            <w:r w:rsidRPr="00676FE3">
              <w:rPr>
                <w:rFonts w:ascii="Calibri" w:eastAsia="Calibri" w:hAnsi="Calibri" w:cs="Arial"/>
                <w:sz w:val="16"/>
                <w:szCs w:val="16"/>
              </w:rPr>
              <w:t xml:space="preserve">This factor does not include all people with clinical frailty. This factor is </w:t>
            </w:r>
            <w:r w:rsidRPr="00676FE3">
              <w:rPr>
                <w:rFonts w:ascii="Calibri" w:eastAsia="Calibri" w:hAnsi="Calibri" w:cs="Arial"/>
                <w:b/>
                <w:bCs/>
                <w:sz w:val="16"/>
                <w:szCs w:val="16"/>
              </w:rPr>
              <w:t>not</w:t>
            </w:r>
            <w:r w:rsidRPr="00676FE3">
              <w:rPr>
                <w:rFonts w:ascii="Calibri" w:eastAsia="Calibri" w:hAnsi="Calibri" w:cs="Arial"/>
                <w:sz w:val="16"/>
                <w:szCs w:val="16"/>
              </w:rPr>
              <w:t xml:space="preserve"> relevant for non-progressive conditions, such as developmental disability, spinal cord injury, or traumatic brain injury, because these are not necessarily associated with a higher risk of death during or soon after an episode of critical illness. </w:t>
            </w:r>
          </w:p>
        </w:tc>
        <w:tc>
          <w:tcPr>
            <w:tcW w:w="3476" w:type="dxa"/>
          </w:tcPr>
          <w:p w14:paraId="721D7167"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 xml:space="preserve">Clinical Frailty Score of &gt;=5 (on the 9-point tool) at baseline (2-4 weeks before admission) due to a </w:t>
            </w:r>
            <w:r w:rsidRPr="00676FE3">
              <w:rPr>
                <w:rFonts w:ascii="Calibri" w:eastAsia="Calibri" w:hAnsi="Calibri" w:cs="Arial"/>
                <w:b/>
                <w:bCs/>
                <w:sz w:val="15"/>
                <w:szCs w:val="15"/>
                <w:u w:val="single"/>
              </w:rPr>
              <w:t>progressive</w:t>
            </w:r>
            <w:r w:rsidRPr="00676FE3">
              <w:rPr>
                <w:rFonts w:ascii="Calibri" w:eastAsia="Calibri" w:hAnsi="Calibri" w:cs="Arial"/>
                <w:sz w:val="15"/>
                <w:szCs w:val="15"/>
              </w:rPr>
              <w:t xml:space="preserve"> illness or generalized deterioration of health status.</w:t>
            </w:r>
          </w:p>
          <w:p w14:paraId="6E948216" w14:textId="77777777" w:rsidR="00F927F8" w:rsidRPr="00676FE3" w:rsidRDefault="00F927F8" w:rsidP="00F927F8">
            <w:pPr>
              <w:rPr>
                <w:rFonts w:ascii="Calibri" w:eastAsia="Calibri" w:hAnsi="Calibri" w:cs="Arial"/>
                <w:sz w:val="15"/>
                <w:szCs w:val="15"/>
              </w:rPr>
            </w:pPr>
          </w:p>
          <w:p w14:paraId="524F87FE" w14:textId="77777777" w:rsidR="00F927F8" w:rsidRPr="00676FE3" w:rsidRDefault="00F927F8" w:rsidP="00F927F8">
            <w:pPr>
              <w:rPr>
                <w:rFonts w:ascii="Calibri" w:eastAsia="Calibri" w:hAnsi="Calibri" w:cs="Arial"/>
                <w:sz w:val="16"/>
                <w:szCs w:val="16"/>
              </w:rPr>
            </w:pPr>
            <w:r w:rsidRPr="00676FE3">
              <w:rPr>
                <w:rFonts w:ascii="Calibri" w:eastAsia="Calibri" w:hAnsi="Calibri" w:cs="Arial"/>
                <w:sz w:val="16"/>
                <w:szCs w:val="16"/>
              </w:rPr>
              <w:t xml:space="preserve">This factor does not include all people with clinical frailty. This factor is </w:t>
            </w:r>
            <w:r w:rsidRPr="00676FE3">
              <w:rPr>
                <w:rFonts w:ascii="Calibri" w:eastAsia="Calibri" w:hAnsi="Calibri" w:cs="Arial"/>
                <w:b/>
                <w:bCs/>
                <w:sz w:val="16"/>
                <w:szCs w:val="16"/>
              </w:rPr>
              <w:t>not</w:t>
            </w:r>
            <w:r w:rsidRPr="00676FE3">
              <w:rPr>
                <w:rFonts w:ascii="Calibri" w:eastAsia="Calibri" w:hAnsi="Calibri" w:cs="Arial"/>
                <w:sz w:val="16"/>
                <w:szCs w:val="16"/>
              </w:rPr>
              <w:t xml:space="preserve"> relevant for non-progressive conditions, such as developmental disability, spinal cord injury, or traumatic brain injury, because these are not necessarily associated with a higher risk of death during or soon after an episode of critical illness. </w:t>
            </w:r>
          </w:p>
          <w:p w14:paraId="5020FACE" w14:textId="77777777" w:rsidR="00F927F8" w:rsidRPr="00676FE3" w:rsidRDefault="00F927F8" w:rsidP="00F927F8">
            <w:pPr>
              <w:rPr>
                <w:rFonts w:ascii="Calibri" w:eastAsia="Calibri" w:hAnsi="Calibri" w:cs="Arial"/>
                <w:sz w:val="15"/>
                <w:szCs w:val="15"/>
              </w:rPr>
            </w:pPr>
          </w:p>
        </w:tc>
        <w:tc>
          <w:tcPr>
            <w:tcW w:w="1649" w:type="dxa"/>
          </w:tcPr>
          <w:p w14:paraId="1C42A161"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Same as level 2.</w:t>
            </w:r>
          </w:p>
        </w:tc>
      </w:tr>
      <w:tr w:rsidR="00F927F8" w:rsidRPr="00676FE3" w14:paraId="146F91F2" w14:textId="77777777" w:rsidTr="00172F1F">
        <w:tc>
          <w:tcPr>
            <w:tcW w:w="840" w:type="dxa"/>
          </w:tcPr>
          <w:p w14:paraId="03DF7C95"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H</w:t>
            </w:r>
          </w:p>
        </w:tc>
        <w:tc>
          <w:tcPr>
            <w:tcW w:w="3385" w:type="dxa"/>
          </w:tcPr>
          <w:p w14:paraId="2FBB066B"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Elective palliative surgery</w:t>
            </w:r>
          </w:p>
        </w:tc>
        <w:tc>
          <w:tcPr>
            <w:tcW w:w="3476" w:type="dxa"/>
          </w:tcPr>
          <w:p w14:paraId="34F209BE"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Same as Level 1</w:t>
            </w:r>
          </w:p>
        </w:tc>
        <w:tc>
          <w:tcPr>
            <w:tcW w:w="1649" w:type="dxa"/>
          </w:tcPr>
          <w:p w14:paraId="446C93D1"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Elective or emergency palliative surgery</w:t>
            </w:r>
          </w:p>
        </w:tc>
      </w:tr>
      <w:tr w:rsidR="00F927F8" w:rsidRPr="00676FE3" w14:paraId="2141E47D" w14:textId="77777777" w:rsidTr="00172F1F">
        <w:tc>
          <w:tcPr>
            <w:tcW w:w="840" w:type="dxa"/>
          </w:tcPr>
          <w:p w14:paraId="173E9C4D"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I</w:t>
            </w:r>
          </w:p>
        </w:tc>
        <w:tc>
          <w:tcPr>
            <w:tcW w:w="3385" w:type="dxa"/>
          </w:tcPr>
          <w:p w14:paraId="57FEEFF7"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Mechanical ventilation for &gt;=14 days with a ProVent-14 score of 3-6.</w:t>
            </w:r>
          </w:p>
        </w:tc>
        <w:tc>
          <w:tcPr>
            <w:tcW w:w="3476" w:type="dxa"/>
          </w:tcPr>
          <w:p w14:paraId="6A48C732"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Mechanical ventilation for &gt;=14 days with a ProVent-14 score of 2-6.</w:t>
            </w:r>
          </w:p>
        </w:tc>
        <w:tc>
          <w:tcPr>
            <w:tcW w:w="1649" w:type="dxa"/>
          </w:tcPr>
          <w:p w14:paraId="050EBBA9" w14:textId="77777777" w:rsidR="00F927F8" w:rsidRPr="00676FE3" w:rsidRDefault="00F927F8" w:rsidP="00F927F8">
            <w:pPr>
              <w:rPr>
                <w:rFonts w:ascii="Calibri" w:eastAsia="Calibri" w:hAnsi="Calibri" w:cs="Arial"/>
                <w:sz w:val="15"/>
                <w:szCs w:val="15"/>
              </w:rPr>
            </w:pPr>
            <w:r w:rsidRPr="00676FE3">
              <w:rPr>
                <w:rFonts w:ascii="Calibri" w:eastAsia="Calibri" w:hAnsi="Calibri" w:cs="Arial"/>
                <w:sz w:val="15"/>
                <w:szCs w:val="15"/>
              </w:rPr>
              <w:t>Mechanical ventilation for &gt;=14 days with a ProVent-14 score of 1-6.</w:t>
            </w:r>
          </w:p>
        </w:tc>
      </w:tr>
    </w:tbl>
    <w:p w14:paraId="6A44E49D" w14:textId="77777777" w:rsidR="002F1432" w:rsidRDefault="002F1432" w:rsidP="44D22B2E">
      <w:pPr>
        <w:rPr>
          <w:i/>
          <w:iCs/>
          <w:sz w:val="22"/>
          <w:szCs w:val="22"/>
        </w:rPr>
      </w:pPr>
    </w:p>
    <w:p w14:paraId="7A15AF7B" w14:textId="6149E0E0" w:rsidR="00720862" w:rsidRPr="00D07AA7" w:rsidRDefault="00720862" w:rsidP="44D22B2E">
      <w:pPr>
        <w:rPr>
          <w:i/>
          <w:iCs/>
          <w:sz w:val="22"/>
          <w:szCs w:val="22"/>
        </w:rPr>
      </w:pPr>
      <w:r w:rsidRPr="00D07AA7">
        <w:rPr>
          <w:i/>
          <w:iCs/>
          <w:sz w:val="22"/>
          <w:szCs w:val="22"/>
        </w:rPr>
        <w:t>The following</w:t>
      </w:r>
      <w:r w:rsidR="007259FF" w:rsidRPr="00D07AA7">
        <w:rPr>
          <w:i/>
          <w:iCs/>
          <w:sz w:val="22"/>
          <w:szCs w:val="22"/>
        </w:rPr>
        <w:t xml:space="preserve"> provides further information on the tools described in the above table:</w:t>
      </w:r>
    </w:p>
    <w:p w14:paraId="3F7D37A6" w14:textId="77777777" w:rsidR="007259FF" w:rsidRDefault="007259FF" w:rsidP="44D22B2E"/>
    <w:p w14:paraId="421A5BD2" w14:textId="77777777" w:rsidR="00E507C6" w:rsidRPr="0064741F" w:rsidRDefault="212DD2AD" w:rsidP="15F09DB1">
      <w:pPr>
        <w:rPr>
          <w:b/>
          <w:bCs/>
          <w:sz w:val="22"/>
          <w:szCs w:val="22"/>
          <w:u w:val="single"/>
        </w:rPr>
      </w:pPr>
      <w:r w:rsidRPr="109A04B4">
        <w:rPr>
          <w:b/>
          <w:bCs/>
          <w:sz w:val="22"/>
          <w:szCs w:val="22"/>
          <w:u w:val="single"/>
        </w:rPr>
        <w:t>TRISS Score Calculator</w:t>
      </w:r>
    </w:p>
    <w:p w14:paraId="32F5DB25" w14:textId="386B35BD" w:rsidR="00E507C6" w:rsidRPr="0064741F" w:rsidRDefault="002A650F" w:rsidP="4769E595">
      <w:pPr>
        <w:rPr>
          <w:sz w:val="22"/>
          <w:szCs w:val="22"/>
        </w:rPr>
      </w:pPr>
      <w:r>
        <w:t xml:space="preserve">Access the tool on </w:t>
      </w:r>
      <w:hyperlink r:id="rId22" w:history="1">
        <w:proofErr w:type="spellStart"/>
        <w:r w:rsidRPr="002A650F">
          <w:rPr>
            <w:rStyle w:val="Hyperlink"/>
          </w:rPr>
          <w:t>MDApp</w:t>
        </w:r>
        <w:proofErr w:type="spellEnd"/>
      </w:hyperlink>
      <w:r>
        <w:t>.</w:t>
      </w:r>
    </w:p>
    <w:p w14:paraId="458BB1C4" w14:textId="64E05B3D" w:rsidR="00E507C6" w:rsidRPr="0064741F" w:rsidRDefault="00E507C6" w:rsidP="4769E595">
      <w:pPr>
        <w:rPr>
          <w:sz w:val="22"/>
          <w:szCs w:val="22"/>
        </w:rPr>
      </w:pPr>
    </w:p>
    <w:p w14:paraId="41FD233C" w14:textId="45964EC3" w:rsidR="00E507C6" w:rsidRPr="0064741F" w:rsidRDefault="3466B2B9" w:rsidP="4769E595">
      <w:pPr>
        <w:rPr>
          <w:b/>
          <w:bCs/>
          <w:sz w:val="22"/>
          <w:szCs w:val="22"/>
          <w:u w:val="single"/>
        </w:rPr>
      </w:pPr>
      <w:r w:rsidRPr="4769E595">
        <w:rPr>
          <w:b/>
          <w:bCs/>
          <w:sz w:val="22"/>
          <w:szCs w:val="22"/>
          <w:u w:val="single"/>
        </w:rPr>
        <w:t>ECOG</w:t>
      </w:r>
    </w:p>
    <w:p w14:paraId="74BEECEA" w14:textId="40757A9F" w:rsidR="00E507C6" w:rsidRPr="00205590" w:rsidRDefault="00872016" w:rsidP="00205590">
      <w:pPr>
        <w:spacing w:line="259" w:lineRule="auto"/>
        <w:rPr>
          <w:sz w:val="22"/>
          <w:szCs w:val="22"/>
          <w:u w:val="single"/>
        </w:rPr>
      </w:pPr>
      <w:hyperlink r:id="rId23" w:history="1">
        <w:r w:rsidR="57B6C625" w:rsidRPr="002A650F">
          <w:rPr>
            <w:rStyle w:val="Hyperlink"/>
            <w:sz w:val="22"/>
            <w:szCs w:val="22"/>
          </w:rPr>
          <w:t xml:space="preserve">Eastern Cooperative Oncology Group </w:t>
        </w:r>
        <w:r w:rsidR="4A4E9292" w:rsidRPr="002A650F">
          <w:rPr>
            <w:rStyle w:val="Hyperlink"/>
            <w:sz w:val="22"/>
            <w:szCs w:val="22"/>
          </w:rPr>
          <w:t>Performance Status</w:t>
        </w:r>
      </w:hyperlink>
    </w:p>
    <w:tbl>
      <w:tblPr>
        <w:tblStyle w:val="TableGrid"/>
        <w:tblW w:w="0" w:type="auto"/>
        <w:tblLayout w:type="fixed"/>
        <w:tblLook w:val="06A0" w:firstRow="1" w:lastRow="0" w:firstColumn="1" w:lastColumn="0" w:noHBand="1" w:noVBand="1"/>
        <w:tblCaption w:val="Eastern Cooperative Oncology Group Performance Status "/>
      </w:tblPr>
      <w:tblGrid>
        <w:gridCol w:w="1080"/>
        <w:gridCol w:w="8378"/>
      </w:tblGrid>
      <w:tr w:rsidR="4769E595" w:rsidRPr="00205590" w14:paraId="33266FCE" w14:textId="77777777" w:rsidTr="005F4F03">
        <w:trPr>
          <w:cantSplit/>
          <w:tblHeader/>
        </w:trPr>
        <w:tc>
          <w:tcPr>
            <w:tcW w:w="1080" w:type="dxa"/>
            <w:vAlign w:val="center"/>
          </w:tcPr>
          <w:p w14:paraId="17BF50E1" w14:textId="4A055936" w:rsidR="4769E595" w:rsidRPr="00205590" w:rsidRDefault="687337D2" w:rsidP="4163E8AC">
            <w:pPr>
              <w:jc w:val="center"/>
              <w:rPr>
                <w:rFonts w:eastAsia="Verdana" w:cs="Verdana"/>
                <w:b/>
                <w:bCs/>
                <w:sz w:val="22"/>
                <w:szCs w:val="22"/>
              </w:rPr>
            </w:pPr>
            <w:r w:rsidRPr="4163E8AC">
              <w:rPr>
                <w:rFonts w:eastAsia="Verdana" w:cs="Verdana"/>
                <w:b/>
                <w:bCs/>
                <w:sz w:val="22"/>
                <w:szCs w:val="22"/>
              </w:rPr>
              <w:t>GRADE</w:t>
            </w:r>
          </w:p>
        </w:tc>
        <w:tc>
          <w:tcPr>
            <w:tcW w:w="8378" w:type="dxa"/>
            <w:vAlign w:val="center"/>
          </w:tcPr>
          <w:p w14:paraId="1553FB88" w14:textId="6EDADBC2" w:rsidR="4769E595" w:rsidRPr="00205590" w:rsidRDefault="687337D2" w:rsidP="4163E8AC">
            <w:pPr>
              <w:jc w:val="center"/>
              <w:rPr>
                <w:rFonts w:eastAsia="Verdana" w:cs="Verdana"/>
                <w:b/>
                <w:bCs/>
                <w:sz w:val="22"/>
                <w:szCs w:val="22"/>
              </w:rPr>
            </w:pPr>
            <w:r w:rsidRPr="4163E8AC">
              <w:rPr>
                <w:rFonts w:eastAsia="Verdana" w:cs="Verdana"/>
                <w:b/>
                <w:bCs/>
                <w:sz w:val="22"/>
                <w:szCs w:val="22"/>
              </w:rPr>
              <w:t>ECOG PERFORMANCE STATUS</w:t>
            </w:r>
          </w:p>
        </w:tc>
      </w:tr>
      <w:tr w:rsidR="4769E595" w:rsidRPr="00205590" w14:paraId="7E6AB982" w14:textId="77777777" w:rsidTr="4163E8AC">
        <w:tc>
          <w:tcPr>
            <w:tcW w:w="1080" w:type="dxa"/>
            <w:vAlign w:val="center"/>
          </w:tcPr>
          <w:p w14:paraId="44513782" w14:textId="3D18AEEE" w:rsidR="4769E595" w:rsidRPr="00205590" w:rsidRDefault="687337D2" w:rsidP="4163E8AC">
            <w:pPr>
              <w:rPr>
                <w:sz w:val="22"/>
                <w:szCs w:val="22"/>
              </w:rPr>
            </w:pPr>
            <w:r w:rsidRPr="4163E8AC">
              <w:rPr>
                <w:rFonts w:eastAsia="Verdana" w:cs="Verdana"/>
                <w:sz w:val="22"/>
                <w:szCs w:val="22"/>
              </w:rPr>
              <w:t>0</w:t>
            </w:r>
          </w:p>
        </w:tc>
        <w:tc>
          <w:tcPr>
            <w:tcW w:w="8378" w:type="dxa"/>
            <w:vAlign w:val="center"/>
          </w:tcPr>
          <w:p w14:paraId="7CC3A8D6" w14:textId="7FD4E1F7" w:rsidR="4769E595" w:rsidRPr="00205590" w:rsidRDefault="687337D2" w:rsidP="4163E8AC">
            <w:pPr>
              <w:rPr>
                <w:sz w:val="22"/>
                <w:szCs w:val="22"/>
              </w:rPr>
            </w:pPr>
            <w:r w:rsidRPr="4163E8AC">
              <w:rPr>
                <w:rFonts w:eastAsia="Verdana" w:cs="Verdana"/>
                <w:sz w:val="22"/>
                <w:szCs w:val="22"/>
              </w:rPr>
              <w:t>Fully active, able to carry on all pre-disease performance without restriction</w:t>
            </w:r>
          </w:p>
        </w:tc>
      </w:tr>
      <w:tr w:rsidR="4769E595" w:rsidRPr="00205590" w14:paraId="337DF62E" w14:textId="77777777" w:rsidTr="4163E8AC">
        <w:tc>
          <w:tcPr>
            <w:tcW w:w="1080" w:type="dxa"/>
            <w:vAlign w:val="center"/>
          </w:tcPr>
          <w:p w14:paraId="53FD6773" w14:textId="6B4BA5C1" w:rsidR="4769E595" w:rsidRPr="00205590" w:rsidRDefault="687337D2" w:rsidP="4163E8AC">
            <w:pPr>
              <w:rPr>
                <w:sz w:val="22"/>
                <w:szCs w:val="22"/>
              </w:rPr>
            </w:pPr>
            <w:r w:rsidRPr="4163E8AC">
              <w:rPr>
                <w:rFonts w:eastAsia="Verdana" w:cs="Verdana"/>
                <w:sz w:val="22"/>
                <w:szCs w:val="22"/>
              </w:rPr>
              <w:t>1</w:t>
            </w:r>
          </w:p>
        </w:tc>
        <w:tc>
          <w:tcPr>
            <w:tcW w:w="8378" w:type="dxa"/>
            <w:vAlign w:val="center"/>
          </w:tcPr>
          <w:p w14:paraId="165CC8F3" w14:textId="5A22CFFE" w:rsidR="4769E595" w:rsidRPr="00205590" w:rsidRDefault="687337D2" w:rsidP="4163E8AC">
            <w:pPr>
              <w:rPr>
                <w:sz w:val="22"/>
                <w:szCs w:val="22"/>
              </w:rPr>
            </w:pPr>
            <w:r w:rsidRPr="4163E8AC">
              <w:rPr>
                <w:rFonts w:eastAsia="Verdana" w:cs="Verdana"/>
                <w:sz w:val="22"/>
                <w:szCs w:val="22"/>
              </w:rPr>
              <w:t>Restricted in physically strenuous activity but ambulatory and able to carry out work of a light or sedentary nature, e.g., light house work, office work</w:t>
            </w:r>
          </w:p>
        </w:tc>
      </w:tr>
      <w:tr w:rsidR="4769E595" w:rsidRPr="00205590" w14:paraId="745546F5" w14:textId="77777777" w:rsidTr="4163E8AC">
        <w:tc>
          <w:tcPr>
            <w:tcW w:w="1080" w:type="dxa"/>
            <w:vAlign w:val="center"/>
          </w:tcPr>
          <w:p w14:paraId="1824F803" w14:textId="19833F4B" w:rsidR="4769E595" w:rsidRPr="00205590" w:rsidRDefault="687337D2" w:rsidP="4163E8AC">
            <w:pPr>
              <w:rPr>
                <w:sz w:val="22"/>
                <w:szCs w:val="22"/>
              </w:rPr>
            </w:pPr>
            <w:r w:rsidRPr="4163E8AC">
              <w:rPr>
                <w:rFonts w:eastAsia="Verdana" w:cs="Verdana"/>
                <w:sz w:val="22"/>
                <w:szCs w:val="22"/>
              </w:rPr>
              <w:t>2</w:t>
            </w:r>
          </w:p>
        </w:tc>
        <w:tc>
          <w:tcPr>
            <w:tcW w:w="8378" w:type="dxa"/>
            <w:vAlign w:val="center"/>
          </w:tcPr>
          <w:p w14:paraId="4E1BA9D5" w14:textId="2FC6AE01" w:rsidR="4769E595" w:rsidRPr="00205590" w:rsidRDefault="687337D2" w:rsidP="4163E8AC">
            <w:pPr>
              <w:rPr>
                <w:sz w:val="22"/>
                <w:szCs w:val="22"/>
              </w:rPr>
            </w:pPr>
            <w:r w:rsidRPr="4163E8AC">
              <w:rPr>
                <w:rFonts w:eastAsia="Verdana" w:cs="Verdana"/>
                <w:sz w:val="22"/>
                <w:szCs w:val="22"/>
              </w:rPr>
              <w:t xml:space="preserve">Ambulatory and capable of all </w:t>
            </w:r>
            <w:proofErr w:type="spellStart"/>
            <w:r w:rsidRPr="4163E8AC">
              <w:rPr>
                <w:rFonts w:eastAsia="Verdana" w:cs="Verdana"/>
                <w:sz w:val="22"/>
                <w:szCs w:val="22"/>
              </w:rPr>
              <w:t>selfcare</w:t>
            </w:r>
            <w:proofErr w:type="spellEnd"/>
            <w:r w:rsidRPr="4163E8AC">
              <w:rPr>
                <w:rFonts w:eastAsia="Verdana" w:cs="Verdana"/>
                <w:sz w:val="22"/>
                <w:szCs w:val="22"/>
              </w:rPr>
              <w:t xml:space="preserve"> but unable to carry out any work activities; up and about more than 50% of waking hours</w:t>
            </w:r>
          </w:p>
        </w:tc>
      </w:tr>
      <w:tr w:rsidR="4769E595" w:rsidRPr="00205590" w14:paraId="376889F1" w14:textId="77777777" w:rsidTr="4163E8AC">
        <w:tc>
          <w:tcPr>
            <w:tcW w:w="1080" w:type="dxa"/>
            <w:vAlign w:val="center"/>
          </w:tcPr>
          <w:p w14:paraId="7E7388DF" w14:textId="749D4A39" w:rsidR="4769E595" w:rsidRPr="00205590" w:rsidRDefault="687337D2" w:rsidP="4163E8AC">
            <w:pPr>
              <w:rPr>
                <w:sz w:val="22"/>
                <w:szCs w:val="22"/>
              </w:rPr>
            </w:pPr>
            <w:r w:rsidRPr="4163E8AC">
              <w:rPr>
                <w:rFonts w:eastAsia="Verdana" w:cs="Verdana"/>
                <w:sz w:val="22"/>
                <w:szCs w:val="22"/>
              </w:rPr>
              <w:t>3</w:t>
            </w:r>
          </w:p>
        </w:tc>
        <w:tc>
          <w:tcPr>
            <w:tcW w:w="8378" w:type="dxa"/>
            <w:vAlign w:val="center"/>
          </w:tcPr>
          <w:p w14:paraId="2A677004" w14:textId="2660B33F" w:rsidR="4769E595" w:rsidRPr="00205590" w:rsidRDefault="687337D2" w:rsidP="4163E8AC">
            <w:pPr>
              <w:rPr>
                <w:sz w:val="22"/>
                <w:szCs w:val="22"/>
              </w:rPr>
            </w:pPr>
            <w:r w:rsidRPr="4163E8AC">
              <w:rPr>
                <w:rFonts w:eastAsia="Verdana" w:cs="Verdana"/>
                <w:sz w:val="22"/>
                <w:szCs w:val="22"/>
              </w:rPr>
              <w:t xml:space="preserve">Capable of only limited </w:t>
            </w:r>
            <w:proofErr w:type="spellStart"/>
            <w:r w:rsidRPr="4163E8AC">
              <w:rPr>
                <w:rFonts w:eastAsia="Verdana" w:cs="Verdana"/>
                <w:sz w:val="22"/>
                <w:szCs w:val="22"/>
              </w:rPr>
              <w:t>selfcare</w:t>
            </w:r>
            <w:proofErr w:type="spellEnd"/>
            <w:r w:rsidRPr="4163E8AC">
              <w:rPr>
                <w:rFonts w:eastAsia="Verdana" w:cs="Verdana"/>
                <w:sz w:val="22"/>
                <w:szCs w:val="22"/>
              </w:rPr>
              <w:t>; confined to bed or chair more than 50% of waking hours</w:t>
            </w:r>
          </w:p>
        </w:tc>
      </w:tr>
      <w:tr w:rsidR="4769E595" w:rsidRPr="00205590" w14:paraId="0E1140FE" w14:textId="77777777" w:rsidTr="4163E8AC">
        <w:tc>
          <w:tcPr>
            <w:tcW w:w="1080" w:type="dxa"/>
            <w:vAlign w:val="center"/>
          </w:tcPr>
          <w:p w14:paraId="1158FBF6" w14:textId="2D2C1CA4" w:rsidR="4769E595" w:rsidRPr="00205590" w:rsidRDefault="687337D2" w:rsidP="4163E8AC">
            <w:pPr>
              <w:rPr>
                <w:sz w:val="22"/>
                <w:szCs w:val="22"/>
              </w:rPr>
            </w:pPr>
            <w:r w:rsidRPr="4163E8AC">
              <w:rPr>
                <w:rFonts w:eastAsia="Verdana" w:cs="Verdana"/>
                <w:sz w:val="22"/>
                <w:szCs w:val="22"/>
              </w:rPr>
              <w:t>4</w:t>
            </w:r>
          </w:p>
        </w:tc>
        <w:tc>
          <w:tcPr>
            <w:tcW w:w="8378" w:type="dxa"/>
            <w:vAlign w:val="center"/>
          </w:tcPr>
          <w:p w14:paraId="6136FF88" w14:textId="1E47FCE4" w:rsidR="4769E595" w:rsidRPr="00205590" w:rsidRDefault="687337D2" w:rsidP="4163E8AC">
            <w:pPr>
              <w:rPr>
                <w:sz w:val="22"/>
                <w:szCs w:val="22"/>
              </w:rPr>
            </w:pPr>
            <w:r w:rsidRPr="4163E8AC">
              <w:rPr>
                <w:rFonts w:eastAsia="Verdana" w:cs="Verdana"/>
                <w:sz w:val="22"/>
                <w:szCs w:val="22"/>
              </w:rPr>
              <w:t xml:space="preserve">Completely disabled; cannot carry on any </w:t>
            </w:r>
            <w:proofErr w:type="spellStart"/>
            <w:r w:rsidRPr="4163E8AC">
              <w:rPr>
                <w:rFonts w:eastAsia="Verdana" w:cs="Verdana"/>
                <w:sz w:val="22"/>
                <w:szCs w:val="22"/>
              </w:rPr>
              <w:t>selfcare</w:t>
            </w:r>
            <w:proofErr w:type="spellEnd"/>
            <w:r w:rsidRPr="4163E8AC">
              <w:rPr>
                <w:rFonts w:eastAsia="Verdana" w:cs="Verdana"/>
                <w:sz w:val="22"/>
                <w:szCs w:val="22"/>
              </w:rPr>
              <w:t>; totally confined to bed or chair</w:t>
            </w:r>
          </w:p>
        </w:tc>
      </w:tr>
    </w:tbl>
    <w:p w14:paraId="137B7EE8" w14:textId="170EECBE" w:rsidR="4769E595" w:rsidRDefault="4769E595" w:rsidP="4163E8AC">
      <w:pPr>
        <w:spacing w:line="259" w:lineRule="auto"/>
        <w:rPr>
          <w:sz w:val="22"/>
          <w:szCs w:val="22"/>
          <w:u w:val="single"/>
        </w:rPr>
      </w:pPr>
    </w:p>
    <w:p w14:paraId="2D5AED16" w14:textId="6AC47712" w:rsidR="00E507C6" w:rsidRPr="0064741F" w:rsidRDefault="212DD2AD" w:rsidP="15F09DB1">
      <w:pPr>
        <w:rPr>
          <w:sz w:val="22"/>
          <w:szCs w:val="22"/>
        </w:rPr>
      </w:pPr>
      <w:r w:rsidRPr="109A04B4">
        <w:rPr>
          <w:b/>
          <w:bCs/>
          <w:sz w:val="22"/>
          <w:szCs w:val="22"/>
          <w:u w:val="single"/>
        </w:rPr>
        <w:t>Modified ICH Score</w:t>
      </w:r>
      <w:r w:rsidRPr="109A04B4">
        <w:rPr>
          <w:b/>
          <w:bCs/>
          <w:noProof/>
          <w:sz w:val="22"/>
          <w:szCs w:val="22"/>
          <w:u w:val="single"/>
          <w:vertAlign w:val="superscript"/>
        </w:rPr>
        <w:t>15</w:t>
      </w:r>
      <w:r w:rsidRPr="109A04B4">
        <w:rPr>
          <w:sz w:val="22"/>
          <w:szCs w:val="22"/>
        </w:rPr>
        <w:t>:</w:t>
      </w:r>
    </w:p>
    <w:p w14:paraId="7F39E10E" w14:textId="77777777" w:rsidR="00E507C6" w:rsidRPr="0064741F" w:rsidRDefault="212DD2AD" w:rsidP="15F09DB1">
      <w:pPr>
        <w:rPr>
          <w:sz w:val="22"/>
          <w:szCs w:val="22"/>
        </w:rPr>
      </w:pPr>
      <w:r w:rsidRPr="4769E595">
        <w:rPr>
          <w:sz w:val="22"/>
          <w:szCs w:val="22"/>
        </w:rPr>
        <w:t xml:space="preserve">One point each for age &gt;80, </w:t>
      </w:r>
      <w:proofErr w:type="spellStart"/>
      <w:r w:rsidRPr="4769E595">
        <w:rPr>
          <w:sz w:val="22"/>
          <w:szCs w:val="22"/>
        </w:rPr>
        <w:t>infratentorial</w:t>
      </w:r>
      <w:proofErr w:type="spellEnd"/>
      <w:r w:rsidRPr="4769E595">
        <w:rPr>
          <w:sz w:val="22"/>
          <w:szCs w:val="22"/>
        </w:rPr>
        <w:t xml:space="preserve"> origin, volume &gt;30mL, intraventricular extension, use of oral anticoagulants, and Glasgow Coma Score of 5-12. Two points for a GCS of 3-4. Scores of 4-7 suggest a 30-day mortality rate of &gt;80%. Scores of 3-7 suggest a mortality rate of &gt;60%. </w:t>
      </w:r>
    </w:p>
    <w:p w14:paraId="3F58EDAE" w14:textId="21E490F4" w:rsidR="4769E595" w:rsidRDefault="4769E595" w:rsidP="4769E595">
      <w:pPr>
        <w:rPr>
          <w:sz w:val="22"/>
          <w:szCs w:val="22"/>
        </w:rPr>
      </w:pPr>
    </w:p>
    <w:p w14:paraId="53D85296" w14:textId="7CE637E9" w:rsidR="00E507C6" w:rsidRPr="0064741F" w:rsidRDefault="212DD2AD" w:rsidP="4769E595">
      <w:pPr>
        <w:rPr>
          <w:b/>
          <w:bCs/>
          <w:sz w:val="22"/>
          <w:szCs w:val="22"/>
          <w:u w:val="single"/>
        </w:rPr>
      </w:pPr>
      <w:r w:rsidRPr="4769E595">
        <w:rPr>
          <w:b/>
          <w:bCs/>
          <w:sz w:val="22"/>
          <w:szCs w:val="22"/>
          <w:u w:val="single"/>
        </w:rPr>
        <w:t>The World Federation of Neurological Surgeons grading system:</w:t>
      </w:r>
    </w:p>
    <w:p w14:paraId="69589C4B" w14:textId="4F6102BF" w:rsidR="00E507C6" w:rsidRPr="0064741F" w:rsidRDefault="212DD2AD" w:rsidP="15F09DB1">
      <w:pPr>
        <w:rPr>
          <w:sz w:val="22"/>
          <w:szCs w:val="22"/>
        </w:rPr>
      </w:pPr>
      <w:r w:rsidRPr="4769E595">
        <w:rPr>
          <w:sz w:val="22"/>
          <w:szCs w:val="22"/>
        </w:rPr>
        <w:t>A combination of Glasgow Coma Score (GCS) and the presence or absence of focal neurological deficits</w:t>
      </w:r>
      <w:r w:rsidRPr="4769E595">
        <w:rPr>
          <w:noProof/>
          <w:sz w:val="22"/>
          <w:szCs w:val="22"/>
          <w:vertAlign w:val="superscript"/>
        </w:rPr>
        <w:t>24</w:t>
      </w:r>
      <w:r w:rsidRPr="4769E595">
        <w:rPr>
          <w:sz w:val="22"/>
          <w:szCs w:val="22"/>
        </w:rPr>
        <w:t>. A WFNS grade 5 (GCS 3-6) is associated with a &gt;90% probability of a poor outcome. Grades 3-4 (GCS 7-12 or GCS 13-14 AND focal neurological deficits) are associated with a &gt;50% probability of a poor outcome. Grade 2 (GCS 14 with no neurological deficits) is associated with a ~30% probability of a poor outcome.</w:t>
      </w:r>
    </w:p>
    <w:p w14:paraId="31F03C34" w14:textId="31C683C4" w:rsidR="00E507C6" w:rsidRPr="0064741F" w:rsidRDefault="00E507C6" w:rsidP="4769E595">
      <w:pPr>
        <w:rPr>
          <w:sz w:val="22"/>
          <w:szCs w:val="22"/>
        </w:rPr>
      </w:pPr>
    </w:p>
    <w:p w14:paraId="10A34879" w14:textId="757700F0" w:rsidR="00E507C6" w:rsidRPr="0064741F" w:rsidRDefault="212DD2AD" w:rsidP="15F09DB1">
      <w:pPr>
        <w:rPr>
          <w:sz w:val="22"/>
          <w:szCs w:val="22"/>
        </w:rPr>
      </w:pPr>
      <w:r w:rsidRPr="4769E595">
        <w:rPr>
          <w:b/>
          <w:bCs/>
          <w:sz w:val="22"/>
          <w:szCs w:val="22"/>
          <w:u w:val="single"/>
        </w:rPr>
        <w:lastRenderedPageBreak/>
        <w:t>The IMPACT Score</w:t>
      </w:r>
      <w:r w:rsidRPr="4769E595">
        <w:rPr>
          <w:b/>
          <w:bCs/>
          <w:noProof/>
          <w:sz w:val="22"/>
          <w:szCs w:val="22"/>
          <w:u w:val="single"/>
          <w:vertAlign w:val="superscript"/>
        </w:rPr>
        <w:t>17</w:t>
      </w:r>
      <w:r w:rsidRPr="4769E595">
        <w:rPr>
          <w:sz w:val="22"/>
          <w:szCs w:val="22"/>
        </w:rPr>
        <w:t xml:space="preserve"> predicts outcome at 6-months based on multiple demographic, clinical and </w:t>
      </w:r>
      <w:proofErr w:type="spellStart"/>
      <w:r w:rsidRPr="4769E595">
        <w:rPr>
          <w:sz w:val="22"/>
          <w:szCs w:val="22"/>
        </w:rPr>
        <w:t>radiographical</w:t>
      </w:r>
      <w:proofErr w:type="spellEnd"/>
      <w:r w:rsidRPr="4769E595">
        <w:rPr>
          <w:sz w:val="22"/>
          <w:szCs w:val="22"/>
        </w:rPr>
        <w:t xml:space="preserve"> factors using the calculator found at </w:t>
      </w:r>
      <w:r w:rsidR="12639C71" w:rsidRPr="4769E595">
        <w:rPr>
          <w:sz w:val="22"/>
          <w:szCs w:val="22"/>
        </w:rPr>
        <w:t xml:space="preserve">http://www.tbi-impact.org/?p=impact/calc </w:t>
      </w:r>
    </w:p>
    <w:p w14:paraId="2CD1705E" w14:textId="72CD811F" w:rsidR="00E507C6" w:rsidRPr="0064741F" w:rsidRDefault="00E507C6" w:rsidP="15F09DB1">
      <w:pPr>
        <w:rPr>
          <w:sz w:val="22"/>
          <w:szCs w:val="22"/>
        </w:rPr>
      </w:pPr>
    </w:p>
    <w:p w14:paraId="15BDA55F" w14:textId="7C9A8B54" w:rsidR="3D47E8A9" w:rsidRDefault="3D47E8A9" w:rsidP="4769E595">
      <w:pPr>
        <w:rPr>
          <w:sz w:val="22"/>
          <w:szCs w:val="22"/>
        </w:rPr>
      </w:pPr>
      <w:r w:rsidRPr="4769E595">
        <w:rPr>
          <w:b/>
          <w:bCs/>
          <w:sz w:val="22"/>
          <w:szCs w:val="22"/>
          <w:u w:val="single"/>
        </w:rPr>
        <w:t>National Institute of Health Stroke Scale (NIHSS)</w:t>
      </w:r>
      <w:r w:rsidRPr="4769E595">
        <w:rPr>
          <w:b/>
          <w:bCs/>
          <w:sz w:val="22"/>
          <w:szCs w:val="22"/>
        </w:rPr>
        <w:t>:</w:t>
      </w:r>
      <w:r w:rsidRPr="4769E595">
        <w:rPr>
          <w:sz w:val="22"/>
          <w:szCs w:val="22"/>
        </w:rPr>
        <w:t xml:space="preserve"> score 0-7 is associated with a 30-day mortality of 4.2%; 8-13 with a 30d mortality of 13.9%; 14-21 with a 30d mortality of 31.6%; and 22-42 with a 30d mortality of 53.5%</w:t>
      </w:r>
      <w:r w:rsidRPr="4769E595">
        <w:rPr>
          <w:noProof/>
          <w:sz w:val="22"/>
          <w:szCs w:val="22"/>
          <w:vertAlign w:val="superscript"/>
        </w:rPr>
        <w:t>16</w:t>
      </w:r>
      <w:r w:rsidRPr="4769E595">
        <w:rPr>
          <w:sz w:val="22"/>
          <w:szCs w:val="22"/>
        </w:rPr>
        <w:t>:</w:t>
      </w:r>
    </w:p>
    <w:p w14:paraId="6D808A1F" w14:textId="1D0D4606" w:rsidR="4769E595" w:rsidRDefault="4769E595" w:rsidP="4769E595">
      <w:pPr>
        <w:rPr>
          <w:sz w:val="22"/>
          <w:szCs w:val="22"/>
        </w:rPr>
      </w:pPr>
    </w:p>
    <w:p w14:paraId="25034954" w14:textId="4BD9BDB6" w:rsidR="00E507C6" w:rsidRPr="0064741F" w:rsidRDefault="32D4A2BC" w:rsidP="4769E595">
      <w:pPr>
        <w:rPr>
          <w:sz w:val="22"/>
          <w:szCs w:val="22"/>
        </w:rPr>
      </w:pPr>
      <w:r w:rsidRPr="4769E595">
        <w:rPr>
          <w:b/>
          <w:bCs/>
          <w:sz w:val="22"/>
          <w:szCs w:val="22"/>
          <w:u w:val="single"/>
        </w:rPr>
        <w:t>E</w:t>
      </w:r>
      <w:r w:rsidR="212DD2AD" w:rsidRPr="4769E595">
        <w:rPr>
          <w:b/>
          <w:bCs/>
          <w:sz w:val="22"/>
          <w:szCs w:val="22"/>
          <w:u w:val="single"/>
        </w:rPr>
        <w:t>CS/ERS High Risk Criteria</w:t>
      </w:r>
      <w:r w:rsidR="212DD2AD" w:rsidRPr="4769E595">
        <w:rPr>
          <w:sz w:val="22"/>
          <w:szCs w:val="22"/>
        </w:rPr>
        <w:t xml:space="preserve"> </w:t>
      </w:r>
      <w:r w:rsidR="5FC5CF3E" w:rsidRPr="4769E595">
        <w:rPr>
          <w:sz w:val="22"/>
          <w:szCs w:val="22"/>
        </w:rPr>
        <w:t>for pulmonary hypertension</w:t>
      </w:r>
      <w:r w:rsidR="212DD2AD" w:rsidRPr="4769E595">
        <w:rPr>
          <w:noProof/>
          <w:sz w:val="22"/>
          <w:szCs w:val="22"/>
          <w:vertAlign w:val="superscript"/>
        </w:rPr>
        <w:t>14</w:t>
      </w:r>
      <w:r w:rsidR="212DD2AD" w:rsidRPr="4769E595">
        <w:rPr>
          <w:sz w:val="22"/>
          <w:szCs w:val="22"/>
        </w:rPr>
        <w:t>:</w:t>
      </w:r>
    </w:p>
    <w:p w14:paraId="54CE9B5E" w14:textId="77777777" w:rsidR="00E507C6" w:rsidRPr="0064741F" w:rsidRDefault="212DD2AD" w:rsidP="00CD465C">
      <w:pPr>
        <w:pStyle w:val="ListParagraph"/>
        <w:numPr>
          <w:ilvl w:val="0"/>
          <w:numId w:val="12"/>
        </w:numPr>
        <w:rPr>
          <w:sz w:val="22"/>
          <w:szCs w:val="22"/>
        </w:rPr>
      </w:pPr>
      <w:r w:rsidRPr="109A04B4">
        <w:rPr>
          <w:sz w:val="22"/>
          <w:szCs w:val="22"/>
        </w:rPr>
        <w:t>WHO Class 4 symptoms</w:t>
      </w:r>
    </w:p>
    <w:p w14:paraId="06DCD2AD" w14:textId="77777777" w:rsidR="00E507C6" w:rsidRPr="0064741F" w:rsidRDefault="212DD2AD" w:rsidP="00CD465C">
      <w:pPr>
        <w:pStyle w:val="ListParagraph"/>
        <w:numPr>
          <w:ilvl w:val="0"/>
          <w:numId w:val="12"/>
        </w:numPr>
        <w:rPr>
          <w:sz w:val="22"/>
          <w:szCs w:val="22"/>
        </w:rPr>
      </w:pPr>
      <w:r w:rsidRPr="109A04B4">
        <w:rPr>
          <w:sz w:val="22"/>
          <w:szCs w:val="22"/>
        </w:rPr>
        <w:t>6MWT &lt;165m</w:t>
      </w:r>
    </w:p>
    <w:p w14:paraId="74D9F749" w14:textId="77777777" w:rsidR="00E507C6" w:rsidRPr="0064741F" w:rsidRDefault="212DD2AD" w:rsidP="00CD465C">
      <w:pPr>
        <w:pStyle w:val="ListParagraph"/>
        <w:numPr>
          <w:ilvl w:val="0"/>
          <w:numId w:val="12"/>
        </w:numPr>
        <w:rPr>
          <w:sz w:val="22"/>
          <w:szCs w:val="22"/>
        </w:rPr>
      </w:pPr>
      <w:r w:rsidRPr="109A04B4">
        <w:rPr>
          <w:sz w:val="22"/>
          <w:szCs w:val="22"/>
        </w:rPr>
        <w:t>NT pro-BNP &gt;1400 ng/L</w:t>
      </w:r>
    </w:p>
    <w:p w14:paraId="29215071" w14:textId="77777777" w:rsidR="00E507C6" w:rsidRPr="0064741F" w:rsidRDefault="212DD2AD" w:rsidP="00CD465C">
      <w:pPr>
        <w:pStyle w:val="ListParagraph"/>
        <w:numPr>
          <w:ilvl w:val="0"/>
          <w:numId w:val="12"/>
        </w:numPr>
        <w:rPr>
          <w:sz w:val="22"/>
          <w:szCs w:val="22"/>
        </w:rPr>
      </w:pPr>
      <w:r w:rsidRPr="109A04B4">
        <w:rPr>
          <w:sz w:val="22"/>
          <w:szCs w:val="22"/>
        </w:rPr>
        <w:t>RA area &gt;26 cm</w:t>
      </w:r>
      <w:r w:rsidRPr="109A04B4">
        <w:rPr>
          <w:sz w:val="22"/>
          <w:szCs w:val="22"/>
          <w:vertAlign w:val="superscript"/>
        </w:rPr>
        <w:t>2</w:t>
      </w:r>
    </w:p>
    <w:p w14:paraId="43BD1FE3" w14:textId="77777777" w:rsidR="00E507C6" w:rsidRPr="0064741F" w:rsidRDefault="212DD2AD" w:rsidP="00CD465C">
      <w:pPr>
        <w:pStyle w:val="ListParagraph"/>
        <w:numPr>
          <w:ilvl w:val="0"/>
          <w:numId w:val="12"/>
        </w:numPr>
        <w:rPr>
          <w:sz w:val="22"/>
          <w:szCs w:val="22"/>
        </w:rPr>
      </w:pPr>
      <w:r w:rsidRPr="109A04B4">
        <w:rPr>
          <w:sz w:val="22"/>
          <w:szCs w:val="22"/>
        </w:rPr>
        <w:t>RAP &gt;14 mmHg</w:t>
      </w:r>
    </w:p>
    <w:p w14:paraId="4EFB645F" w14:textId="77777777" w:rsidR="00E507C6" w:rsidRPr="0064741F" w:rsidRDefault="212DD2AD" w:rsidP="00CD465C">
      <w:pPr>
        <w:pStyle w:val="ListParagraph"/>
        <w:numPr>
          <w:ilvl w:val="0"/>
          <w:numId w:val="12"/>
        </w:numPr>
        <w:rPr>
          <w:sz w:val="22"/>
          <w:szCs w:val="22"/>
        </w:rPr>
      </w:pPr>
      <w:r w:rsidRPr="109A04B4">
        <w:rPr>
          <w:sz w:val="22"/>
          <w:szCs w:val="22"/>
        </w:rPr>
        <w:t>CI &lt;2.0 L/min/m</w:t>
      </w:r>
      <w:r w:rsidRPr="109A04B4">
        <w:rPr>
          <w:sz w:val="22"/>
          <w:szCs w:val="22"/>
          <w:vertAlign w:val="superscript"/>
        </w:rPr>
        <w:t>2</w:t>
      </w:r>
    </w:p>
    <w:p w14:paraId="4838EB11" w14:textId="77777777" w:rsidR="00E507C6" w:rsidRPr="0064741F" w:rsidRDefault="4FA4607D" w:rsidP="00CD465C">
      <w:pPr>
        <w:pStyle w:val="ListParagraph"/>
        <w:numPr>
          <w:ilvl w:val="0"/>
          <w:numId w:val="12"/>
        </w:numPr>
        <w:rPr>
          <w:sz w:val="22"/>
          <w:szCs w:val="22"/>
        </w:rPr>
      </w:pPr>
      <w:r w:rsidRPr="109A04B4">
        <w:rPr>
          <w:sz w:val="22"/>
          <w:szCs w:val="22"/>
        </w:rPr>
        <w:t>SvO</w:t>
      </w:r>
      <w:r w:rsidRPr="109A04B4">
        <w:rPr>
          <w:sz w:val="22"/>
          <w:szCs w:val="22"/>
          <w:vertAlign w:val="subscript"/>
        </w:rPr>
        <w:t>2</w:t>
      </w:r>
      <w:r w:rsidRPr="109A04B4">
        <w:rPr>
          <w:sz w:val="22"/>
          <w:szCs w:val="22"/>
        </w:rPr>
        <w:t xml:space="preserve"> &lt;60%</w:t>
      </w:r>
    </w:p>
    <w:p w14:paraId="429676C9" w14:textId="557981DE" w:rsidR="4769E595" w:rsidRDefault="4769E595" w:rsidP="4769E595">
      <w:pPr>
        <w:rPr>
          <w:sz w:val="22"/>
          <w:szCs w:val="22"/>
        </w:rPr>
      </w:pPr>
    </w:p>
    <w:p w14:paraId="5A8EB41F" w14:textId="582B6C67" w:rsidR="353A8284" w:rsidRPr="00C8215D" w:rsidRDefault="353A8284" w:rsidP="00C8215D">
      <w:pPr>
        <w:pStyle w:val="Heading2"/>
      </w:pPr>
      <w:r w:rsidRPr="00C8215D">
        <w:t xml:space="preserve">Registry to Evaluate Early and Long-Term Pulmonary Arterial Hypertension Disease Management (REVEAL) 2.0 Score </w:t>
      </w:r>
    </w:p>
    <w:p w14:paraId="085E70BF" w14:textId="05E8ED3D" w:rsidR="353A8284" w:rsidRDefault="231DD9EF" w:rsidP="00BA2F66">
      <w:pPr>
        <w:pStyle w:val="Heading2"/>
        <w:rPr>
          <w:rFonts w:ascii="Calibri" w:eastAsia="Calibri" w:hAnsi="Calibri" w:cs="Calibri"/>
          <w:color w:val="000000" w:themeColor="text1"/>
        </w:rPr>
      </w:pPr>
      <w:r w:rsidRPr="00C8215D">
        <w:rPr>
          <w:b w:val="0"/>
        </w:rPr>
        <w:t>The REVEAL Registry Risk Score Calculator (</w:t>
      </w:r>
      <w:proofErr w:type="spellStart"/>
      <w:r w:rsidR="353A8284" w:rsidRPr="00C8215D">
        <w:rPr>
          <w:b w:val="0"/>
        </w:rPr>
        <w:t>Benza</w:t>
      </w:r>
      <w:proofErr w:type="spellEnd"/>
      <w:r w:rsidR="353A8284" w:rsidRPr="00C8215D">
        <w:rPr>
          <w:b w:val="0"/>
        </w:rPr>
        <w:t xml:space="preserve"> et al. CHEST 2019; 156(2):323-337</w:t>
      </w:r>
      <w:r w:rsidR="3E900399" w:rsidRPr="00C8215D">
        <w:rPr>
          <w:b w:val="0"/>
        </w:rPr>
        <w:t xml:space="preserve">) can be found </w:t>
      </w:r>
      <w:hyperlink r:id="rId24" w:history="1">
        <w:r w:rsidR="3E900399" w:rsidRPr="002A650F">
          <w:rPr>
            <w:rStyle w:val="Hyperlink"/>
            <w:b w:val="0"/>
          </w:rPr>
          <w:t>here</w:t>
        </w:r>
      </w:hyperlink>
      <w:r w:rsidR="002A650F">
        <w:rPr>
          <w:b w:val="0"/>
        </w:rPr>
        <w:t>.</w:t>
      </w:r>
      <w:r w:rsidR="353A8284" w:rsidRPr="4163E8AC">
        <w:rPr>
          <w:rFonts w:ascii="Calibri" w:eastAsia="Calibri" w:hAnsi="Calibri" w:cs="Calibri"/>
          <w:color w:val="000000" w:themeColor="text1"/>
        </w:rPr>
        <w:t xml:space="preserve"> </w:t>
      </w:r>
    </w:p>
    <w:p w14:paraId="7EAF3564" w14:textId="41DDE4E4" w:rsidR="76FF597E" w:rsidRDefault="76FF597E" w:rsidP="4163E8AC">
      <w:r>
        <w:rPr>
          <w:noProof/>
          <w:lang w:eastAsia="en-CA"/>
        </w:rPr>
        <w:drawing>
          <wp:inline distT="0" distB="0" distL="0" distR="0" wp14:anchorId="64F202BB" wp14:editId="504365FD">
            <wp:extent cx="2771775" cy="3686817"/>
            <wp:effectExtent l="0" t="0" r="0" b="8890"/>
            <wp:docPr id="1036073899" name="Picture 1036073899" descr="This image provides an example of what the calculator looks like. The image comprises a column of clinical variables and for each variable, a row of risk indicators on a scale of -2 to +2 (where a lower number indicates a lower risk and a higher number indicates a higher risk). Clinical variables include: associated pulmonary arterial hypertension, brain natriuretic peptide, beats per minute, connective tissue disease, diffusing capacity of lung for carbon monoxide, familial pulmonary arterial hypertension, heart rate, mean right atrial pressure, New York Heart Association class, pulmonary arterial hypertension, portopulmonary hypertension, pulmonary vascular resistance, and systolic blood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71775" cy="3686817"/>
                    </a:xfrm>
                    <a:prstGeom prst="rect">
                      <a:avLst/>
                    </a:prstGeom>
                  </pic:spPr>
                </pic:pic>
              </a:graphicData>
            </a:graphic>
          </wp:inline>
        </w:drawing>
      </w:r>
    </w:p>
    <w:p w14:paraId="6F687C2A" w14:textId="7045C7ED" w:rsidR="4163E8AC" w:rsidRDefault="4163E8AC" w:rsidP="4163E8AC"/>
    <w:p w14:paraId="7383ECE4" w14:textId="4ED708DC" w:rsidR="353A8284" w:rsidRDefault="59B79091" w:rsidP="4769E595">
      <w:pPr>
        <w:rPr>
          <w:sz w:val="22"/>
          <w:szCs w:val="22"/>
        </w:rPr>
      </w:pPr>
      <w:r w:rsidRPr="4769E595">
        <w:rPr>
          <w:b/>
          <w:bCs/>
          <w:sz w:val="22"/>
          <w:szCs w:val="22"/>
          <w:u w:val="single"/>
        </w:rPr>
        <w:t>ACLF grading system</w:t>
      </w:r>
      <w:r w:rsidRPr="4769E595">
        <w:rPr>
          <w:sz w:val="22"/>
          <w:szCs w:val="22"/>
        </w:rPr>
        <w:t xml:space="preserve"> is based on the number of organ systems failing at the time of admission in a patient with chronic liver disease. Patients with more than 2 organ systems failing on presentation (ACLF Grades 2 and 3) have an &gt;=80% risk of mortality at 6 months</w:t>
      </w:r>
      <w:r w:rsidRPr="4769E595">
        <w:rPr>
          <w:noProof/>
          <w:sz w:val="22"/>
          <w:szCs w:val="22"/>
          <w:vertAlign w:val="superscript"/>
        </w:rPr>
        <w:t>25</w:t>
      </w:r>
      <w:r w:rsidRPr="4769E595">
        <w:rPr>
          <w:sz w:val="22"/>
          <w:szCs w:val="22"/>
        </w:rPr>
        <w:t>. Those with ACLF Grade 1 have an approximately 50% mortality at 6 months</w:t>
      </w:r>
      <w:r w:rsidRPr="4769E595">
        <w:rPr>
          <w:noProof/>
          <w:sz w:val="22"/>
          <w:szCs w:val="22"/>
          <w:vertAlign w:val="superscript"/>
        </w:rPr>
        <w:t>25</w:t>
      </w:r>
      <w:r w:rsidRPr="4769E595">
        <w:rPr>
          <w:sz w:val="22"/>
          <w:szCs w:val="22"/>
        </w:rPr>
        <w:t>; ACLF grade 1 is defined as having chronic liver failure plus ONE of the following</w:t>
      </w:r>
      <w:r w:rsidR="39AAB956" w:rsidRPr="4769E595">
        <w:rPr>
          <w:sz w:val="22"/>
          <w:szCs w:val="22"/>
        </w:rPr>
        <w:t xml:space="preserve"> three findings</w:t>
      </w:r>
      <w:r w:rsidRPr="4769E595">
        <w:rPr>
          <w:sz w:val="22"/>
          <w:szCs w:val="22"/>
        </w:rPr>
        <w:t>:</w:t>
      </w:r>
    </w:p>
    <w:p w14:paraId="57F5EBD9" w14:textId="612F2321" w:rsidR="353A8284" w:rsidRDefault="59B79091" w:rsidP="00CD465C">
      <w:pPr>
        <w:pStyle w:val="ListParagraph"/>
        <w:numPr>
          <w:ilvl w:val="0"/>
          <w:numId w:val="11"/>
        </w:numPr>
        <w:rPr>
          <w:sz w:val="22"/>
          <w:szCs w:val="22"/>
        </w:rPr>
      </w:pPr>
      <w:r w:rsidRPr="4769E595">
        <w:rPr>
          <w:sz w:val="22"/>
          <w:szCs w:val="22"/>
        </w:rPr>
        <w:t xml:space="preserve">Creatinine &gt;177 </w:t>
      </w:r>
      <w:proofErr w:type="spellStart"/>
      <w:r w:rsidRPr="4769E595">
        <w:rPr>
          <w:sz w:val="22"/>
          <w:szCs w:val="22"/>
        </w:rPr>
        <w:t>umol</w:t>
      </w:r>
      <w:proofErr w:type="spellEnd"/>
      <w:r w:rsidRPr="4769E595">
        <w:rPr>
          <w:sz w:val="22"/>
          <w:szCs w:val="22"/>
        </w:rPr>
        <w:t>/L (2.0 mg/</w:t>
      </w:r>
      <w:proofErr w:type="spellStart"/>
      <w:r w:rsidRPr="4769E595">
        <w:rPr>
          <w:sz w:val="22"/>
          <w:szCs w:val="22"/>
        </w:rPr>
        <w:t>dL</w:t>
      </w:r>
      <w:proofErr w:type="spellEnd"/>
      <w:r w:rsidRPr="4769E595">
        <w:rPr>
          <w:sz w:val="22"/>
          <w:szCs w:val="22"/>
        </w:rPr>
        <w:t>)</w:t>
      </w:r>
    </w:p>
    <w:p w14:paraId="2FC081F5" w14:textId="40AA35E1" w:rsidR="353A8284" w:rsidRDefault="59B79091" w:rsidP="00CD465C">
      <w:pPr>
        <w:pStyle w:val="ListParagraph"/>
        <w:numPr>
          <w:ilvl w:val="0"/>
          <w:numId w:val="11"/>
        </w:numPr>
        <w:rPr>
          <w:sz w:val="22"/>
          <w:szCs w:val="22"/>
        </w:rPr>
      </w:pPr>
      <w:r w:rsidRPr="4769E595">
        <w:rPr>
          <w:sz w:val="22"/>
          <w:szCs w:val="22"/>
        </w:rPr>
        <w:lastRenderedPageBreak/>
        <w:t xml:space="preserve">Creatinine &gt;132 </w:t>
      </w:r>
      <w:proofErr w:type="spellStart"/>
      <w:r w:rsidRPr="4769E595">
        <w:rPr>
          <w:sz w:val="22"/>
          <w:szCs w:val="22"/>
        </w:rPr>
        <w:t>umol</w:t>
      </w:r>
      <w:proofErr w:type="spellEnd"/>
      <w:r w:rsidRPr="4769E595">
        <w:rPr>
          <w:sz w:val="22"/>
          <w:szCs w:val="22"/>
        </w:rPr>
        <w:t>/L (1.5 mg/</w:t>
      </w:r>
      <w:proofErr w:type="spellStart"/>
      <w:r w:rsidRPr="4769E595">
        <w:rPr>
          <w:sz w:val="22"/>
          <w:szCs w:val="22"/>
        </w:rPr>
        <w:t>dL</w:t>
      </w:r>
      <w:proofErr w:type="spellEnd"/>
      <w:r w:rsidRPr="4769E595">
        <w:rPr>
          <w:sz w:val="22"/>
          <w:szCs w:val="22"/>
        </w:rPr>
        <w:t>) AND Hepatic encephalopathy grade 3-4</w:t>
      </w:r>
    </w:p>
    <w:p w14:paraId="40CDF176" w14:textId="32CB0027" w:rsidR="353A8284" w:rsidRDefault="59B79091" w:rsidP="00CD465C">
      <w:pPr>
        <w:pStyle w:val="ListParagraph"/>
        <w:numPr>
          <w:ilvl w:val="0"/>
          <w:numId w:val="11"/>
        </w:numPr>
        <w:rPr>
          <w:sz w:val="22"/>
          <w:szCs w:val="22"/>
        </w:rPr>
      </w:pPr>
      <w:r w:rsidRPr="4769E595">
        <w:rPr>
          <w:sz w:val="22"/>
          <w:szCs w:val="22"/>
        </w:rPr>
        <w:t xml:space="preserve">Creatinine &gt;132 </w:t>
      </w:r>
      <w:proofErr w:type="spellStart"/>
      <w:r w:rsidRPr="4769E595">
        <w:rPr>
          <w:sz w:val="22"/>
          <w:szCs w:val="22"/>
        </w:rPr>
        <w:t>umol</w:t>
      </w:r>
      <w:proofErr w:type="spellEnd"/>
      <w:r w:rsidRPr="4769E595">
        <w:rPr>
          <w:sz w:val="22"/>
          <w:szCs w:val="22"/>
        </w:rPr>
        <w:t>/L (1.5 mg/</w:t>
      </w:r>
      <w:proofErr w:type="spellStart"/>
      <w:r w:rsidRPr="4769E595">
        <w:rPr>
          <w:sz w:val="22"/>
          <w:szCs w:val="22"/>
        </w:rPr>
        <w:t>dL</w:t>
      </w:r>
      <w:proofErr w:type="spellEnd"/>
      <w:r w:rsidRPr="4769E595">
        <w:rPr>
          <w:sz w:val="22"/>
          <w:szCs w:val="22"/>
        </w:rPr>
        <w:t>) OR Hepatic encephalopathy grade 1-2 AND ONE OF:</w:t>
      </w:r>
    </w:p>
    <w:p w14:paraId="08F856E8" w14:textId="153F92CF" w:rsidR="353A8284" w:rsidRDefault="59B79091" w:rsidP="00CD465C">
      <w:pPr>
        <w:pStyle w:val="ListParagraph"/>
        <w:numPr>
          <w:ilvl w:val="1"/>
          <w:numId w:val="11"/>
        </w:numPr>
        <w:rPr>
          <w:sz w:val="22"/>
          <w:szCs w:val="22"/>
        </w:rPr>
      </w:pPr>
      <w:proofErr w:type="spellStart"/>
      <w:r w:rsidRPr="4769E595">
        <w:rPr>
          <w:sz w:val="22"/>
          <w:szCs w:val="22"/>
        </w:rPr>
        <w:t>Bilirbin</w:t>
      </w:r>
      <w:proofErr w:type="spellEnd"/>
      <w:r w:rsidRPr="4769E595">
        <w:rPr>
          <w:sz w:val="22"/>
          <w:szCs w:val="22"/>
        </w:rPr>
        <w:t xml:space="preserve"> &gt;200umol/L (12mg/</w:t>
      </w:r>
      <w:proofErr w:type="spellStart"/>
      <w:r w:rsidRPr="4769E595">
        <w:rPr>
          <w:sz w:val="22"/>
          <w:szCs w:val="22"/>
        </w:rPr>
        <w:t>dL</w:t>
      </w:r>
      <w:proofErr w:type="spellEnd"/>
      <w:r w:rsidRPr="4769E595">
        <w:rPr>
          <w:sz w:val="22"/>
          <w:szCs w:val="22"/>
        </w:rPr>
        <w:t xml:space="preserve">) </w:t>
      </w:r>
    </w:p>
    <w:p w14:paraId="44A6150B" w14:textId="659ECE85" w:rsidR="353A8284" w:rsidRDefault="59B79091" w:rsidP="00CD465C">
      <w:pPr>
        <w:pStyle w:val="ListParagraph"/>
        <w:numPr>
          <w:ilvl w:val="1"/>
          <w:numId w:val="11"/>
        </w:numPr>
        <w:rPr>
          <w:sz w:val="22"/>
          <w:szCs w:val="22"/>
        </w:rPr>
      </w:pPr>
      <w:r w:rsidRPr="4769E595">
        <w:rPr>
          <w:sz w:val="22"/>
          <w:szCs w:val="22"/>
        </w:rPr>
        <w:t xml:space="preserve">INR &gt;2.5 </w:t>
      </w:r>
    </w:p>
    <w:p w14:paraId="495DAA03" w14:textId="3DE08C9B" w:rsidR="353A8284" w:rsidRDefault="59B79091" w:rsidP="00CD465C">
      <w:pPr>
        <w:pStyle w:val="ListParagraph"/>
        <w:numPr>
          <w:ilvl w:val="1"/>
          <w:numId w:val="11"/>
        </w:numPr>
        <w:rPr>
          <w:sz w:val="22"/>
          <w:szCs w:val="22"/>
        </w:rPr>
      </w:pPr>
      <w:r w:rsidRPr="4769E595">
        <w:rPr>
          <w:sz w:val="22"/>
          <w:szCs w:val="22"/>
        </w:rPr>
        <w:t xml:space="preserve">pressor support required </w:t>
      </w:r>
    </w:p>
    <w:p w14:paraId="57C56945" w14:textId="40B7B332" w:rsidR="353A8284" w:rsidRDefault="59B79091" w:rsidP="00CD465C">
      <w:pPr>
        <w:pStyle w:val="ListParagraph"/>
        <w:numPr>
          <w:ilvl w:val="1"/>
          <w:numId w:val="11"/>
        </w:numPr>
        <w:rPr>
          <w:sz w:val="22"/>
          <w:szCs w:val="22"/>
        </w:rPr>
      </w:pPr>
      <w:r w:rsidRPr="4769E595">
        <w:rPr>
          <w:sz w:val="22"/>
          <w:szCs w:val="22"/>
        </w:rPr>
        <w:t>PaO2/FiO2 &lt;200</w:t>
      </w:r>
    </w:p>
    <w:p w14:paraId="51F5DF30" w14:textId="53B89D11" w:rsidR="353A8284" w:rsidRDefault="353A8284" w:rsidP="4769E595">
      <w:pPr>
        <w:rPr>
          <w:b/>
          <w:bCs/>
          <w:sz w:val="22"/>
          <w:szCs w:val="22"/>
          <w:u w:val="single"/>
        </w:rPr>
      </w:pPr>
      <w:r>
        <w:br/>
      </w:r>
      <w:r w:rsidR="458CDE08" w:rsidRPr="4769E595">
        <w:rPr>
          <w:b/>
          <w:bCs/>
          <w:sz w:val="22"/>
          <w:szCs w:val="22"/>
          <w:u w:val="single"/>
        </w:rPr>
        <w:t>Clinical Frailty Scale (Rockwood et al)</w:t>
      </w:r>
    </w:p>
    <w:p w14:paraId="4DB20591" w14:textId="77777777" w:rsidR="007259FF" w:rsidRDefault="007259FF" w:rsidP="4769E595">
      <w:pPr>
        <w:pStyle w:val="NormalWeb"/>
        <w:shd w:val="clear" w:color="auto" w:fill="FFFFFF" w:themeFill="background1"/>
        <w:spacing w:before="0" w:beforeAutospacing="0" w:after="0" w:afterAutospacing="0"/>
        <w:rPr>
          <w:rFonts w:ascii="Calibri" w:hAnsi="Calibri" w:cs="Calibri"/>
          <w:sz w:val="22"/>
          <w:szCs w:val="22"/>
        </w:rPr>
      </w:pPr>
      <w:r>
        <w:rPr>
          <w:rFonts w:ascii="Calibri" w:hAnsi="Calibri" w:cs="Calibri"/>
          <w:sz w:val="22"/>
          <w:szCs w:val="22"/>
        </w:rPr>
        <w:t>See:</w:t>
      </w:r>
    </w:p>
    <w:p w14:paraId="0E60D49A" w14:textId="7C1AAD1C" w:rsidR="007259FF" w:rsidRDefault="00872016" w:rsidP="007259FF">
      <w:pPr>
        <w:pStyle w:val="NormalWeb"/>
        <w:numPr>
          <w:ilvl w:val="0"/>
          <w:numId w:val="34"/>
        </w:numPr>
        <w:shd w:val="clear" w:color="auto" w:fill="FFFFFF" w:themeFill="background1"/>
        <w:spacing w:before="0" w:beforeAutospacing="0" w:after="0" w:afterAutospacing="0"/>
        <w:rPr>
          <w:rFonts w:ascii="Calibri" w:hAnsi="Calibri" w:cs="Calibri"/>
          <w:sz w:val="22"/>
          <w:szCs w:val="22"/>
        </w:rPr>
      </w:pPr>
      <w:hyperlink r:id="rId26" w:history="1">
        <w:r w:rsidR="007259FF" w:rsidRPr="002A650F">
          <w:rPr>
            <w:rStyle w:val="Hyperlink"/>
            <w:rFonts w:ascii="Calibri" w:hAnsi="Calibri" w:cs="Calibri"/>
            <w:sz w:val="22"/>
            <w:szCs w:val="22"/>
          </w:rPr>
          <w:t>Dalhousie University’s discussion of t</w:t>
        </w:r>
        <w:r w:rsidR="002A650F" w:rsidRPr="002A650F">
          <w:rPr>
            <w:rStyle w:val="Hyperlink"/>
            <w:rFonts w:ascii="Calibri" w:hAnsi="Calibri" w:cs="Calibri"/>
            <w:sz w:val="22"/>
            <w:szCs w:val="22"/>
          </w:rPr>
          <w:t>he Clinical Frailty Scale tool</w:t>
        </w:r>
      </w:hyperlink>
    </w:p>
    <w:p w14:paraId="7226B401" w14:textId="039B529B" w:rsidR="007259FF" w:rsidRDefault="00872016" w:rsidP="4769E595">
      <w:pPr>
        <w:pStyle w:val="NormalWeb"/>
        <w:numPr>
          <w:ilvl w:val="0"/>
          <w:numId w:val="34"/>
        </w:numPr>
        <w:shd w:val="clear" w:color="auto" w:fill="FFFFFF" w:themeFill="background1"/>
        <w:spacing w:before="0" w:beforeAutospacing="0" w:after="0" w:afterAutospacing="0"/>
        <w:rPr>
          <w:rFonts w:ascii="Calibri" w:hAnsi="Calibri" w:cs="Calibri"/>
          <w:sz w:val="22"/>
          <w:szCs w:val="22"/>
        </w:rPr>
      </w:pPr>
      <w:hyperlink r:id="rId27" w:history="1">
        <w:r w:rsidR="007259FF" w:rsidRPr="002A650F">
          <w:rPr>
            <w:rStyle w:val="Hyperlink"/>
            <w:rFonts w:ascii="Calibri" w:hAnsi="Calibri" w:cs="Calibri"/>
            <w:sz w:val="22"/>
            <w:szCs w:val="22"/>
          </w:rPr>
          <w:t>Dalhousie University’s guidance and training related</w:t>
        </w:r>
        <w:r w:rsidR="002A650F" w:rsidRPr="002A650F">
          <w:rPr>
            <w:rStyle w:val="Hyperlink"/>
            <w:rFonts w:ascii="Calibri" w:hAnsi="Calibri" w:cs="Calibri"/>
            <w:sz w:val="22"/>
            <w:szCs w:val="22"/>
          </w:rPr>
          <w:t xml:space="preserve"> to the Clinical Frailty Scale</w:t>
        </w:r>
      </w:hyperlink>
    </w:p>
    <w:p w14:paraId="148F185A" w14:textId="3DC7DDB6" w:rsidR="007259FF" w:rsidRDefault="007259FF" w:rsidP="4769E595">
      <w:pPr>
        <w:pStyle w:val="NormalWeb"/>
        <w:numPr>
          <w:ilvl w:val="0"/>
          <w:numId w:val="34"/>
        </w:numPr>
        <w:shd w:val="clear" w:color="auto" w:fill="FFFFFF" w:themeFill="background1"/>
        <w:spacing w:before="0" w:beforeAutospacing="0" w:after="0" w:afterAutospacing="0"/>
        <w:rPr>
          <w:rFonts w:ascii="Calibri" w:hAnsi="Calibri" w:cs="Calibri"/>
          <w:sz w:val="22"/>
          <w:szCs w:val="22"/>
        </w:rPr>
      </w:pPr>
      <w:r w:rsidRPr="007259FF">
        <w:rPr>
          <w:rFonts w:ascii="Calibri" w:hAnsi="Calibri" w:cs="Calibri"/>
          <w:sz w:val="22"/>
          <w:szCs w:val="22"/>
        </w:rPr>
        <w:t>Hubbard</w:t>
      </w:r>
      <w:r>
        <w:rPr>
          <w:rFonts w:ascii="Calibri" w:hAnsi="Calibri" w:cs="Calibri"/>
          <w:sz w:val="22"/>
          <w:szCs w:val="22"/>
        </w:rPr>
        <w:t xml:space="preserve"> RE</w:t>
      </w:r>
      <w:r w:rsidRPr="007259FF">
        <w:rPr>
          <w:rFonts w:ascii="Calibri" w:hAnsi="Calibri" w:cs="Calibri"/>
          <w:sz w:val="22"/>
          <w:szCs w:val="22"/>
        </w:rPr>
        <w:t>,</w:t>
      </w:r>
      <w:r>
        <w:rPr>
          <w:rFonts w:ascii="Calibri" w:hAnsi="Calibri" w:cs="Calibri"/>
          <w:sz w:val="22"/>
          <w:szCs w:val="22"/>
        </w:rPr>
        <w:t xml:space="preserve"> </w:t>
      </w:r>
      <w:r w:rsidRPr="007259FF">
        <w:rPr>
          <w:rFonts w:ascii="Calibri" w:hAnsi="Calibri" w:cs="Calibri"/>
          <w:sz w:val="22"/>
          <w:szCs w:val="22"/>
        </w:rPr>
        <w:t>Maier</w:t>
      </w:r>
      <w:r>
        <w:rPr>
          <w:rFonts w:ascii="Calibri" w:hAnsi="Calibri" w:cs="Calibri"/>
          <w:sz w:val="22"/>
          <w:szCs w:val="22"/>
        </w:rPr>
        <w:t xml:space="preserve"> AB, </w:t>
      </w:r>
      <w:proofErr w:type="spellStart"/>
      <w:r>
        <w:rPr>
          <w:rFonts w:ascii="Calibri" w:hAnsi="Calibri" w:cs="Calibri"/>
          <w:sz w:val="22"/>
          <w:szCs w:val="22"/>
        </w:rPr>
        <w:t>Hilmer</w:t>
      </w:r>
      <w:proofErr w:type="spellEnd"/>
      <w:r>
        <w:rPr>
          <w:rFonts w:ascii="Calibri" w:hAnsi="Calibri" w:cs="Calibri"/>
          <w:sz w:val="22"/>
          <w:szCs w:val="22"/>
        </w:rPr>
        <w:t xml:space="preserve"> SN et al. (2020). Fr</w:t>
      </w:r>
      <w:r w:rsidRPr="007259FF">
        <w:rPr>
          <w:rFonts w:ascii="Calibri" w:hAnsi="Calibri" w:cs="Calibri"/>
          <w:sz w:val="22"/>
          <w:szCs w:val="22"/>
        </w:rPr>
        <w:t>ailty in the Face of COVID-19</w:t>
      </w:r>
      <w:r>
        <w:rPr>
          <w:rFonts w:ascii="Calibri" w:hAnsi="Calibri" w:cs="Calibri"/>
          <w:sz w:val="22"/>
          <w:szCs w:val="22"/>
        </w:rPr>
        <w:t xml:space="preserve">. Age and Ageing, </w:t>
      </w:r>
      <w:r w:rsidRPr="007259FF">
        <w:rPr>
          <w:rFonts w:ascii="Calibri" w:hAnsi="Calibri" w:cs="Calibri"/>
          <w:sz w:val="22"/>
          <w:szCs w:val="22"/>
        </w:rPr>
        <w:t>49</w:t>
      </w:r>
      <w:r>
        <w:rPr>
          <w:rFonts w:ascii="Calibri" w:hAnsi="Calibri" w:cs="Calibri"/>
          <w:sz w:val="22"/>
          <w:szCs w:val="22"/>
        </w:rPr>
        <w:t>(</w:t>
      </w:r>
      <w:r w:rsidRPr="007259FF">
        <w:rPr>
          <w:rFonts w:ascii="Calibri" w:hAnsi="Calibri" w:cs="Calibri"/>
          <w:sz w:val="22"/>
          <w:szCs w:val="22"/>
        </w:rPr>
        <w:t>4</w:t>
      </w:r>
      <w:r>
        <w:rPr>
          <w:rFonts w:ascii="Calibri" w:hAnsi="Calibri" w:cs="Calibri"/>
          <w:sz w:val="22"/>
          <w:szCs w:val="22"/>
        </w:rPr>
        <w:t>):</w:t>
      </w:r>
      <w:r w:rsidRPr="007259FF">
        <w:rPr>
          <w:rFonts w:ascii="Calibri" w:hAnsi="Calibri" w:cs="Calibri"/>
          <w:sz w:val="22"/>
          <w:szCs w:val="22"/>
        </w:rPr>
        <w:t xml:space="preserve"> 499–500</w:t>
      </w:r>
      <w:r>
        <w:rPr>
          <w:rFonts w:ascii="Calibri" w:hAnsi="Calibri" w:cs="Calibri"/>
          <w:sz w:val="22"/>
          <w:szCs w:val="22"/>
        </w:rPr>
        <w:t>.</w:t>
      </w:r>
    </w:p>
    <w:p w14:paraId="3791764B" w14:textId="740A14A0" w:rsidR="007259FF" w:rsidRDefault="007259FF" w:rsidP="007259FF">
      <w:pPr>
        <w:pStyle w:val="NormalWeb"/>
        <w:numPr>
          <w:ilvl w:val="0"/>
          <w:numId w:val="34"/>
        </w:numPr>
        <w:shd w:val="clear" w:color="auto" w:fill="FFFFFF" w:themeFill="background1"/>
        <w:rPr>
          <w:rFonts w:ascii="Calibri" w:hAnsi="Calibri" w:cs="Calibri"/>
          <w:sz w:val="22"/>
          <w:szCs w:val="22"/>
        </w:rPr>
      </w:pPr>
      <w:r w:rsidRPr="007259FF">
        <w:rPr>
          <w:rFonts w:ascii="Calibri" w:hAnsi="Calibri" w:cs="Calibri"/>
          <w:sz w:val="22"/>
          <w:szCs w:val="22"/>
        </w:rPr>
        <w:t xml:space="preserve">Rockwood K, Song X, </w:t>
      </w:r>
      <w:proofErr w:type="spellStart"/>
      <w:r w:rsidRPr="007259FF">
        <w:rPr>
          <w:rFonts w:ascii="Calibri" w:hAnsi="Calibri" w:cs="Calibri"/>
          <w:sz w:val="22"/>
          <w:szCs w:val="22"/>
        </w:rPr>
        <w:t>MacKnight</w:t>
      </w:r>
      <w:proofErr w:type="spellEnd"/>
      <w:r w:rsidRPr="007259FF">
        <w:rPr>
          <w:rFonts w:ascii="Calibri" w:hAnsi="Calibri" w:cs="Calibri"/>
          <w:sz w:val="22"/>
          <w:szCs w:val="22"/>
        </w:rPr>
        <w:t xml:space="preserve"> C et al. </w:t>
      </w:r>
      <w:r>
        <w:rPr>
          <w:rFonts w:ascii="Calibri" w:hAnsi="Calibri" w:cs="Calibri"/>
          <w:sz w:val="22"/>
          <w:szCs w:val="22"/>
        </w:rPr>
        <w:t xml:space="preserve">(2020). </w:t>
      </w:r>
      <w:r w:rsidRPr="007259FF">
        <w:rPr>
          <w:rFonts w:ascii="Calibri" w:hAnsi="Calibri" w:cs="Calibri"/>
          <w:sz w:val="22"/>
          <w:szCs w:val="22"/>
        </w:rPr>
        <w:t>A global clinical measure of fitness and frailty</w:t>
      </w:r>
      <w:r>
        <w:rPr>
          <w:rFonts w:ascii="Calibri" w:hAnsi="Calibri" w:cs="Calibri"/>
          <w:sz w:val="22"/>
          <w:szCs w:val="22"/>
        </w:rPr>
        <w:t xml:space="preserve"> </w:t>
      </w:r>
      <w:r w:rsidRPr="007259FF">
        <w:rPr>
          <w:rFonts w:ascii="Calibri" w:hAnsi="Calibri" w:cs="Calibri"/>
          <w:sz w:val="22"/>
          <w:szCs w:val="22"/>
        </w:rPr>
        <w:t>in elderly people. Canadian Medical Association Journal, 173(5)489-495.</w:t>
      </w:r>
    </w:p>
    <w:p w14:paraId="41C62A06" w14:textId="7C382AB2" w:rsidR="00F02F18" w:rsidRPr="007259FF" w:rsidRDefault="00F02F18" w:rsidP="007259FF">
      <w:pPr>
        <w:pStyle w:val="NormalWeb"/>
        <w:numPr>
          <w:ilvl w:val="0"/>
          <w:numId w:val="34"/>
        </w:numPr>
        <w:shd w:val="clear" w:color="auto" w:fill="FFFFFF" w:themeFill="background1"/>
        <w:rPr>
          <w:rFonts w:ascii="Calibri" w:hAnsi="Calibri" w:cs="Calibri"/>
          <w:sz w:val="22"/>
          <w:szCs w:val="22"/>
        </w:rPr>
      </w:pPr>
      <w:r w:rsidRPr="00F02F18">
        <w:rPr>
          <w:rFonts w:ascii="Calibri" w:hAnsi="Calibri" w:cs="Calibri"/>
          <w:sz w:val="22"/>
          <w:szCs w:val="22"/>
        </w:rPr>
        <w:t xml:space="preserve">Rockwood R, </w:t>
      </w:r>
      <w:proofErr w:type="spellStart"/>
      <w:r w:rsidRPr="00F02F18">
        <w:rPr>
          <w:rFonts w:ascii="Calibri" w:hAnsi="Calibri" w:cs="Calibri"/>
          <w:sz w:val="22"/>
          <w:szCs w:val="22"/>
        </w:rPr>
        <w:t>Theou</w:t>
      </w:r>
      <w:proofErr w:type="spellEnd"/>
      <w:r w:rsidRPr="00F02F18">
        <w:rPr>
          <w:rFonts w:ascii="Calibri" w:hAnsi="Calibri" w:cs="Calibri"/>
          <w:sz w:val="22"/>
          <w:szCs w:val="22"/>
        </w:rPr>
        <w:t xml:space="preserve"> O. (2020). Using the Clinical Frailty Scale in Allocating Scarce Health Care Resources. Canadian Geriatrics Journal, 23(3): 210-215.</w:t>
      </w:r>
    </w:p>
    <w:p w14:paraId="63DC14B7" w14:textId="50A5F6A2" w:rsidR="353A8284" w:rsidRDefault="458CDE08" w:rsidP="4769E595">
      <w:pPr>
        <w:rPr>
          <w:sz w:val="22"/>
          <w:szCs w:val="22"/>
        </w:rPr>
      </w:pPr>
      <w:proofErr w:type="spellStart"/>
      <w:r w:rsidRPr="4769E595">
        <w:rPr>
          <w:b/>
          <w:bCs/>
          <w:sz w:val="22"/>
          <w:szCs w:val="22"/>
          <w:u w:val="single"/>
        </w:rPr>
        <w:t>ProVent</w:t>
      </w:r>
      <w:proofErr w:type="spellEnd"/>
      <w:r w:rsidRPr="4769E595">
        <w:rPr>
          <w:b/>
          <w:bCs/>
          <w:sz w:val="22"/>
          <w:szCs w:val="22"/>
          <w:u w:val="single"/>
        </w:rPr>
        <w:t xml:space="preserve"> Score- calculated at 14 days</w:t>
      </w:r>
      <w:r w:rsidRPr="4769E595">
        <w:rPr>
          <w:sz w:val="22"/>
          <w:szCs w:val="22"/>
        </w:rPr>
        <w:t>:</w:t>
      </w:r>
    </w:p>
    <w:p w14:paraId="6B175795" w14:textId="6A278795" w:rsidR="353A8284" w:rsidRDefault="458CDE08" w:rsidP="4769E595">
      <w:pPr>
        <w:rPr>
          <w:sz w:val="22"/>
          <w:szCs w:val="22"/>
        </w:rPr>
      </w:pPr>
      <w:r w:rsidRPr="4769E595">
        <w:rPr>
          <w:sz w:val="22"/>
          <w:szCs w:val="22"/>
        </w:rPr>
        <w:t>One point for each of Age &gt;50, platelet count &lt;150, requiring hemodialysis, and requiring vasopressors. An additional point is given for age &gt;=65, for a maximum score of 5. Scores of 4-5 at 14 days suggest a mortality rate of ~90% at 1 year. Scores of 2-3 at 14 days suggest a mortality rate of 56-80% at 1 year</w:t>
      </w:r>
      <w:r w:rsidRPr="4769E595">
        <w:rPr>
          <w:noProof/>
          <w:sz w:val="22"/>
          <w:szCs w:val="22"/>
          <w:vertAlign w:val="superscript"/>
        </w:rPr>
        <w:t>22</w:t>
      </w:r>
      <w:r w:rsidRPr="4769E595">
        <w:rPr>
          <w:sz w:val="22"/>
          <w:szCs w:val="22"/>
        </w:rPr>
        <w:t>.</w:t>
      </w:r>
    </w:p>
    <w:p w14:paraId="6B8D98D0" w14:textId="6A278795" w:rsidR="353A8284" w:rsidRDefault="353A8284" w:rsidP="4769E595"/>
    <w:p w14:paraId="5527244F" w14:textId="1097F64B" w:rsidR="00E507C6" w:rsidRPr="00205590" w:rsidRDefault="7D5B1537" w:rsidP="00C8215D">
      <w:pPr>
        <w:pStyle w:val="Heading2"/>
      </w:pPr>
      <w:r w:rsidRPr="4163E8AC">
        <w:t xml:space="preserve">Suggested </w:t>
      </w:r>
      <w:r w:rsidR="212DD2AD" w:rsidRPr="4163E8AC">
        <w:t>order set for symptom management for COVID-19 patients (adapted with permission from Champlain Palliative Symptom Management Medication Order Form - Long Term Care)</w:t>
      </w:r>
    </w:p>
    <w:p w14:paraId="74740049" w14:textId="77777777" w:rsidR="00E507C6" w:rsidRPr="0064741F" w:rsidRDefault="00E507C6" w:rsidP="15F09DB1">
      <w:pPr>
        <w:rPr>
          <w:rFonts w:eastAsia="Arial"/>
          <w:color w:val="000000" w:themeColor="text1"/>
          <w:sz w:val="22"/>
          <w:szCs w:val="22"/>
        </w:rPr>
      </w:pPr>
    </w:p>
    <w:tbl>
      <w:tblPr>
        <w:tblW w:w="0" w:type="auto"/>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Caption w:val="Suggested order set for symptom management for COVID-19 patients "/>
      </w:tblPr>
      <w:tblGrid>
        <w:gridCol w:w="1948"/>
        <w:gridCol w:w="3073"/>
        <w:gridCol w:w="4114"/>
      </w:tblGrid>
      <w:tr w:rsidR="15F09DB1" w14:paraId="3E2E724F" w14:textId="77777777" w:rsidTr="005F4F03">
        <w:trPr>
          <w:cantSplit/>
          <w:trHeight w:val="493"/>
          <w:tblHeader/>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DA18EF" w14:textId="77777777" w:rsidR="15F09DB1" w:rsidRPr="005F4F03" w:rsidRDefault="15F09DB1" w:rsidP="005F4F03">
            <w:pPr>
              <w:spacing w:line="276" w:lineRule="auto"/>
              <w:jc w:val="center"/>
              <w:rPr>
                <w:rFonts w:eastAsia="Arial"/>
                <w:b/>
                <w:color w:val="000000" w:themeColor="text1"/>
                <w:sz w:val="22"/>
                <w:szCs w:val="22"/>
              </w:rPr>
            </w:pPr>
            <w:r w:rsidRPr="005F4F03">
              <w:rPr>
                <w:rFonts w:eastAsia="Arial"/>
                <w:b/>
                <w:color w:val="000000" w:themeColor="text1"/>
                <w:sz w:val="22"/>
                <w:szCs w:val="22"/>
              </w:rPr>
              <w:t>Symptom</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54050F" w14:textId="77777777" w:rsidR="15F09DB1" w:rsidRPr="005F4F03" w:rsidRDefault="15F09DB1" w:rsidP="005F4F03">
            <w:pPr>
              <w:jc w:val="center"/>
              <w:rPr>
                <w:rFonts w:eastAsia="Arial"/>
                <w:b/>
                <w:color w:val="000000" w:themeColor="text1"/>
                <w:sz w:val="22"/>
                <w:szCs w:val="22"/>
              </w:rPr>
            </w:pPr>
            <w:r w:rsidRPr="005F4F03">
              <w:rPr>
                <w:rFonts w:eastAsia="Arial"/>
                <w:b/>
                <w:color w:val="000000" w:themeColor="text1"/>
                <w:sz w:val="22"/>
                <w:szCs w:val="22"/>
              </w:rPr>
              <w:t>Medications</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CDE278" w14:textId="77777777" w:rsidR="15F09DB1" w:rsidRPr="005F4F03" w:rsidRDefault="15F09DB1" w:rsidP="005F4F03">
            <w:pPr>
              <w:jc w:val="center"/>
              <w:rPr>
                <w:rFonts w:eastAsia="Arial"/>
                <w:b/>
                <w:color w:val="000000" w:themeColor="text1"/>
                <w:sz w:val="22"/>
                <w:szCs w:val="22"/>
              </w:rPr>
            </w:pPr>
            <w:r w:rsidRPr="005F4F03">
              <w:rPr>
                <w:rFonts w:eastAsia="Arial"/>
                <w:b/>
                <w:color w:val="000000" w:themeColor="text1"/>
                <w:sz w:val="22"/>
                <w:szCs w:val="22"/>
              </w:rPr>
              <w:t>Recommended starting dose</w:t>
            </w:r>
          </w:p>
        </w:tc>
      </w:tr>
      <w:tr w:rsidR="15F09DB1" w14:paraId="2709237B" w14:textId="77777777" w:rsidTr="15F09DB1">
        <w:trPr>
          <w:trHeight w:val="493"/>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947348" w14:textId="77777777" w:rsidR="15F09DB1" w:rsidRDefault="15F09DB1" w:rsidP="15F09DB1">
            <w:pPr>
              <w:rPr>
                <w:rFonts w:eastAsia="Arial"/>
                <w:color w:val="000000" w:themeColor="text1"/>
                <w:sz w:val="22"/>
                <w:szCs w:val="22"/>
              </w:rPr>
            </w:pPr>
            <w:r w:rsidRPr="15F09DB1">
              <w:rPr>
                <w:rFonts w:eastAsia="Arial"/>
                <w:color w:val="000000" w:themeColor="text1"/>
                <w:sz w:val="22"/>
                <w:szCs w:val="22"/>
              </w:rPr>
              <w:t>Pain/Dyspnea</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37978A" w14:textId="77777777" w:rsidR="15F09DB1" w:rsidRDefault="15F09DB1" w:rsidP="15F09DB1">
            <w:pPr>
              <w:rPr>
                <w:rFonts w:eastAsia="Arial"/>
                <w:color w:val="000000" w:themeColor="text1"/>
                <w:sz w:val="22"/>
                <w:szCs w:val="22"/>
              </w:rPr>
            </w:pPr>
            <w:r w:rsidRPr="15F09DB1">
              <w:rPr>
                <w:rFonts w:eastAsia="Arial"/>
                <w:color w:val="000000" w:themeColor="text1"/>
                <w:sz w:val="22"/>
                <w:szCs w:val="22"/>
              </w:rPr>
              <w:t>Hydromorphone 2mg/ml</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6634C6" w14:textId="77777777" w:rsidR="15F09DB1" w:rsidRDefault="15F09DB1" w:rsidP="15F09DB1">
            <w:pPr>
              <w:rPr>
                <w:rFonts w:eastAsia="Arial"/>
                <w:color w:val="000000" w:themeColor="text1"/>
                <w:sz w:val="22"/>
                <w:szCs w:val="22"/>
              </w:rPr>
            </w:pPr>
            <w:r w:rsidRPr="15F09DB1">
              <w:rPr>
                <w:rFonts w:eastAsia="Arial"/>
                <w:color w:val="000000" w:themeColor="text1"/>
                <w:sz w:val="22"/>
                <w:szCs w:val="22"/>
              </w:rPr>
              <w:t>0.5-1.0 mg SC q30min PRN*</w:t>
            </w:r>
          </w:p>
        </w:tc>
      </w:tr>
      <w:tr w:rsidR="15F09DB1" w14:paraId="371BB8B8" w14:textId="77777777" w:rsidTr="15F09DB1">
        <w:trPr>
          <w:trHeight w:val="493"/>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FC207E" w14:textId="77777777" w:rsidR="15F09DB1" w:rsidRDefault="15F09DB1" w:rsidP="15F09DB1">
            <w:pPr>
              <w:rPr>
                <w:rFonts w:eastAsia="Arial"/>
                <w:color w:val="000000" w:themeColor="text1"/>
                <w:sz w:val="22"/>
                <w:szCs w:val="22"/>
              </w:rPr>
            </w:pPr>
            <w:r w:rsidRPr="15F09DB1">
              <w:rPr>
                <w:rFonts w:eastAsia="Arial"/>
                <w:color w:val="000000" w:themeColor="text1"/>
                <w:sz w:val="22"/>
                <w:szCs w:val="22"/>
              </w:rPr>
              <w:t>Nausea/Delirium</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FC4E23" w14:textId="77777777" w:rsidR="15F09DB1" w:rsidRDefault="15F09DB1" w:rsidP="15F09DB1">
            <w:pPr>
              <w:rPr>
                <w:rFonts w:eastAsia="Arial"/>
                <w:color w:val="000000" w:themeColor="text1"/>
                <w:sz w:val="22"/>
                <w:szCs w:val="22"/>
              </w:rPr>
            </w:pPr>
            <w:r w:rsidRPr="15F09DB1">
              <w:rPr>
                <w:rFonts w:eastAsia="Arial"/>
                <w:color w:val="000000" w:themeColor="text1"/>
                <w:sz w:val="22"/>
                <w:szCs w:val="22"/>
              </w:rPr>
              <w:t>Haloperidol 5mg/ml</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E4106C" w14:textId="77777777" w:rsidR="15F09DB1" w:rsidRDefault="15F09DB1" w:rsidP="15F09DB1">
            <w:pPr>
              <w:rPr>
                <w:rFonts w:eastAsia="Arial"/>
                <w:color w:val="000000" w:themeColor="text1"/>
                <w:sz w:val="22"/>
                <w:szCs w:val="22"/>
              </w:rPr>
            </w:pPr>
            <w:r w:rsidRPr="15F09DB1">
              <w:rPr>
                <w:rFonts w:eastAsia="Arial"/>
                <w:color w:val="000000" w:themeColor="text1"/>
                <w:sz w:val="22"/>
                <w:szCs w:val="22"/>
              </w:rPr>
              <w:t xml:space="preserve">1 mg </w:t>
            </w:r>
            <w:proofErr w:type="spellStart"/>
            <w:r w:rsidRPr="15F09DB1">
              <w:rPr>
                <w:rFonts w:eastAsia="Arial"/>
                <w:color w:val="000000" w:themeColor="text1"/>
                <w:sz w:val="22"/>
                <w:szCs w:val="22"/>
              </w:rPr>
              <w:t>subcut</w:t>
            </w:r>
            <w:proofErr w:type="spellEnd"/>
            <w:r w:rsidRPr="15F09DB1">
              <w:rPr>
                <w:rFonts w:eastAsia="Arial"/>
                <w:color w:val="000000" w:themeColor="text1"/>
                <w:sz w:val="22"/>
                <w:szCs w:val="22"/>
              </w:rPr>
              <w:t xml:space="preserve"> q2hourly </w:t>
            </w:r>
          </w:p>
          <w:p w14:paraId="4105581E" w14:textId="77777777" w:rsidR="15F09DB1" w:rsidRDefault="15F09DB1" w:rsidP="15F09DB1">
            <w:pPr>
              <w:rPr>
                <w:rFonts w:eastAsia="Arial"/>
                <w:color w:val="000000" w:themeColor="text1"/>
                <w:sz w:val="22"/>
                <w:szCs w:val="22"/>
              </w:rPr>
            </w:pPr>
            <w:r w:rsidRPr="15F09DB1">
              <w:rPr>
                <w:rFonts w:eastAsia="Arial"/>
                <w:color w:val="000000" w:themeColor="text1"/>
                <w:sz w:val="22"/>
                <w:szCs w:val="22"/>
              </w:rPr>
              <w:t xml:space="preserve">PRN  ** </w:t>
            </w:r>
          </w:p>
        </w:tc>
      </w:tr>
      <w:tr w:rsidR="15F09DB1" w14:paraId="45E540A3" w14:textId="77777777" w:rsidTr="15F09DB1">
        <w:trPr>
          <w:trHeight w:val="493"/>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80F869" w14:textId="77777777" w:rsidR="15F09DB1" w:rsidRDefault="15F09DB1" w:rsidP="15F09DB1">
            <w:pPr>
              <w:rPr>
                <w:color w:val="000000" w:themeColor="text1"/>
              </w:rPr>
            </w:pPr>
            <w:r w:rsidRPr="15F09DB1">
              <w:rPr>
                <w:rFonts w:eastAsia="Arial"/>
                <w:color w:val="000000" w:themeColor="text1"/>
                <w:sz w:val="22"/>
                <w:szCs w:val="22"/>
              </w:rPr>
              <w:t>Sedation</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5C6A90" w14:textId="77777777" w:rsidR="15F09DB1" w:rsidRDefault="15F09DB1" w:rsidP="15F09DB1">
            <w:pPr>
              <w:rPr>
                <w:color w:val="000000" w:themeColor="text1"/>
              </w:rPr>
            </w:pPr>
            <w:r w:rsidRPr="15F09DB1">
              <w:rPr>
                <w:rFonts w:eastAsia="Arial"/>
                <w:color w:val="000000" w:themeColor="text1"/>
                <w:sz w:val="22"/>
                <w:szCs w:val="22"/>
              </w:rPr>
              <w:t>Midazolam 5 mg/ml</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98963A" w14:textId="77777777" w:rsidR="15F09DB1" w:rsidRDefault="15F09DB1" w:rsidP="15F09DB1">
            <w:pPr>
              <w:rPr>
                <w:color w:val="000000" w:themeColor="text1"/>
              </w:rPr>
            </w:pPr>
            <w:r w:rsidRPr="15F09DB1">
              <w:rPr>
                <w:rFonts w:eastAsia="Arial"/>
                <w:color w:val="000000" w:themeColor="text1"/>
                <w:sz w:val="22"/>
                <w:szCs w:val="22"/>
              </w:rPr>
              <w:t xml:space="preserve">1-2 mg </w:t>
            </w:r>
            <w:proofErr w:type="spellStart"/>
            <w:r w:rsidRPr="15F09DB1">
              <w:rPr>
                <w:rFonts w:eastAsia="Arial"/>
                <w:color w:val="000000" w:themeColor="text1"/>
                <w:sz w:val="22"/>
                <w:szCs w:val="22"/>
              </w:rPr>
              <w:t>subcut</w:t>
            </w:r>
            <w:proofErr w:type="spellEnd"/>
            <w:r w:rsidRPr="15F09DB1">
              <w:rPr>
                <w:rFonts w:eastAsia="Arial"/>
                <w:color w:val="000000" w:themeColor="text1"/>
                <w:sz w:val="22"/>
                <w:szCs w:val="22"/>
              </w:rPr>
              <w:t xml:space="preserve"> q15 minutes PRN ***</w:t>
            </w:r>
          </w:p>
        </w:tc>
      </w:tr>
      <w:tr w:rsidR="15F09DB1" w14:paraId="40033F40" w14:textId="77777777" w:rsidTr="15F09DB1">
        <w:trPr>
          <w:trHeight w:val="493"/>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FDCFEF" w14:textId="77777777" w:rsidR="15F09DB1" w:rsidRDefault="15F09DB1" w:rsidP="15F09DB1">
            <w:pPr>
              <w:rPr>
                <w:color w:val="000000" w:themeColor="text1"/>
              </w:rPr>
            </w:pPr>
            <w:r w:rsidRPr="15F09DB1">
              <w:rPr>
                <w:rFonts w:eastAsia="Arial"/>
                <w:color w:val="000000" w:themeColor="text1"/>
                <w:sz w:val="22"/>
                <w:szCs w:val="22"/>
              </w:rPr>
              <w:t>Secretions</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626E3B" w14:textId="77777777" w:rsidR="15F09DB1" w:rsidRDefault="15F09DB1" w:rsidP="15F09DB1">
            <w:pPr>
              <w:rPr>
                <w:color w:val="000000" w:themeColor="text1"/>
              </w:rPr>
            </w:pPr>
            <w:r w:rsidRPr="15F09DB1">
              <w:rPr>
                <w:rFonts w:eastAsia="Arial"/>
                <w:color w:val="000000" w:themeColor="text1"/>
                <w:sz w:val="22"/>
                <w:szCs w:val="22"/>
              </w:rPr>
              <w:t>Scopolamine 0.4 mg/ml</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9B23D8" w14:textId="77777777" w:rsidR="15F09DB1" w:rsidRDefault="15F09DB1" w:rsidP="15F09DB1">
            <w:pPr>
              <w:rPr>
                <w:color w:val="000000" w:themeColor="text1"/>
              </w:rPr>
            </w:pPr>
            <w:r w:rsidRPr="15F09DB1">
              <w:rPr>
                <w:rFonts w:eastAsia="Arial"/>
                <w:color w:val="000000" w:themeColor="text1"/>
                <w:sz w:val="22"/>
                <w:szCs w:val="22"/>
              </w:rPr>
              <w:t xml:space="preserve">0.4 mg </w:t>
            </w:r>
            <w:proofErr w:type="spellStart"/>
            <w:r w:rsidRPr="15F09DB1">
              <w:rPr>
                <w:rFonts w:eastAsia="Arial"/>
                <w:color w:val="000000" w:themeColor="text1"/>
                <w:sz w:val="22"/>
                <w:szCs w:val="22"/>
              </w:rPr>
              <w:t>subcut</w:t>
            </w:r>
            <w:proofErr w:type="spellEnd"/>
            <w:r w:rsidRPr="15F09DB1">
              <w:rPr>
                <w:rFonts w:eastAsia="Arial"/>
                <w:color w:val="000000" w:themeColor="text1"/>
                <w:sz w:val="22"/>
                <w:szCs w:val="22"/>
              </w:rPr>
              <w:t xml:space="preserve"> q4hourly PRN</w:t>
            </w:r>
          </w:p>
        </w:tc>
      </w:tr>
      <w:tr w:rsidR="15F09DB1" w14:paraId="624C30D6" w14:textId="77777777" w:rsidTr="15F09DB1">
        <w:trPr>
          <w:trHeight w:val="493"/>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9165C6" w14:textId="77777777" w:rsidR="15F09DB1" w:rsidRDefault="15F09DB1" w:rsidP="15F09DB1">
            <w:pPr>
              <w:rPr>
                <w:color w:val="000000" w:themeColor="text1"/>
              </w:rPr>
            </w:pPr>
            <w:r w:rsidRPr="15F09DB1">
              <w:rPr>
                <w:rFonts w:eastAsia="Arial"/>
                <w:color w:val="000000" w:themeColor="text1"/>
                <w:sz w:val="22"/>
                <w:szCs w:val="22"/>
              </w:rPr>
              <w:t>Fever</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F915BA" w14:textId="77777777" w:rsidR="15F09DB1" w:rsidRDefault="15F09DB1" w:rsidP="15F09DB1">
            <w:pPr>
              <w:rPr>
                <w:color w:val="000000" w:themeColor="text1"/>
              </w:rPr>
            </w:pPr>
            <w:r w:rsidRPr="15F09DB1">
              <w:rPr>
                <w:rFonts w:eastAsia="Arial"/>
                <w:color w:val="000000" w:themeColor="text1"/>
                <w:sz w:val="22"/>
                <w:szCs w:val="22"/>
              </w:rPr>
              <w:t>Acetaminophen 650 mg suppositories</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38EEC8" w14:textId="77777777" w:rsidR="15F09DB1" w:rsidRDefault="15F09DB1" w:rsidP="15F09DB1">
            <w:pPr>
              <w:rPr>
                <w:color w:val="000000" w:themeColor="text1"/>
              </w:rPr>
            </w:pPr>
            <w:r w:rsidRPr="15F09DB1">
              <w:rPr>
                <w:rFonts w:eastAsia="Arial"/>
                <w:color w:val="000000" w:themeColor="text1"/>
                <w:sz w:val="22"/>
                <w:szCs w:val="22"/>
              </w:rPr>
              <w:t>Administer q6hourly PR PRN</w:t>
            </w:r>
          </w:p>
        </w:tc>
      </w:tr>
      <w:tr w:rsidR="15F09DB1" w14:paraId="22E37D56" w14:textId="77777777" w:rsidTr="15F09DB1">
        <w:trPr>
          <w:trHeight w:val="493"/>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29C82C" w14:textId="77777777" w:rsidR="15F09DB1" w:rsidRDefault="15F09DB1" w:rsidP="15F09DB1">
            <w:pPr>
              <w:rPr>
                <w:color w:val="000000" w:themeColor="text1"/>
              </w:rPr>
            </w:pPr>
            <w:r w:rsidRPr="15F09DB1">
              <w:rPr>
                <w:rFonts w:eastAsia="Arial"/>
                <w:color w:val="000000" w:themeColor="text1"/>
                <w:sz w:val="22"/>
                <w:szCs w:val="22"/>
              </w:rPr>
              <w:t>Urinary retention</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203E8F" w14:textId="77777777" w:rsidR="15F09DB1" w:rsidRDefault="15F09DB1" w:rsidP="15F09DB1">
            <w:pPr>
              <w:rPr>
                <w:color w:val="000000" w:themeColor="text1"/>
              </w:rPr>
            </w:pPr>
            <w:r w:rsidRPr="15F09DB1">
              <w:rPr>
                <w:rFonts w:eastAsia="Arial"/>
                <w:color w:val="000000" w:themeColor="text1"/>
                <w:sz w:val="22"/>
                <w:szCs w:val="22"/>
              </w:rPr>
              <w:t>Foley catheter 16 Fr</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49F2C4" w14:textId="77777777" w:rsidR="15F09DB1" w:rsidRDefault="15F09DB1" w:rsidP="15F09DB1">
            <w:pPr>
              <w:rPr>
                <w:color w:val="000000" w:themeColor="text1"/>
              </w:rPr>
            </w:pPr>
            <w:r w:rsidRPr="15F09DB1">
              <w:rPr>
                <w:rFonts w:eastAsia="Arial"/>
                <w:color w:val="000000" w:themeColor="text1"/>
                <w:sz w:val="22"/>
                <w:szCs w:val="22"/>
              </w:rPr>
              <w:t>Insert catheter PRN</w:t>
            </w:r>
          </w:p>
        </w:tc>
      </w:tr>
      <w:tr w:rsidR="15F09DB1" w14:paraId="18686FD4" w14:textId="77777777" w:rsidTr="15F09DB1">
        <w:trPr>
          <w:trHeight w:val="253"/>
        </w:trPr>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DD586E" w14:textId="77777777" w:rsidR="15F09DB1" w:rsidRDefault="15F09DB1" w:rsidP="15F09DB1">
            <w:pPr>
              <w:rPr>
                <w:color w:val="000000" w:themeColor="text1"/>
              </w:rPr>
            </w:pPr>
            <w:r w:rsidRPr="15F09DB1">
              <w:rPr>
                <w:rFonts w:eastAsia="Arial"/>
                <w:color w:val="000000" w:themeColor="text1"/>
                <w:sz w:val="22"/>
                <w:szCs w:val="22"/>
              </w:rPr>
              <w:t>Dry mouth</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F9E14F" w14:textId="77777777" w:rsidR="15F09DB1" w:rsidRDefault="15F09DB1" w:rsidP="15F09DB1">
            <w:pPr>
              <w:rPr>
                <w:color w:val="000000" w:themeColor="text1"/>
              </w:rPr>
            </w:pPr>
            <w:r w:rsidRPr="15F09DB1">
              <w:rPr>
                <w:rFonts w:eastAsia="Arial"/>
                <w:color w:val="000000" w:themeColor="text1"/>
                <w:sz w:val="22"/>
                <w:szCs w:val="22"/>
              </w:rPr>
              <w:t>Mouth swabs</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96AD77" w14:textId="77777777" w:rsidR="15F09DB1" w:rsidRDefault="15F09DB1" w:rsidP="15F09DB1">
            <w:pPr>
              <w:rPr>
                <w:color w:val="000000" w:themeColor="text1"/>
              </w:rPr>
            </w:pPr>
            <w:r w:rsidRPr="15F09DB1">
              <w:rPr>
                <w:rFonts w:eastAsia="Arial"/>
                <w:color w:val="000000" w:themeColor="text1"/>
                <w:sz w:val="22"/>
                <w:szCs w:val="22"/>
              </w:rPr>
              <w:t>Mouth care QID and PRN</w:t>
            </w:r>
          </w:p>
        </w:tc>
      </w:tr>
    </w:tbl>
    <w:p w14:paraId="5397F384" w14:textId="77777777" w:rsidR="00E507C6" w:rsidRPr="0064741F" w:rsidRDefault="5FD7AA69" w:rsidP="15F09DB1">
      <w:pPr>
        <w:rPr>
          <w:rFonts w:eastAsia="Arial"/>
          <w:color w:val="000000" w:themeColor="text1"/>
          <w:sz w:val="22"/>
          <w:szCs w:val="22"/>
        </w:rPr>
      </w:pPr>
      <w:r w:rsidRPr="64CAB6C3">
        <w:rPr>
          <w:rFonts w:eastAsia="Arial"/>
          <w:color w:val="000000" w:themeColor="text1"/>
          <w:sz w:val="22"/>
          <w:szCs w:val="22"/>
        </w:rPr>
        <w:t>Please call MD if patient receives more than 2 PRN of hydromorphone in 4 hours.</w:t>
      </w:r>
    </w:p>
    <w:p w14:paraId="7CAF07CC" w14:textId="77777777" w:rsidR="00E507C6" w:rsidRPr="0064741F" w:rsidRDefault="00E507C6" w:rsidP="15F09DB1">
      <w:pPr>
        <w:rPr>
          <w:rFonts w:eastAsia="Arial"/>
          <w:color w:val="000000" w:themeColor="text1"/>
          <w:sz w:val="22"/>
          <w:szCs w:val="22"/>
        </w:rPr>
      </w:pPr>
    </w:p>
    <w:p w14:paraId="2707A285" w14:textId="77777777" w:rsidR="00E507C6" w:rsidRPr="0064741F" w:rsidRDefault="5FD7AA69" w:rsidP="15F09DB1">
      <w:pPr>
        <w:rPr>
          <w:rFonts w:eastAsia="Arial"/>
          <w:color w:val="000000" w:themeColor="text1"/>
          <w:sz w:val="22"/>
          <w:szCs w:val="22"/>
        </w:rPr>
      </w:pPr>
      <w:r w:rsidRPr="64CAB6C3">
        <w:rPr>
          <w:rFonts w:eastAsia="Arial"/>
          <w:color w:val="000000" w:themeColor="text1"/>
          <w:sz w:val="22"/>
          <w:szCs w:val="22"/>
        </w:rPr>
        <w:lastRenderedPageBreak/>
        <w:t>* may start at 0.25mg in a patient who is opioid naive, frail, or elderly</w:t>
      </w:r>
    </w:p>
    <w:p w14:paraId="6EF224BA" w14:textId="77777777" w:rsidR="00E507C6" w:rsidRPr="0064741F" w:rsidRDefault="5FD7AA69" w:rsidP="15F09DB1">
      <w:pPr>
        <w:rPr>
          <w:rFonts w:eastAsia="Arial"/>
          <w:color w:val="000000" w:themeColor="text1"/>
          <w:sz w:val="22"/>
          <w:szCs w:val="22"/>
        </w:rPr>
      </w:pPr>
      <w:r w:rsidRPr="64CAB6C3">
        <w:rPr>
          <w:rFonts w:eastAsia="Arial"/>
          <w:color w:val="000000" w:themeColor="text1"/>
          <w:sz w:val="22"/>
          <w:szCs w:val="22"/>
        </w:rPr>
        <w:t>** relative contraindication in Parkinson’s disease</w:t>
      </w:r>
    </w:p>
    <w:p w14:paraId="51EBBB0B" w14:textId="77777777" w:rsidR="00E507C6" w:rsidRPr="0064741F" w:rsidRDefault="5FD7AA69" w:rsidP="15F09DB1">
      <w:pPr>
        <w:rPr>
          <w:rFonts w:eastAsia="Arial"/>
          <w:sz w:val="22"/>
          <w:szCs w:val="22"/>
        </w:rPr>
      </w:pPr>
      <w:r w:rsidRPr="64CAB6C3">
        <w:rPr>
          <w:rFonts w:eastAsia="Arial"/>
          <w:color w:val="000000" w:themeColor="text1"/>
          <w:sz w:val="22"/>
          <w:szCs w:val="22"/>
        </w:rPr>
        <w:t>*** can use higher doses for refractory dyspnea</w:t>
      </w:r>
    </w:p>
    <w:p w14:paraId="35EFFB0F" w14:textId="77777777" w:rsidR="005F4F03" w:rsidRDefault="005F4F03">
      <w:pPr>
        <w:rPr>
          <w:b/>
          <w:bCs/>
          <w:sz w:val="22"/>
          <w:szCs w:val="22"/>
        </w:rPr>
      </w:pPr>
      <w:r>
        <w:br w:type="page"/>
      </w:r>
    </w:p>
    <w:p w14:paraId="2F5CDFDE" w14:textId="5C2942AE" w:rsidR="00E0406D" w:rsidRPr="007259FF" w:rsidRDefault="00E0406D" w:rsidP="00C8215D">
      <w:pPr>
        <w:pStyle w:val="Heading2"/>
      </w:pPr>
      <w:r w:rsidRPr="007259FF">
        <w:lastRenderedPageBreak/>
        <w:t xml:space="preserve">Appendix </w:t>
      </w:r>
      <w:r w:rsidR="003069CD" w:rsidRPr="007259FF">
        <w:t>D</w:t>
      </w:r>
      <w:r w:rsidRPr="007259FF">
        <w:t xml:space="preserve">: </w:t>
      </w:r>
      <w:r w:rsidR="007259FF" w:rsidRPr="007259FF">
        <w:t xml:space="preserve">Suggested </w:t>
      </w:r>
      <w:r w:rsidRPr="007259FF">
        <w:t>Roles and Accountabilities</w:t>
      </w:r>
    </w:p>
    <w:p w14:paraId="19051367" w14:textId="77777777" w:rsidR="00E0406D" w:rsidRPr="00E0406D" w:rsidRDefault="00E0406D" w:rsidP="00E0406D">
      <w:pPr>
        <w:rPr>
          <w:rFonts w:cstheme="minorHAnsi"/>
          <w:sz w:val="22"/>
          <w:szCs w:val="22"/>
        </w:rPr>
      </w:pPr>
    </w:p>
    <w:tbl>
      <w:tblPr>
        <w:tblStyle w:val="TableGrid"/>
        <w:tblW w:w="0" w:type="auto"/>
        <w:tblLayout w:type="fixed"/>
        <w:tblLook w:val="04A0" w:firstRow="1" w:lastRow="0" w:firstColumn="1" w:lastColumn="0" w:noHBand="0" w:noVBand="1"/>
        <w:tblCaption w:val="Suggested Roles and Accountabilities"/>
      </w:tblPr>
      <w:tblGrid>
        <w:gridCol w:w="3390"/>
        <w:gridCol w:w="5955"/>
      </w:tblGrid>
      <w:tr w:rsidR="00E0406D" w:rsidRPr="00E0406D" w14:paraId="5F6CA4FF" w14:textId="77777777" w:rsidTr="005F4F03">
        <w:trPr>
          <w:cantSplit/>
          <w:tblHeader/>
        </w:trPr>
        <w:tc>
          <w:tcPr>
            <w:tcW w:w="3390" w:type="dxa"/>
            <w:tcBorders>
              <w:top w:val="single" w:sz="8" w:space="0" w:color="auto"/>
              <w:left w:val="single" w:sz="8" w:space="0" w:color="auto"/>
              <w:bottom w:val="single" w:sz="8" w:space="0" w:color="auto"/>
              <w:right w:val="single" w:sz="8" w:space="0" w:color="auto"/>
            </w:tcBorders>
          </w:tcPr>
          <w:p w14:paraId="72C62264" w14:textId="77777777" w:rsidR="00E0406D" w:rsidRPr="00E0406D" w:rsidRDefault="00E0406D" w:rsidP="001C6086">
            <w:pPr>
              <w:jc w:val="center"/>
              <w:rPr>
                <w:rFonts w:eastAsia="Calibri" w:cstheme="minorHAnsi"/>
                <w:b/>
                <w:bCs/>
                <w:sz w:val="22"/>
                <w:szCs w:val="22"/>
              </w:rPr>
            </w:pPr>
            <w:r w:rsidRPr="00E0406D">
              <w:rPr>
                <w:rFonts w:eastAsia="Calibri" w:cstheme="minorHAnsi"/>
                <w:b/>
                <w:bCs/>
                <w:sz w:val="22"/>
                <w:szCs w:val="22"/>
              </w:rPr>
              <w:t>Stakeholder</w:t>
            </w:r>
          </w:p>
        </w:tc>
        <w:tc>
          <w:tcPr>
            <w:tcW w:w="5955" w:type="dxa"/>
            <w:tcBorders>
              <w:top w:val="single" w:sz="8" w:space="0" w:color="auto"/>
              <w:left w:val="single" w:sz="8" w:space="0" w:color="auto"/>
              <w:bottom w:val="single" w:sz="8" w:space="0" w:color="auto"/>
              <w:right w:val="single" w:sz="8" w:space="0" w:color="auto"/>
            </w:tcBorders>
          </w:tcPr>
          <w:p w14:paraId="36225D93" w14:textId="77777777" w:rsidR="00E0406D" w:rsidRPr="00E0406D" w:rsidRDefault="00E0406D" w:rsidP="001C6086">
            <w:pPr>
              <w:jc w:val="center"/>
              <w:rPr>
                <w:rFonts w:eastAsia="Calibri" w:cstheme="minorHAnsi"/>
                <w:b/>
                <w:bCs/>
                <w:sz w:val="22"/>
                <w:szCs w:val="22"/>
              </w:rPr>
            </w:pPr>
            <w:r w:rsidRPr="00E0406D">
              <w:rPr>
                <w:rFonts w:eastAsia="Calibri" w:cstheme="minorHAnsi"/>
                <w:b/>
                <w:bCs/>
                <w:sz w:val="22"/>
                <w:szCs w:val="22"/>
              </w:rPr>
              <w:t>Accountabilities</w:t>
            </w:r>
          </w:p>
        </w:tc>
      </w:tr>
      <w:tr w:rsidR="00E0406D" w:rsidRPr="00E0406D" w14:paraId="3D19FDE0" w14:textId="77777777" w:rsidTr="001C6086">
        <w:tc>
          <w:tcPr>
            <w:tcW w:w="3390" w:type="dxa"/>
            <w:tcBorders>
              <w:top w:val="single" w:sz="8" w:space="0" w:color="auto"/>
              <w:left w:val="single" w:sz="8" w:space="0" w:color="auto"/>
              <w:bottom w:val="single" w:sz="8" w:space="0" w:color="auto"/>
              <w:right w:val="single" w:sz="8" w:space="0" w:color="auto"/>
            </w:tcBorders>
          </w:tcPr>
          <w:p w14:paraId="6602A73F" w14:textId="77777777" w:rsidR="00E0406D" w:rsidRPr="00E0406D" w:rsidRDefault="00E0406D" w:rsidP="001C6086">
            <w:pPr>
              <w:rPr>
                <w:rFonts w:cstheme="minorHAnsi"/>
                <w:sz w:val="22"/>
                <w:szCs w:val="22"/>
              </w:rPr>
            </w:pPr>
            <w:r w:rsidRPr="00E0406D">
              <w:rPr>
                <w:rFonts w:eastAsia="Calibri" w:cstheme="minorHAnsi"/>
                <w:sz w:val="22"/>
                <w:szCs w:val="22"/>
              </w:rPr>
              <w:t>Ministry of Health</w:t>
            </w:r>
          </w:p>
        </w:tc>
        <w:tc>
          <w:tcPr>
            <w:tcW w:w="5955" w:type="dxa"/>
            <w:tcBorders>
              <w:top w:val="single" w:sz="8" w:space="0" w:color="auto"/>
              <w:left w:val="single" w:sz="8" w:space="0" w:color="auto"/>
              <w:bottom w:val="single" w:sz="8" w:space="0" w:color="auto"/>
              <w:right w:val="single" w:sz="8" w:space="0" w:color="auto"/>
            </w:tcBorders>
          </w:tcPr>
          <w:p w14:paraId="0ED70936"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Formally endorse and approve triage framework</w:t>
            </w:r>
          </w:p>
          <w:p w14:paraId="6A89109D"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Communicate triage protocol to public, health care organizations, health care workers, and regulatory bodies</w:t>
            </w:r>
          </w:p>
          <w:p w14:paraId="274F597D"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Ensure mechanism is in place to receive ongoing feedback from public</w:t>
            </w:r>
          </w:p>
          <w:p w14:paraId="2A28CCF4"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Develop education materials for health care organizations and public</w:t>
            </w:r>
          </w:p>
          <w:p w14:paraId="7A4B7D7C"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Ensure legislative protections are in place for health care organizations and health care workers through appropriate emergency orders</w:t>
            </w:r>
          </w:p>
        </w:tc>
      </w:tr>
      <w:tr w:rsidR="00E0406D" w:rsidRPr="00E0406D" w14:paraId="0295A18A" w14:textId="77777777" w:rsidTr="001C6086">
        <w:tc>
          <w:tcPr>
            <w:tcW w:w="3390" w:type="dxa"/>
            <w:tcBorders>
              <w:top w:val="single" w:sz="8" w:space="0" w:color="auto"/>
              <w:left w:val="single" w:sz="8" w:space="0" w:color="auto"/>
              <w:bottom w:val="single" w:sz="8" w:space="0" w:color="auto"/>
              <w:right w:val="single" w:sz="8" w:space="0" w:color="auto"/>
            </w:tcBorders>
          </w:tcPr>
          <w:p w14:paraId="292D4FB8" w14:textId="77777777" w:rsidR="00E0406D" w:rsidRPr="00E0406D" w:rsidRDefault="00E0406D" w:rsidP="001C6086">
            <w:pPr>
              <w:rPr>
                <w:rFonts w:cstheme="minorHAnsi"/>
                <w:sz w:val="22"/>
                <w:szCs w:val="22"/>
              </w:rPr>
            </w:pPr>
            <w:r w:rsidRPr="00E0406D">
              <w:rPr>
                <w:rFonts w:eastAsia="Calibri" w:cstheme="minorHAnsi"/>
                <w:sz w:val="22"/>
                <w:szCs w:val="22"/>
              </w:rPr>
              <w:t>Provincial Critical Care Command Centre</w:t>
            </w:r>
          </w:p>
        </w:tc>
        <w:tc>
          <w:tcPr>
            <w:tcW w:w="5955" w:type="dxa"/>
            <w:tcBorders>
              <w:top w:val="single" w:sz="8" w:space="0" w:color="auto"/>
              <w:left w:val="single" w:sz="8" w:space="0" w:color="auto"/>
              <w:bottom w:val="single" w:sz="8" w:space="0" w:color="auto"/>
              <w:right w:val="single" w:sz="8" w:space="0" w:color="auto"/>
            </w:tcBorders>
          </w:tcPr>
          <w:p w14:paraId="4A581B69"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Alert the Command Table when major surge is imminent, when major surge triage is implemented (including any transitions between levels), and when major surge has ended</w:t>
            </w:r>
          </w:p>
          <w:p w14:paraId="3120759E"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Activate triage protocol based on major surge</w:t>
            </w:r>
          </w:p>
          <w:p w14:paraId="454D0C82" w14:textId="5B27F03D"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Communicate initiation of triage protocol to Regional Critical Care Command Centr</w:t>
            </w:r>
            <w:r w:rsidR="00CF49C2">
              <w:rPr>
                <w:rFonts w:cstheme="minorHAnsi"/>
                <w:sz w:val="22"/>
                <w:szCs w:val="22"/>
              </w:rPr>
              <w:t>e</w:t>
            </w:r>
            <w:r w:rsidRPr="00E0406D">
              <w:rPr>
                <w:rFonts w:cstheme="minorHAnsi"/>
                <w:sz w:val="22"/>
                <w:szCs w:val="22"/>
              </w:rPr>
              <w:t>s</w:t>
            </w:r>
          </w:p>
          <w:p w14:paraId="37E5B676" w14:textId="420FC6E9"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Collect data from Regional Critical Care Command Centre</w:t>
            </w:r>
            <w:r w:rsidR="00CF49C2">
              <w:rPr>
                <w:rFonts w:cstheme="minorHAnsi"/>
                <w:sz w:val="22"/>
                <w:szCs w:val="22"/>
              </w:rPr>
              <w:t>s</w:t>
            </w:r>
          </w:p>
        </w:tc>
      </w:tr>
      <w:tr w:rsidR="00E0406D" w:rsidRPr="00E0406D" w14:paraId="7456A07B" w14:textId="77777777" w:rsidTr="001C6086">
        <w:tc>
          <w:tcPr>
            <w:tcW w:w="3390" w:type="dxa"/>
            <w:tcBorders>
              <w:top w:val="single" w:sz="8" w:space="0" w:color="auto"/>
              <w:left w:val="single" w:sz="8" w:space="0" w:color="auto"/>
              <w:bottom w:val="single" w:sz="8" w:space="0" w:color="auto"/>
              <w:right w:val="single" w:sz="8" w:space="0" w:color="auto"/>
            </w:tcBorders>
          </w:tcPr>
          <w:p w14:paraId="4162E859" w14:textId="77777777" w:rsidR="00E0406D" w:rsidRPr="00E0406D" w:rsidRDefault="00E0406D" w:rsidP="001C6086">
            <w:pPr>
              <w:rPr>
                <w:rFonts w:cstheme="minorHAnsi"/>
                <w:sz w:val="22"/>
                <w:szCs w:val="22"/>
              </w:rPr>
            </w:pPr>
            <w:r w:rsidRPr="00E0406D">
              <w:rPr>
                <w:rFonts w:eastAsia="Calibri" w:cstheme="minorHAnsi"/>
                <w:sz w:val="22"/>
                <w:szCs w:val="22"/>
              </w:rPr>
              <w:t>Regional Critical Care Command Centre</w:t>
            </w:r>
          </w:p>
        </w:tc>
        <w:tc>
          <w:tcPr>
            <w:tcW w:w="5955" w:type="dxa"/>
            <w:tcBorders>
              <w:top w:val="single" w:sz="8" w:space="0" w:color="auto"/>
              <w:left w:val="single" w:sz="8" w:space="0" w:color="auto"/>
              <w:bottom w:val="single" w:sz="8" w:space="0" w:color="auto"/>
              <w:right w:val="single" w:sz="8" w:space="0" w:color="auto"/>
            </w:tcBorders>
          </w:tcPr>
          <w:p w14:paraId="0A78878A"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Implement triage under direction from Provincial Critical Care Command Centre</w:t>
            </w:r>
          </w:p>
          <w:p w14:paraId="4CF45E26"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Determine appropriate level of triage in consultation with Provincial Critical Care Command Centre</w:t>
            </w:r>
          </w:p>
          <w:p w14:paraId="55CCA74D"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Coordinate flow of patients between institutions</w:t>
            </w:r>
          </w:p>
          <w:p w14:paraId="273B2A76"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Monitor bed and ventilator capacity</w:t>
            </w:r>
          </w:p>
          <w:p w14:paraId="23D8C384" w14:textId="77777777"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Communicate regularly with Acute Care Facilities</w:t>
            </w:r>
          </w:p>
          <w:p w14:paraId="4DD15FD7" w14:textId="4EA6A1CA" w:rsidR="00E0406D" w:rsidRPr="00E0406D" w:rsidRDefault="00E0406D" w:rsidP="00CD465C">
            <w:pPr>
              <w:pStyle w:val="ListParagraph"/>
              <w:numPr>
                <w:ilvl w:val="0"/>
                <w:numId w:val="9"/>
              </w:numPr>
              <w:rPr>
                <w:rFonts w:eastAsiaTheme="minorEastAsia" w:cstheme="minorHAnsi"/>
                <w:sz w:val="22"/>
                <w:szCs w:val="22"/>
              </w:rPr>
            </w:pPr>
            <w:r w:rsidRPr="00E0406D">
              <w:rPr>
                <w:rFonts w:cstheme="minorHAnsi"/>
                <w:sz w:val="22"/>
                <w:szCs w:val="22"/>
              </w:rPr>
              <w:t>Collect dat</w:t>
            </w:r>
            <w:r w:rsidR="00CF49C2">
              <w:rPr>
                <w:rFonts w:cstheme="minorHAnsi"/>
                <w:sz w:val="22"/>
                <w:szCs w:val="22"/>
              </w:rPr>
              <w:t>a</w:t>
            </w:r>
            <w:r w:rsidRPr="00E0406D">
              <w:rPr>
                <w:rFonts w:cstheme="minorHAnsi"/>
                <w:sz w:val="22"/>
                <w:szCs w:val="22"/>
              </w:rPr>
              <w:t xml:space="preserve"> from Acute Care Facilities</w:t>
            </w:r>
          </w:p>
        </w:tc>
      </w:tr>
      <w:tr w:rsidR="00E0406D" w:rsidRPr="00E0406D" w14:paraId="1B910514" w14:textId="77777777" w:rsidTr="001C6086">
        <w:tc>
          <w:tcPr>
            <w:tcW w:w="3390" w:type="dxa"/>
            <w:tcBorders>
              <w:top w:val="single" w:sz="8" w:space="0" w:color="auto"/>
              <w:left w:val="single" w:sz="8" w:space="0" w:color="auto"/>
              <w:bottom w:val="single" w:sz="8" w:space="0" w:color="auto"/>
              <w:right w:val="single" w:sz="8" w:space="0" w:color="auto"/>
            </w:tcBorders>
          </w:tcPr>
          <w:p w14:paraId="3A5785AC" w14:textId="77777777" w:rsidR="00E0406D" w:rsidRPr="00E0406D" w:rsidRDefault="00E0406D" w:rsidP="001C6086">
            <w:pPr>
              <w:rPr>
                <w:rFonts w:cstheme="minorHAnsi"/>
                <w:sz w:val="22"/>
                <w:szCs w:val="22"/>
              </w:rPr>
            </w:pPr>
            <w:r w:rsidRPr="00E0406D">
              <w:rPr>
                <w:rFonts w:eastAsia="Calibri" w:cstheme="minorHAnsi"/>
                <w:sz w:val="22"/>
                <w:szCs w:val="22"/>
              </w:rPr>
              <w:t>Acute Care Facilities</w:t>
            </w:r>
          </w:p>
          <w:p w14:paraId="4AAFDC0B" w14:textId="77777777" w:rsidR="00E0406D" w:rsidRPr="00E0406D" w:rsidRDefault="00E0406D" w:rsidP="001C6086">
            <w:pPr>
              <w:rPr>
                <w:rFonts w:cstheme="minorHAnsi"/>
                <w:sz w:val="22"/>
                <w:szCs w:val="22"/>
              </w:rPr>
            </w:pPr>
            <w:r w:rsidRPr="00E0406D">
              <w:rPr>
                <w:rFonts w:eastAsia="Calibri" w:cstheme="minorHAnsi"/>
                <w:sz w:val="22"/>
                <w:szCs w:val="22"/>
              </w:rPr>
              <w:t xml:space="preserve"> </w:t>
            </w:r>
          </w:p>
          <w:p w14:paraId="5799738D" w14:textId="77777777" w:rsidR="00E0406D" w:rsidRPr="00E0406D" w:rsidRDefault="00E0406D" w:rsidP="001C6086">
            <w:pPr>
              <w:rPr>
                <w:rFonts w:cstheme="minorHAnsi"/>
                <w:sz w:val="22"/>
                <w:szCs w:val="22"/>
              </w:rPr>
            </w:pPr>
            <w:r w:rsidRPr="00E0406D">
              <w:rPr>
                <w:rFonts w:eastAsia="Calibri" w:cstheme="minorHAnsi"/>
                <w:i/>
                <w:iCs/>
                <w:sz w:val="22"/>
                <w:szCs w:val="22"/>
              </w:rPr>
              <w:t>Note: This approach could be regional in nature (i.e., a collaborative approach from multiple acute care facilities)</w:t>
            </w:r>
          </w:p>
        </w:tc>
        <w:tc>
          <w:tcPr>
            <w:tcW w:w="5955" w:type="dxa"/>
            <w:tcBorders>
              <w:top w:val="single" w:sz="8" w:space="0" w:color="auto"/>
              <w:left w:val="single" w:sz="8" w:space="0" w:color="auto"/>
              <w:bottom w:val="single" w:sz="8" w:space="0" w:color="auto"/>
              <w:right w:val="single" w:sz="8" w:space="0" w:color="auto"/>
            </w:tcBorders>
          </w:tcPr>
          <w:p w14:paraId="34F2D518" w14:textId="6682C6C1" w:rsidR="00E0406D" w:rsidRPr="00E0406D" w:rsidRDefault="00E0406D" w:rsidP="00CD465C">
            <w:pPr>
              <w:pStyle w:val="ListParagraph"/>
              <w:numPr>
                <w:ilvl w:val="0"/>
                <w:numId w:val="8"/>
              </w:numPr>
              <w:spacing w:line="259" w:lineRule="auto"/>
              <w:rPr>
                <w:rFonts w:eastAsiaTheme="minorEastAsia" w:cstheme="minorHAnsi"/>
                <w:sz w:val="22"/>
                <w:szCs w:val="22"/>
              </w:rPr>
            </w:pPr>
            <w:r w:rsidRPr="00E0406D">
              <w:rPr>
                <w:rFonts w:cstheme="minorHAnsi"/>
                <w:sz w:val="22"/>
                <w:szCs w:val="22"/>
              </w:rPr>
              <w:t xml:space="preserve">Implement triage under direction </w:t>
            </w:r>
            <w:r w:rsidR="00CF49C2">
              <w:rPr>
                <w:rFonts w:cstheme="minorHAnsi"/>
                <w:sz w:val="22"/>
                <w:szCs w:val="22"/>
              </w:rPr>
              <w:t xml:space="preserve">of </w:t>
            </w:r>
            <w:r w:rsidRPr="00E0406D">
              <w:rPr>
                <w:rFonts w:cstheme="minorHAnsi"/>
                <w:sz w:val="22"/>
                <w:szCs w:val="22"/>
              </w:rPr>
              <w:t>Regional Critical Care Incident Command Table</w:t>
            </w:r>
          </w:p>
          <w:p w14:paraId="62E5D0A2" w14:textId="7A30719D" w:rsidR="00E0406D" w:rsidRPr="00E0406D" w:rsidRDefault="00E0406D" w:rsidP="00CD465C">
            <w:pPr>
              <w:pStyle w:val="ListParagraph"/>
              <w:numPr>
                <w:ilvl w:val="0"/>
                <w:numId w:val="8"/>
              </w:numPr>
              <w:rPr>
                <w:rFonts w:eastAsiaTheme="minorEastAsia" w:cstheme="minorHAnsi"/>
                <w:sz w:val="22"/>
                <w:szCs w:val="22"/>
              </w:rPr>
            </w:pPr>
            <w:r w:rsidRPr="00E0406D">
              <w:rPr>
                <w:rFonts w:cstheme="minorHAnsi"/>
                <w:sz w:val="22"/>
                <w:szCs w:val="22"/>
              </w:rPr>
              <w:t>Organize triage teams</w:t>
            </w:r>
          </w:p>
          <w:p w14:paraId="2581CBAB" w14:textId="77777777" w:rsidR="00E0406D" w:rsidRPr="00E0406D" w:rsidRDefault="00E0406D" w:rsidP="00CD465C">
            <w:pPr>
              <w:pStyle w:val="ListParagraph"/>
              <w:numPr>
                <w:ilvl w:val="0"/>
                <w:numId w:val="8"/>
              </w:numPr>
              <w:rPr>
                <w:rFonts w:eastAsiaTheme="minorEastAsia" w:cstheme="minorHAnsi"/>
                <w:sz w:val="22"/>
                <w:szCs w:val="22"/>
              </w:rPr>
            </w:pPr>
            <w:r w:rsidRPr="00E0406D">
              <w:rPr>
                <w:rFonts w:cstheme="minorHAnsi"/>
                <w:sz w:val="22"/>
                <w:szCs w:val="22"/>
              </w:rPr>
              <w:t xml:space="preserve">Ensure daily monitoring of implementation, including data collection </w:t>
            </w:r>
          </w:p>
          <w:p w14:paraId="7F6F1969" w14:textId="7A6845C1" w:rsidR="00E0406D" w:rsidRPr="00E0406D" w:rsidRDefault="00E0406D" w:rsidP="00CD465C">
            <w:pPr>
              <w:pStyle w:val="ListParagraph"/>
              <w:numPr>
                <w:ilvl w:val="0"/>
                <w:numId w:val="8"/>
              </w:numPr>
              <w:rPr>
                <w:rFonts w:eastAsiaTheme="minorEastAsia" w:cstheme="minorHAnsi"/>
                <w:sz w:val="22"/>
                <w:szCs w:val="22"/>
              </w:rPr>
            </w:pPr>
            <w:r w:rsidRPr="00E0406D">
              <w:rPr>
                <w:rFonts w:cstheme="minorHAnsi"/>
                <w:sz w:val="22"/>
                <w:szCs w:val="22"/>
              </w:rPr>
              <w:t>Ensure process is in place for</w:t>
            </w:r>
            <w:r w:rsidR="00CF49C2">
              <w:rPr>
                <w:rFonts w:cstheme="minorHAnsi"/>
                <w:sz w:val="22"/>
                <w:szCs w:val="22"/>
              </w:rPr>
              <w:t xml:space="preserve"> management of</w:t>
            </w:r>
            <w:r w:rsidRPr="00E0406D">
              <w:rPr>
                <w:rFonts w:cstheme="minorHAnsi"/>
                <w:sz w:val="22"/>
                <w:szCs w:val="22"/>
              </w:rPr>
              <w:t xml:space="preserve"> concerns </w:t>
            </w:r>
            <w:r w:rsidR="00CF49C2" w:rsidRPr="00CF49C2">
              <w:rPr>
                <w:rFonts w:cstheme="minorHAnsi"/>
                <w:sz w:val="22"/>
                <w:szCs w:val="22"/>
              </w:rPr>
              <w:t>(e.g., quality review, patient relations)</w:t>
            </w:r>
          </w:p>
          <w:p w14:paraId="642EDD7C" w14:textId="77777777" w:rsidR="00E0406D" w:rsidRPr="00E0406D" w:rsidRDefault="00E0406D" w:rsidP="00CD465C">
            <w:pPr>
              <w:pStyle w:val="ListParagraph"/>
              <w:numPr>
                <w:ilvl w:val="0"/>
                <w:numId w:val="8"/>
              </w:numPr>
              <w:rPr>
                <w:rFonts w:eastAsiaTheme="minorEastAsia" w:cstheme="minorHAnsi"/>
                <w:sz w:val="22"/>
                <w:szCs w:val="22"/>
              </w:rPr>
            </w:pPr>
            <w:r w:rsidRPr="00E0406D">
              <w:rPr>
                <w:rFonts w:cstheme="minorHAnsi"/>
                <w:sz w:val="22"/>
                <w:szCs w:val="22"/>
              </w:rPr>
              <w:t>Provide education to staff and physicians</w:t>
            </w:r>
          </w:p>
          <w:p w14:paraId="461E82E9" w14:textId="37C3AA18" w:rsidR="00E0406D" w:rsidRPr="00CF49C2" w:rsidRDefault="00E0406D" w:rsidP="00CD465C">
            <w:pPr>
              <w:pStyle w:val="ListParagraph"/>
              <w:numPr>
                <w:ilvl w:val="0"/>
                <w:numId w:val="8"/>
              </w:numPr>
              <w:rPr>
                <w:rFonts w:eastAsiaTheme="minorEastAsia" w:cstheme="minorHAnsi"/>
                <w:sz w:val="22"/>
                <w:szCs w:val="22"/>
              </w:rPr>
            </w:pPr>
            <w:r w:rsidRPr="00E0406D">
              <w:rPr>
                <w:rFonts w:cstheme="minorHAnsi"/>
                <w:sz w:val="22"/>
                <w:szCs w:val="22"/>
              </w:rPr>
              <w:t>Provide wellness supports to staff and physicians</w:t>
            </w:r>
          </w:p>
        </w:tc>
      </w:tr>
      <w:tr w:rsidR="00E0406D" w:rsidRPr="00E0406D" w14:paraId="42C6828D" w14:textId="77777777" w:rsidTr="001C6086">
        <w:tc>
          <w:tcPr>
            <w:tcW w:w="3390" w:type="dxa"/>
            <w:tcBorders>
              <w:top w:val="single" w:sz="8" w:space="0" w:color="auto"/>
              <w:left w:val="single" w:sz="8" w:space="0" w:color="auto"/>
              <w:bottom w:val="single" w:sz="8" w:space="0" w:color="auto"/>
              <w:right w:val="single" w:sz="8" w:space="0" w:color="auto"/>
            </w:tcBorders>
          </w:tcPr>
          <w:p w14:paraId="257CA157" w14:textId="77777777" w:rsidR="00E0406D" w:rsidRPr="00E0406D" w:rsidRDefault="00E0406D" w:rsidP="001C6086">
            <w:pPr>
              <w:rPr>
                <w:rFonts w:cstheme="minorHAnsi"/>
                <w:sz w:val="22"/>
                <w:szCs w:val="22"/>
              </w:rPr>
            </w:pPr>
            <w:r w:rsidRPr="00E0406D">
              <w:rPr>
                <w:rFonts w:eastAsia="Calibri" w:cstheme="minorHAnsi"/>
                <w:sz w:val="22"/>
                <w:szCs w:val="22"/>
              </w:rPr>
              <w:t>Triage Teams</w:t>
            </w:r>
          </w:p>
          <w:p w14:paraId="39464E9D" w14:textId="77777777" w:rsidR="00E0406D" w:rsidRPr="00E0406D" w:rsidRDefault="00E0406D" w:rsidP="001C6086">
            <w:pPr>
              <w:rPr>
                <w:rFonts w:cstheme="minorHAnsi"/>
                <w:sz w:val="22"/>
                <w:szCs w:val="22"/>
              </w:rPr>
            </w:pPr>
            <w:r w:rsidRPr="00E0406D">
              <w:rPr>
                <w:rFonts w:eastAsia="Calibri" w:cstheme="minorHAnsi"/>
                <w:sz w:val="22"/>
                <w:szCs w:val="22"/>
              </w:rPr>
              <w:t xml:space="preserve"> </w:t>
            </w:r>
          </w:p>
          <w:p w14:paraId="5942A5DD" w14:textId="77777777" w:rsidR="00E0406D" w:rsidRPr="00E0406D" w:rsidRDefault="00E0406D" w:rsidP="001C6086">
            <w:pPr>
              <w:rPr>
                <w:rFonts w:cstheme="minorHAnsi"/>
                <w:sz w:val="22"/>
                <w:szCs w:val="22"/>
              </w:rPr>
            </w:pPr>
            <w:r w:rsidRPr="00E0406D">
              <w:rPr>
                <w:rFonts w:eastAsia="Calibri" w:cstheme="minorHAnsi"/>
                <w:i/>
                <w:iCs/>
                <w:sz w:val="22"/>
                <w:szCs w:val="22"/>
              </w:rPr>
              <w:t>Note: This approach could be regional in nature (i.e., a collaborative approach from multiple acute care facilities)</w:t>
            </w:r>
          </w:p>
        </w:tc>
        <w:tc>
          <w:tcPr>
            <w:tcW w:w="5955" w:type="dxa"/>
            <w:tcBorders>
              <w:top w:val="single" w:sz="8" w:space="0" w:color="auto"/>
              <w:left w:val="single" w:sz="8" w:space="0" w:color="auto"/>
              <w:bottom w:val="single" w:sz="8" w:space="0" w:color="auto"/>
              <w:right w:val="single" w:sz="8" w:space="0" w:color="auto"/>
            </w:tcBorders>
          </w:tcPr>
          <w:p w14:paraId="6CE1FE67" w14:textId="264B348E" w:rsidR="00E0406D" w:rsidRPr="00E0406D" w:rsidRDefault="00E0406D" w:rsidP="00CD465C">
            <w:pPr>
              <w:pStyle w:val="ListParagraph"/>
              <w:numPr>
                <w:ilvl w:val="0"/>
                <w:numId w:val="7"/>
              </w:numPr>
              <w:rPr>
                <w:rFonts w:eastAsiaTheme="minorEastAsia" w:cstheme="minorHAnsi"/>
                <w:sz w:val="22"/>
                <w:szCs w:val="22"/>
              </w:rPr>
            </w:pPr>
            <w:r w:rsidRPr="00E0406D">
              <w:rPr>
                <w:rFonts w:cstheme="minorHAnsi"/>
                <w:sz w:val="22"/>
                <w:szCs w:val="22"/>
              </w:rPr>
              <w:t xml:space="preserve">Review cases </w:t>
            </w:r>
            <w:r w:rsidR="00CF49C2">
              <w:rPr>
                <w:rFonts w:cstheme="minorHAnsi"/>
                <w:sz w:val="22"/>
                <w:szCs w:val="22"/>
              </w:rPr>
              <w:t>and make decisions</w:t>
            </w:r>
            <w:r w:rsidRPr="00E0406D">
              <w:rPr>
                <w:rFonts w:cstheme="minorHAnsi"/>
                <w:sz w:val="22"/>
                <w:szCs w:val="22"/>
              </w:rPr>
              <w:t xml:space="preserve"> re: eligibility/</w:t>
            </w:r>
            <w:r w:rsidR="00CF49C2">
              <w:rPr>
                <w:rFonts w:cstheme="minorHAnsi"/>
                <w:sz w:val="22"/>
                <w:szCs w:val="22"/>
              </w:rPr>
              <w:t>prioritization</w:t>
            </w:r>
            <w:r w:rsidRPr="00E0406D">
              <w:rPr>
                <w:rFonts w:cstheme="minorHAnsi"/>
                <w:sz w:val="22"/>
                <w:szCs w:val="22"/>
              </w:rPr>
              <w:t xml:space="preserve"> for admission to</w:t>
            </w:r>
            <w:r w:rsidR="00CF49C2">
              <w:rPr>
                <w:rFonts w:cstheme="minorHAnsi"/>
                <w:sz w:val="22"/>
                <w:szCs w:val="22"/>
              </w:rPr>
              <w:t>, or withdrawal from,</w:t>
            </w:r>
            <w:r w:rsidRPr="00E0406D">
              <w:rPr>
                <w:rFonts w:cstheme="minorHAnsi"/>
                <w:sz w:val="22"/>
                <w:szCs w:val="22"/>
              </w:rPr>
              <w:t xml:space="preserve"> critical care, in relation to current level of triage</w:t>
            </w:r>
          </w:p>
          <w:p w14:paraId="014EB01A" w14:textId="084D0C9B" w:rsidR="00E0406D" w:rsidRPr="00E0406D" w:rsidRDefault="00E0406D" w:rsidP="00CD465C">
            <w:pPr>
              <w:pStyle w:val="ListParagraph"/>
              <w:numPr>
                <w:ilvl w:val="0"/>
                <w:numId w:val="7"/>
              </w:numPr>
              <w:rPr>
                <w:rFonts w:eastAsiaTheme="minorEastAsia" w:cstheme="minorHAnsi"/>
                <w:sz w:val="22"/>
                <w:szCs w:val="22"/>
              </w:rPr>
            </w:pPr>
            <w:r w:rsidRPr="00E0406D">
              <w:rPr>
                <w:rFonts w:cstheme="minorHAnsi"/>
                <w:sz w:val="22"/>
                <w:szCs w:val="22"/>
              </w:rPr>
              <w:t>Clearly document decisions</w:t>
            </w:r>
          </w:p>
        </w:tc>
      </w:tr>
      <w:tr w:rsidR="00E0406D" w:rsidRPr="00E0406D" w14:paraId="447B6524" w14:textId="77777777" w:rsidTr="001C6086">
        <w:tc>
          <w:tcPr>
            <w:tcW w:w="3390" w:type="dxa"/>
            <w:tcBorders>
              <w:top w:val="single" w:sz="8" w:space="0" w:color="auto"/>
              <w:left w:val="single" w:sz="8" w:space="0" w:color="auto"/>
              <w:bottom w:val="single" w:sz="8" w:space="0" w:color="auto"/>
              <w:right w:val="single" w:sz="8" w:space="0" w:color="auto"/>
            </w:tcBorders>
          </w:tcPr>
          <w:p w14:paraId="548B4266" w14:textId="77777777" w:rsidR="00E0406D" w:rsidRPr="00E0406D" w:rsidRDefault="00E0406D" w:rsidP="001C6086">
            <w:pPr>
              <w:rPr>
                <w:rFonts w:cstheme="minorHAnsi"/>
                <w:sz w:val="22"/>
                <w:szCs w:val="22"/>
              </w:rPr>
            </w:pPr>
            <w:r w:rsidRPr="00E0406D">
              <w:rPr>
                <w:rFonts w:eastAsia="Calibri" w:cstheme="minorHAnsi"/>
                <w:sz w:val="22"/>
                <w:szCs w:val="22"/>
              </w:rPr>
              <w:lastRenderedPageBreak/>
              <w:t>Physician (MRP)</w:t>
            </w:r>
          </w:p>
        </w:tc>
        <w:tc>
          <w:tcPr>
            <w:tcW w:w="5955" w:type="dxa"/>
            <w:tcBorders>
              <w:top w:val="single" w:sz="8" w:space="0" w:color="auto"/>
              <w:left w:val="single" w:sz="8" w:space="0" w:color="auto"/>
              <w:bottom w:val="single" w:sz="8" w:space="0" w:color="auto"/>
              <w:right w:val="single" w:sz="8" w:space="0" w:color="auto"/>
            </w:tcBorders>
          </w:tcPr>
          <w:p w14:paraId="7D7F2CED"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Clarify patient goals of care</w:t>
            </w:r>
          </w:p>
          <w:p w14:paraId="12EB7331"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Assess patient against triage criteria</w:t>
            </w:r>
          </w:p>
          <w:p w14:paraId="6DAED246" w14:textId="4EAECB92"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Ensure a second</w:t>
            </w:r>
            <w:r w:rsidR="00CF49C2">
              <w:rPr>
                <w:rFonts w:cstheme="minorHAnsi"/>
                <w:sz w:val="22"/>
                <w:szCs w:val="22"/>
              </w:rPr>
              <w:t xml:space="preserve"> independent</w:t>
            </w:r>
            <w:r w:rsidRPr="00E0406D">
              <w:rPr>
                <w:rFonts w:cstheme="minorHAnsi"/>
                <w:sz w:val="22"/>
                <w:szCs w:val="22"/>
              </w:rPr>
              <w:t xml:space="preserve"> physician opinion is obtained</w:t>
            </w:r>
          </w:p>
          <w:p w14:paraId="66C5BF76"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Clearly document decision in the patient’s health record</w:t>
            </w:r>
          </w:p>
          <w:p w14:paraId="4B4F11C5"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 xml:space="preserve">Refer case to triage team for final determination </w:t>
            </w:r>
          </w:p>
          <w:p w14:paraId="33698EBB"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Communicate outcomes to patient, family and/or SDM</w:t>
            </w:r>
          </w:p>
          <w:p w14:paraId="73955F71"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Ensure patient has access to alternative care, including palliative care</w:t>
            </w:r>
          </w:p>
        </w:tc>
      </w:tr>
      <w:tr w:rsidR="00E0406D" w:rsidRPr="00E0406D" w14:paraId="2D4BA591" w14:textId="77777777" w:rsidTr="001C6086">
        <w:tc>
          <w:tcPr>
            <w:tcW w:w="3390" w:type="dxa"/>
            <w:tcBorders>
              <w:top w:val="single" w:sz="8" w:space="0" w:color="auto"/>
              <w:left w:val="single" w:sz="8" w:space="0" w:color="auto"/>
              <w:bottom w:val="single" w:sz="8" w:space="0" w:color="auto"/>
              <w:right w:val="single" w:sz="8" w:space="0" w:color="auto"/>
            </w:tcBorders>
          </w:tcPr>
          <w:p w14:paraId="4CE3EFEB" w14:textId="77777777" w:rsidR="00E0406D" w:rsidRPr="00E0406D" w:rsidRDefault="00E0406D" w:rsidP="001C6086">
            <w:pPr>
              <w:rPr>
                <w:rFonts w:cstheme="minorHAnsi"/>
                <w:sz w:val="22"/>
                <w:szCs w:val="22"/>
              </w:rPr>
            </w:pPr>
            <w:r w:rsidRPr="00E0406D">
              <w:rPr>
                <w:rFonts w:eastAsia="Calibri" w:cstheme="minorHAnsi"/>
                <w:sz w:val="22"/>
                <w:szCs w:val="22"/>
              </w:rPr>
              <w:t>Physicians (second opinion)</w:t>
            </w:r>
          </w:p>
        </w:tc>
        <w:tc>
          <w:tcPr>
            <w:tcW w:w="5955" w:type="dxa"/>
            <w:tcBorders>
              <w:top w:val="single" w:sz="8" w:space="0" w:color="auto"/>
              <w:left w:val="single" w:sz="8" w:space="0" w:color="auto"/>
              <w:bottom w:val="single" w:sz="8" w:space="0" w:color="auto"/>
              <w:right w:val="single" w:sz="8" w:space="0" w:color="auto"/>
            </w:tcBorders>
          </w:tcPr>
          <w:p w14:paraId="5F77DC0B"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Provide second opinion after assessment by MRP</w:t>
            </w:r>
          </w:p>
          <w:p w14:paraId="14416B63"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Assess patient against triage criteria</w:t>
            </w:r>
          </w:p>
          <w:p w14:paraId="2CC18331"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If there is disagreement, attempt to resolve by consensus</w:t>
            </w:r>
          </w:p>
          <w:p w14:paraId="16D2BA8E"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 xml:space="preserve">If disagreement persists, refer to triage team </w:t>
            </w:r>
          </w:p>
        </w:tc>
      </w:tr>
      <w:tr w:rsidR="00E0406D" w:rsidRPr="00E0406D" w14:paraId="3364C360" w14:textId="77777777" w:rsidTr="001C6086">
        <w:tc>
          <w:tcPr>
            <w:tcW w:w="3390" w:type="dxa"/>
            <w:tcBorders>
              <w:top w:val="single" w:sz="8" w:space="0" w:color="auto"/>
              <w:left w:val="single" w:sz="8" w:space="0" w:color="auto"/>
              <w:bottom w:val="single" w:sz="8" w:space="0" w:color="auto"/>
              <w:right w:val="single" w:sz="8" w:space="0" w:color="auto"/>
            </w:tcBorders>
          </w:tcPr>
          <w:p w14:paraId="4A1B6632" w14:textId="77777777" w:rsidR="00E0406D" w:rsidRPr="00E0406D" w:rsidRDefault="00E0406D" w:rsidP="001C6086">
            <w:pPr>
              <w:rPr>
                <w:rFonts w:cstheme="minorHAnsi"/>
                <w:sz w:val="22"/>
                <w:szCs w:val="22"/>
              </w:rPr>
            </w:pPr>
            <w:r w:rsidRPr="00E0406D">
              <w:rPr>
                <w:rFonts w:eastAsia="Calibri" w:cstheme="minorHAnsi"/>
                <w:sz w:val="22"/>
                <w:szCs w:val="22"/>
              </w:rPr>
              <w:t>Appeals Committee</w:t>
            </w:r>
          </w:p>
        </w:tc>
        <w:tc>
          <w:tcPr>
            <w:tcW w:w="5955" w:type="dxa"/>
            <w:tcBorders>
              <w:top w:val="single" w:sz="8" w:space="0" w:color="auto"/>
              <w:left w:val="single" w:sz="8" w:space="0" w:color="auto"/>
              <w:bottom w:val="single" w:sz="8" w:space="0" w:color="auto"/>
              <w:right w:val="single" w:sz="8" w:space="0" w:color="auto"/>
            </w:tcBorders>
          </w:tcPr>
          <w:p w14:paraId="182C60B0"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Establish clear process, membership and criteria for reviewing appeals from patients or SDMs</w:t>
            </w:r>
          </w:p>
          <w:p w14:paraId="7985EF37" w14:textId="22C481D3"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Clearly document decisions</w:t>
            </w:r>
          </w:p>
          <w:p w14:paraId="2237026D" w14:textId="77777777" w:rsidR="00E0406D" w:rsidRPr="00E0406D" w:rsidRDefault="00E0406D" w:rsidP="00CD465C">
            <w:pPr>
              <w:pStyle w:val="ListParagraph"/>
              <w:numPr>
                <w:ilvl w:val="0"/>
                <w:numId w:val="6"/>
              </w:numPr>
              <w:rPr>
                <w:rFonts w:eastAsiaTheme="minorEastAsia" w:cstheme="minorHAnsi"/>
                <w:sz w:val="22"/>
                <w:szCs w:val="22"/>
              </w:rPr>
            </w:pPr>
            <w:r w:rsidRPr="00E0406D">
              <w:rPr>
                <w:rFonts w:cstheme="minorHAnsi"/>
                <w:sz w:val="22"/>
                <w:szCs w:val="22"/>
              </w:rPr>
              <w:t>Communicate outcome of appeal to patient/SDM</w:t>
            </w:r>
          </w:p>
        </w:tc>
      </w:tr>
    </w:tbl>
    <w:p w14:paraId="3827C17C" w14:textId="708A1BCF" w:rsidR="008004DC" w:rsidRDefault="008004DC" w:rsidP="008004DC">
      <w:pPr>
        <w:rPr>
          <w:sz w:val="22"/>
          <w:szCs w:val="22"/>
        </w:rPr>
      </w:pPr>
      <w:bookmarkStart w:id="14" w:name="_GoBack"/>
      <w:bookmarkEnd w:id="14"/>
      <w:r w:rsidRPr="008004DC">
        <w:rPr>
          <w:b/>
          <w:bCs/>
          <w:sz w:val="22"/>
          <w:szCs w:val="22"/>
        </w:rPr>
        <w:t xml:space="preserve"> </w:t>
      </w:r>
      <w:r w:rsidRPr="4769E595">
        <w:rPr>
          <w:b/>
          <w:bCs/>
          <w:sz w:val="22"/>
          <w:szCs w:val="22"/>
        </w:rPr>
        <w:t xml:space="preserve">Prioritization criteria </w:t>
      </w:r>
      <w:r w:rsidRPr="4769E595">
        <w:rPr>
          <w:sz w:val="22"/>
          <w:szCs w:val="22"/>
        </w:rPr>
        <w:t xml:space="preserve">are used to identify those patients who meet eligibility criteria, wish to receive critical care, and have the greatest likelihood of surviving their episode of critical illness (understood as likelihood of survival twelve months from the onset of critical illness based on an evaluation of their clinical presentation at the point of triage). Patients who meet eligibility criteria, wish to receive critical care, but have a high likelihood of dying during or within twelve months from the onset of critical illness based on an evaluation of their clinical presentation at the point of triage would have a lower priority for critical care resources. </w:t>
      </w:r>
    </w:p>
    <w:p w14:paraId="6836734F" w14:textId="77777777" w:rsidR="008004DC" w:rsidRDefault="008004DC" w:rsidP="008004DC">
      <w:pPr>
        <w:rPr>
          <w:sz w:val="22"/>
          <w:szCs w:val="22"/>
        </w:rPr>
      </w:pPr>
    </w:p>
    <w:p w14:paraId="49BD1251" w14:textId="0BF27F8F" w:rsidR="00C963F5" w:rsidRDefault="008004DC" w:rsidP="008004DC">
      <w:r w:rsidRPr="4769E595">
        <w:rPr>
          <w:sz w:val="22"/>
          <w:szCs w:val="22"/>
        </w:rPr>
        <w:t>Patients who meet eligibility criteria and who wish to receive critical care should be assigned one of four colours that identifies their predicted short-term mortality risk:</w:t>
      </w:r>
    </w:p>
    <w:sectPr w:rsidR="00C963F5" w:rsidSect="00286DA4">
      <w:footnotePr>
        <w:numFmt w:val="lowerLetter"/>
      </w:footnotePr>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09BFC2" w16cex:dateUtc="2020-08-25T12:48:00Z"/>
  <w16cex:commentExtensible w16cex:durableId="2AD22237" w16cex:dateUtc="2020-08-25T12:51:00Z"/>
  <w16cex:commentExtensible w16cex:durableId="2CE39096" w16cex:dateUtc="2020-09-09T19:09:34Z"/>
  <w16cex:commentExtensible w16cex:durableId="54114579" w16cex:dateUtc="2020-08-25T13:15:00Z"/>
  <w16cex:commentExtensible w16cex:durableId="0C2E5328" w16cex:dateUtc="2020-08-25T13:53:00Z"/>
  <w16cex:commentExtensible w16cex:durableId="09875020" w16cex:dateUtc="2020-09-09T19:02:58Z"/>
  <w16cex:commentExtensible w16cex:durableId="0C35B3B9" w16cex:dateUtc="2020-09-09T15:52:35Z"/>
  <w16cex:commentExtensible w16cex:durableId="7FF1CAF4" w16cex:dateUtc="2020-08-25T12:52:00Z"/>
  <w16cex:commentExtensible w16cex:durableId="29567185" w16cex:dateUtc="2020-09-09T14:56:23Z"/>
  <w16cex:commentExtensible w16cex:durableId="63EB174A" w16cex:dateUtc="2020-09-09T23:04:56Z"/>
  <w16cex:commentExtensible w16cex:durableId="0D74C4F7" w16cex:dateUtc="2020-09-09T14:28:04Z"/>
  <w16cex:commentExtensible w16cex:durableId="6F501BF6" w16cex:dateUtc="2020-09-09T12:04:14Z"/>
  <w16cex:commentExtensible w16cex:durableId="186E4078" w16cex:dateUtc="2020-09-08T22:58:27Z"/>
  <w16cex:commentExtensible w16cex:durableId="5BE46666" w16cex:dateUtc="2020-09-08T22:56:02Z"/>
  <w16cex:commentExtensible w16cex:durableId="217A073F" w16cex:dateUtc="2020-09-08T22:52:14Z"/>
  <w16cex:commentExtensible w16cex:durableId="7D00830C" w16cex:dateUtc="2020-09-08T22:48:24Z"/>
  <w16cex:commentExtensible w16cex:durableId="7C000286" w16cex:dateUtc="2020-09-10T02:24:11Z"/>
  <w16cex:commentExtensible w16cex:durableId="3E338FF8" w16cex:dateUtc="2020-08-25T13:40:00Z"/>
  <w16cex:commentExtensible w16cex:durableId="4E13175D" w16cex:dateUtc="2020-09-08T22:37:59Z"/>
  <w16cex:commentExtensible w16cex:durableId="5BE4E2D6" w16cex:dateUtc="2020-09-08T22:35:09Z"/>
  <w16cex:commentExtensible w16cex:durableId="7F51A562" w16cex:dateUtc="2020-09-08T22:22:59Z"/>
  <w16cex:commentExtensible w16cex:durableId="3C53DAFD" w16cex:dateUtc="2020-09-10T02:11:18Z"/>
  <w16cex:commentExtensible w16cex:durableId="34CBA0CE" w16cex:dateUtc="2020-09-08T22:20:13Z"/>
  <w16cex:commentExtensible w16cex:durableId="4AAB7529" w16cex:dateUtc="2020-09-10T02:07:28Z"/>
  <w16cex:commentExtensible w16cex:durableId="0A7FBDA9" w16cex:dateUtc="2020-08-25T15:11:00Z"/>
  <w16cex:commentExtensible w16cex:durableId="49F88BA0" w16cex:dateUtc="2020-09-10T01:51:33Z"/>
  <w16cex:commentExtensible w16cex:durableId="0BC3C988" w16cex:dateUtc="2020-09-10T01:41:08Z"/>
  <w16cex:commentExtensible w16cex:durableId="19E57712" w16cex:dateUtc="2020-08-25T13:43:00Z"/>
  <w16cex:commentExtensible w16cex:durableId="007AB58E" w16cex:dateUtc="2020-08-25T12:55:00Z"/>
  <w16cex:commentExtensible w16cex:durableId="535E9D08" w16cex:dateUtc="2020-08-25T13:21:00Z"/>
  <w16cex:commentExtensible w16cex:durableId="0599EC94" w16cex:dateUtc="2020-08-25T13:43:00Z"/>
  <w16cex:commentExtensible w16cex:durableId="4BDD4AF1" w16cex:dateUtc="2020-08-25T13:21:00Z"/>
  <w16cex:commentExtensible w16cex:durableId="145E39C5" w16cex:dateUtc="2020-08-25T13:45:00Z"/>
  <w16cex:commentExtensible w16cex:durableId="331EE05E" w16cex:dateUtc="2020-09-01T15:42:00Z"/>
  <w16cex:commentExtensible w16cex:durableId="1CAE5D8B" w16cex:dateUtc="2020-09-04T15:14:00Z"/>
  <w16cex:commentExtensible w16cex:durableId="7055FB1C" w16cex:dateUtc="2020-08-25T13:23:00Z"/>
  <w16cex:commentExtensible w16cex:durableId="3CE2B8D3" w16cex:dateUtc="2020-08-25T13:07:00Z"/>
  <w16cex:commentExtensible w16cex:durableId="6289AB5F" w16cex:dateUtc="2020-08-25T13:56:00Z"/>
  <w16cex:commentExtensible w16cex:durableId="04E13FDB" w16cex:dateUtc="2020-09-03T17:49:00Z"/>
  <w16cex:commentExtensible w16cex:durableId="75A0BFF0" w16cex:dateUtc="2020-08-25T13:23:00Z"/>
  <w16cex:commentExtensible w16cex:durableId="0E07D2F5" w16cex:dateUtc="2020-08-25T13:46:00Z"/>
  <w16cex:commentExtensible w16cex:durableId="6F705BF1" w16cex:dateUtc="2020-08-28T01:08:00Z"/>
  <w16cex:commentExtensible w16cex:durableId="132F5971" w16cex:dateUtc="2020-09-04T16:39:00Z"/>
  <w16cex:commentExtensible w16cex:durableId="75AFD62C" w16cex:dateUtc="2020-09-08T14:30:29.892Z"/>
  <w16cex:commentExtensible w16cex:durableId="5C3D9DFB" w16cex:dateUtc="2020-08-25T13:46:00Z"/>
  <w16cex:commentExtensible w16cex:durableId="545C4ACF" w16cex:dateUtc="2020-09-08T21:57:00Z"/>
  <w16cex:commentExtensible w16cex:durableId="77A12E82" w16cex:dateUtc="2020-09-08T21:47:56Z"/>
  <w16cex:commentExtensible w16cex:durableId="22335C39" w16cex:dateUtc="2020-08-25T13:59:00Z"/>
  <w16cex:commentExtensible w16cex:durableId="4AE5AD56" w16cex:dateUtc="2020-08-25T13:48:00Z"/>
  <w16cex:commentExtensible w16cex:durableId="7F66B284" w16cex:dateUtc="2020-08-25T14:20:00Z"/>
  <w16cex:commentExtensible w16cex:durableId="40BE7632" w16cex:dateUtc="2020-08-25T15:11:00Z"/>
  <w16cex:commentExtensible w16cex:durableId="430E20E3" w16cex:dateUtc="2020-08-25T14:03:00Z"/>
  <w16cex:commentExtensible w16cex:durableId="2F762196" w16cex:dateUtc="2020-08-25T13:27:00Z"/>
  <w16cex:commentExtensible w16cex:durableId="2B4E993B" w16cex:dateUtc="2020-08-25T13:27:00Z"/>
  <w16cex:commentExtensible w16cex:durableId="3BACA4F7" w16cex:dateUtc="2020-08-25T13:30:00Z"/>
  <w16cex:commentExtensible w16cex:durableId="78A0E8BB" w16cex:dateUtc="2020-09-01T15:33:00Z"/>
  <w16cex:commentExtensible w16cex:durableId="599B1F1A" w16cex:dateUtc="2020-08-25T13:58:00Z"/>
  <w16cex:commentExtensible w16cex:durableId="4EFB47A6" w16cex:dateUtc="2020-08-25T15:10:00Z"/>
  <w16cex:commentExtensible w16cex:durableId="706874A6" w16cex:dateUtc="2020-08-21T15:07:00Z"/>
  <w16cex:commentExtensible w16cex:durableId="01520F0F" w16cex:dateUtc="2020-09-10T01:36:07Z"/>
  <w16cex:commentExtensible w16cex:durableId="276F1AC0" w16cex:dateUtc="2020-09-09T23:42:13Z"/>
  <w16cex:commentExtensible w16cex:durableId="73BDA0E4" w16cex:dateUtc="2020-08-25T15:09:00Z"/>
  <w16cex:commentExtensible w16cex:durableId="40829AFE" w16cex:dateUtc="2020-08-25T13:05:00Z"/>
  <w16cex:commentExtensible w16cex:durableId="5A2093D5" w16cex:dateUtc="2020-09-10T02:26:02Z"/>
  <w16cex:commentExtensible w16cex:durableId="61857AAA" w16cex:dateUtc="2020-09-10T02:41:31Z"/>
  <w16cex:commentExtensible w16cex:durableId="5BD306FE" w16cex:dateUtc="2020-09-10T02:46:03Z"/>
  <w16cex:commentExtensible w16cex:durableId="26239F25" w16cex:dateUtc="2020-09-10T03:26:37Z"/>
  <w16cex:commentExtensible w16cex:durableId="1CD6D162" w16cex:dateUtc="2020-09-10T13:27:09.825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D2D7C" w14:textId="77777777" w:rsidR="00872016" w:rsidRDefault="00872016" w:rsidP="00EC7EAF">
      <w:r>
        <w:separator/>
      </w:r>
    </w:p>
  </w:endnote>
  <w:endnote w:type="continuationSeparator" w:id="0">
    <w:p w14:paraId="271B7405" w14:textId="77777777" w:rsidR="00872016" w:rsidRDefault="00872016" w:rsidP="00EC7EAF">
      <w:r>
        <w:continuationSeparator/>
      </w:r>
    </w:p>
  </w:endnote>
  <w:endnote w:id="1">
    <w:p w14:paraId="3A9A3F90" w14:textId="51AA8545"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sidRPr="00720862">
        <w:rPr>
          <w:rFonts w:cstheme="minorHAnsi"/>
          <w:sz w:val="22"/>
          <w:szCs w:val="22"/>
        </w:rPr>
        <w:t xml:space="preserve">. Critical Care Services Ontario. </w:t>
      </w:r>
      <w:r>
        <w:rPr>
          <w:rFonts w:cstheme="minorHAnsi"/>
          <w:sz w:val="22"/>
          <w:szCs w:val="22"/>
        </w:rPr>
        <w:t xml:space="preserve">(2019). </w:t>
      </w:r>
      <w:r w:rsidRPr="00720862">
        <w:rPr>
          <w:rFonts w:cstheme="minorHAnsi"/>
          <w:sz w:val="22"/>
          <w:szCs w:val="22"/>
        </w:rPr>
        <w:t>Ontario’s Critical Care Surge Capacity Management Plan: Moderate Surge Response Guide Version 2.3</w:t>
      </w:r>
      <w:r w:rsidRPr="00720862">
        <w:rPr>
          <w:rFonts w:cstheme="minorHAnsi"/>
          <w:i/>
          <w:iCs/>
          <w:sz w:val="22"/>
          <w:szCs w:val="22"/>
        </w:rPr>
        <w:t>.</w:t>
      </w:r>
      <w:r w:rsidRPr="00720862">
        <w:rPr>
          <w:rFonts w:cstheme="minorHAnsi"/>
          <w:sz w:val="22"/>
          <w:szCs w:val="22"/>
        </w:rPr>
        <w:t xml:space="preserve"> Government of Ontario, September 2019, p. 6. </w:t>
      </w:r>
      <w:r>
        <w:rPr>
          <w:rFonts w:cstheme="minorHAnsi"/>
          <w:sz w:val="22"/>
          <w:szCs w:val="22"/>
        </w:rPr>
        <w:t xml:space="preserve">Available on the </w:t>
      </w:r>
      <w:hyperlink r:id="rId1" w:history="1">
        <w:r w:rsidRPr="00660951">
          <w:rPr>
            <w:rStyle w:val="Hyperlink"/>
            <w:rFonts w:cstheme="minorHAnsi"/>
            <w:sz w:val="22"/>
            <w:szCs w:val="22"/>
          </w:rPr>
          <w:t>Critical Care Ontario website</w:t>
        </w:r>
      </w:hyperlink>
      <w:r>
        <w:rPr>
          <w:rFonts w:cstheme="minorHAnsi"/>
          <w:sz w:val="22"/>
          <w:szCs w:val="22"/>
        </w:rPr>
        <w:t xml:space="preserve">. </w:t>
      </w:r>
    </w:p>
  </w:endnote>
  <w:endnote w:id="2">
    <w:p w14:paraId="0FAEF1A7" w14:textId="2A463C5E"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r>
        <w:rPr>
          <w:rFonts w:cstheme="minorHAnsi"/>
          <w:sz w:val="22"/>
          <w:szCs w:val="22"/>
        </w:rPr>
        <w:t xml:space="preserve">Rosenbaum L. (2020). </w:t>
      </w:r>
      <w:r w:rsidRPr="00BC4A7D">
        <w:rPr>
          <w:rFonts w:cstheme="minorHAnsi"/>
          <w:sz w:val="22"/>
          <w:szCs w:val="22"/>
        </w:rPr>
        <w:t>Facing Covid-19 in Italy - Ethics, Logistics, and Therapeutics on the Epidemic's Front Line</w:t>
      </w:r>
      <w:r>
        <w:rPr>
          <w:rFonts w:cstheme="minorHAnsi"/>
          <w:sz w:val="22"/>
          <w:szCs w:val="22"/>
        </w:rPr>
        <w:t xml:space="preserve">. </w:t>
      </w:r>
      <w:r w:rsidRPr="00F23197">
        <w:rPr>
          <w:rFonts w:cstheme="minorHAnsi"/>
          <w:i/>
          <w:iCs/>
          <w:sz w:val="22"/>
          <w:szCs w:val="22"/>
        </w:rPr>
        <w:t>New England Journal of Medicine</w:t>
      </w:r>
      <w:r>
        <w:rPr>
          <w:rFonts w:cstheme="minorHAnsi"/>
          <w:sz w:val="22"/>
          <w:szCs w:val="22"/>
        </w:rPr>
        <w:t xml:space="preserve">, </w:t>
      </w:r>
      <w:r w:rsidRPr="00BC4A7D">
        <w:rPr>
          <w:rFonts w:cstheme="minorHAnsi"/>
          <w:sz w:val="22"/>
          <w:szCs w:val="22"/>
        </w:rPr>
        <w:t>382(20):</w:t>
      </w:r>
      <w:r>
        <w:rPr>
          <w:rFonts w:cstheme="minorHAnsi"/>
          <w:sz w:val="22"/>
          <w:szCs w:val="22"/>
        </w:rPr>
        <w:t xml:space="preserve"> </w:t>
      </w:r>
      <w:r w:rsidRPr="00BC4A7D">
        <w:rPr>
          <w:rFonts w:cstheme="minorHAnsi"/>
          <w:sz w:val="22"/>
          <w:szCs w:val="22"/>
        </w:rPr>
        <w:t>1873-1875</w:t>
      </w:r>
      <w:r>
        <w:rPr>
          <w:rFonts w:cstheme="minorHAnsi"/>
          <w:sz w:val="22"/>
          <w:szCs w:val="22"/>
        </w:rPr>
        <w:t>.</w:t>
      </w:r>
    </w:p>
  </w:endnote>
  <w:endnote w:id="3">
    <w:p w14:paraId="6E1D2425" w14:textId="51D1BBFD"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Sharon E, Mace MD, Thom A et al. (2020). Triage. In </w:t>
      </w:r>
      <w:r w:rsidRPr="00720862">
        <w:rPr>
          <w:rFonts w:cstheme="minorHAnsi"/>
          <w:i/>
          <w:iCs/>
          <w:sz w:val="22"/>
          <w:szCs w:val="22"/>
        </w:rPr>
        <w:t>Pediatric Emergency Medicine</w:t>
      </w:r>
      <w:r w:rsidRPr="00720862">
        <w:rPr>
          <w:rFonts w:cstheme="minorHAnsi"/>
          <w:sz w:val="22"/>
          <w:szCs w:val="22"/>
        </w:rPr>
        <w:t>, 2008.</w:t>
      </w:r>
    </w:p>
  </w:endnote>
  <w:endnote w:id="4">
    <w:p w14:paraId="3020A275" w14:textId="549E8A05"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Arya A, Buchman S, Gagnon B, Downar J. (2020). Pandemic palliative care: beyond ventilators and saving lives. </w:t>
      </w:r>
      <w:r>
        <w:rPr>
          <w:rFonts w:cstheme="minorHAnsi"/>
          <w:sz w:val="22"/>
          <w:szCs w:val="22"/>
        </w:rPr>
        <w:t>Canadian Medical Association Journal</w:t>
      </w:r>
      <w:r w:rsidRPr="00720862">
        <w:rPr>
          <w:rFonts w:cstheme="minorHAnsi"/>
          <w:sz w:val="22"/>
          <w:szCs w:val="22"/>
        </w:rPr>
        <w:t>, 192(15): E400-E404.</w:t>
      </w:r>
    </w:p>
  </w:endnote>
  <w:endnote w:id="5">
    <w:p w14:paraId="1DC34473" w14:textId="6725E252"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720862">
        <w:rPr>
          <w:rFonts w:cstheme="minorHAnsi"/>
          <w:sz w:val="22"/>
          <w:szCs w:val="22"/>
        </w:rPr>
        <w:t>Maves</w:t>
      </w:r>
      <w:proofErr w:type="spellEnd"/>
      <w:r w:rsidRPr="00720862">
        <w:rPr>
          <w:rFonts w:cstheme="minorHAnsi"/>
          <w:sz w:val="22"/>
          <w:szCs w:val="22"/>
        </w:rPr>
        <w:t xml:space="preserve"> RC, Downar J, </w:t>
      </w:r>
      <w:proofErr w:type="spellStart"/>
      <w:r w:rsidRPr="00720862">
        <w:rPr>
          <w:rFonts w:cstheme="minorHAnsi"/>
          <w:sz w:val="22"/>
          <w:szCs w:val="22"/>
        </w:rPr>
        <w:t>Dichter</w:t>
      </w:r>
      <w:proofErr w:type="spellEnd"/>
      <w:r w:rsidRPr="00720862">
        <w:rPr>
          <w:rFonts w:cstheme="minorHAnsi"/>
          <w:sz w:val="22"/>
          <w:szCs w:val="22"/>
        </w:rPr>
        <w:t xml:space="preserve"> JR et al., on behalf of the ACCP Task Force for Mass Critical Care. (2020). Triage of Scarce Critical Care Resources in COVID-19 An Implementation Guide for Regional Allocation </w:t>
      </w:r>
      <w:r>
        <w:rPr>
          <w:rFonts w:cstheme="minorHAnsi"/>
          <w:sz w:val="22"/>
          <w:szCs w:val="22"/>
        </w:rPr>
        <w:t>a</w:t>
      </w:r>
      <w:r w:rsidRPr="00720862">
        <w:rPr>
          <w:rFonts w:cstheme="minorHAnsi"/>
          <w:sz w:val="22"/>
          <w:szCs w:val="22"/>
        </w:rPr>
        <w:t xml:space="preserve">n Expert Panel Report of the Task Force for Mass Critical Care and the American College of Chest Physicians. </w:t>
      </w:r>
      <w:r w:rsidRPr="00F23197">
        <w:rPr>
          <w:rFonts w:cstheme="minorHAnsi"/>
          <w:i/>
          <w:iCs/>
          <w:sz w:val="22"/>
          <w:szCs w:val="22"/>
        </w:rPr>
        <w:t>CHEST</w:t>
      </w:r>
      <w:r w:rsidRPr="00720862">
        <w:rPr>
          <w:rFonts w:cstheme="minorHAnsi"/>
          <w:sz w:val="22"/>
          <w:szCs w:val="22"/>
        </w:rPr>
        <w:t>, 158(1): P212-225.</w:t>
      </w:r>
    </w:p>
  </w:endnote>
  <w:endnote w:id="6">
    <w:p w14:paraId="7F0D51B1" w14:textId="01A0E1C1"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Winsor S, </w:t>
      </w:r>
      <w:proofErr w:type="spellStart"/>
      <w:r w:rsidRPr="00720862">
        <w:rPr>
          <w:rFonts w:cstheme="minorHAnsi"/>
          <w:sz w:val="22"/>
          <w:szCs w:val="22"/>
        </w:rPr>
        <w:t>Bensimon</w:t>
      </w:r>
      <w:proofErr w:type="spellEnd"/>
      <w:r w:rsidRPr="00720862">
        <w:rPr>
          <w:rFonts w:cstheme="minorHAnsi"/>
          <w:sz w:val="22"/>
          <w:szCs w:val="22"/>
        </w:rPr>
        <w:t xml:space="preserve"> CM, </w:t>
      </w:r>
      <w:proofErr w:type="spellStart"/>
      <w:r w:rsidRPr="00720862">
        <w:rPr>
          <w:rFonts w:cstheme="minorHAnsi"/>
          <w:sz w:val="22"/>
          <w:szCs w:val="22"/>
        </w:rPr>
        <w:t>Sibbald</w:t>
      </w:r>
      <w:proofErr w:type="spellEnd"/>
      <w:r w:rsidRPr="00720862">
        <w:rPr>
          <w:rFonts w:cstheme="minorHAnsi"/>
          <w:sz w:val="22"/>
          <w:szCs w:val="22"/>
        </w:rPr>
        <w:t xml:space="preserve"> R, et al.</w:t>
      </w:r>
      <w:r>
        <w:rPr>
          <w:rFonts w:cstheme="minorHAnsi"/>
          <w:sz w:val="22"/>
          <w:szCs w:val="22"/>
        </w:rPr>
        <w:t xml:space="preserve"> (2014).</w:t>
      </w:r>
      <w:r w:rsidRPr="00720862">
        <w:rPr>
          <w:rFonts w:cstheme="minorHAnsi"/>
          <w:sz w:val="22"/>
          <w:szCs w:val="22"/>
        </w:rPr>
        <w:t xml:space="preserve"> Identifying prioritization criteria to supplement critical care triage protocols for the allocation of ventilators during a pandemic influenza. </w:t>
      </w:r>
      <w:r>
        <w:rPr>
          <w:rFonts w:cstheme="minorHAnsi"/>
          <w:sz w:val="22"/>
          <w:szCs w:val="22"/>
        </w:rPr>
        <w:t xml:space="preserve">Healthcare Quarterly, </w:t>
      </w:r>
      <w:r w:rsidRPr="00720862">
        <w:rPr>
          <w:rFonts w:cstheme="minorHAnsi"/>
          <w:sz w:val="22"/>
          <w:szCs w:val="22"/>
        </w:rPr>
        <w:t>17(2):</w:t>
      </w:r>
      <w:r>
        <w:rPr>
          <w:rFonts w:cstheme="minorHAnsi"/>
          <w:sz w:val="22"/>
          <w:szCs w:val="22"/>
        </w:rPr>
        <w:t xml:space="preserve"> </w:t>
      </w:r>
      <w:r w:rsidRPr="00720862">
        <w:rPr>
          <w:rFonts w:cstheme="minorHAnsi"/>
          <w:sz w:val="22"/>
          <w:szCs w:val="22"/>
        </w:rPr>
        <w:t>44-51.</w:t>
      </w:r>
    </w:p>
  </w:endnote>
  <w:endnote w:id="7">
    <w:p w14:paraId="7FDC3240" w14:textId="05A91887"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Frolic A, Kata A, Kraus P. (2009). Development of a critical care triage protocol for pandemic influenza: integrating ethics, evidence and effectiveness. </w:t>
      </w:r>
      <w:r w:rsidRPr="00216125">
        <w:rPr>
          <w:rFonts w:cstheme="minorHAnsi"/>
          <w:i/>
          <w:iCs/>
          <w:sz w:val="22"/>
          <w:szCs w:val="22"/>
        </w:rPr>
        <w:t>Healthcare Quarterly</w:t>
      </w:r>
      <w:r w:rsidRPr="00720862">
        <w:rPr>
          <w:rFonts w:cstheme="minorHAnsi"/>
          <w:sz w:val="22"/>
          <w:szCs w:val="22"/>
        </w:rPr>
        <w:t>, 12(4):</w:t>
      </w:r>
      <w:r>
        <w:rPr>
          <w:rFonts w:cstheme="minorHAnsi"/>
          <w:sz w:val="22"/>
          <w:szCs w:val="22"/>
        </w:rPr>
        <w:t xml:space="preserve"> </w:t>
      </w:r>
      <w:r w:rsidRPr="00720862">
        <w:rPr>
          <w:rFonts w:cstheme="minorHAnsi"/>
          <w:sz w:val="22"/>
          <w:szCs w:val="22"/>
        </w:rPr>
        <w:t>54-62.</w:t>
      </w:r>
    </w:p>
  </w:endnote>
  <w:endnote w:id="8">
    <w:p w14:paraId="764C5917" w14:textId="456FDE8E"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r>
        <w:rPr>
          <w:rFonts w:cstheme="minorHAnsi"/>
          <w:sz w:val="22"/>
          <w:szCs w:val="22"/>
        </w:rPr>
        <w:t xml:space="preserve">University of Toronto Joint Centre for Bioethics. (2005). </w:t>
      </w:r>
      <w:r w:rsidRPr="00720862">
        <w:rPr>
          <w:rFonts w:cstheme="minorHAnsi"/>
          <w:sz w:val="22"/>
          <w:szCs w:val="22"/>
        </w:rPr>
        <w:t xml:space="preserve">Stand on guard for thee: ethical considerations in preparedness planning for pandemic influenza. </w:t>
      </w:r>
      <w:r>
        <w:rPr>
          <w:rFonts w:cstheme="minorHAnsi"/>
          <w:sz w:val="22"/>
          <w:szCs w:val="22"/>
        </w:rPr>
        <w:t xml:space="preserve">Available on </w:t>
      </w:r>
      <w:hyperlink r:id="rId2" w:history="1">
        <w:r w:rsidRPr="00660951">
          <w:rPr>
            <w:rStyle w:val="Hyperlink"/>
            <w:rFonts w:cstheme="minorHAnsi"/>
            <w:sz w:val="22"/>
            <w:szCs w:val="22"/>
          </w:rPr>
          <w:t>the University of Toronto Joint Centre for Bioethics website</w:t>
        </w:r>
      </w:hyperlink>
      <w:r>
        <w:rPr>
          <w:rFonts w:cstheme="minorHAnsi"/>
          <w:sz w:val="22"/>
          <w:szCs w:val="22"/>
        </w:rPr>
        <w:t xml:space="preserve">. </w:t>
      </w:r>
    </w:p>
  </w:endnote>
  <w:endnote w:id="9">
    <w:p w14:paraId="25CB26EA" w14:textId="7837DA7C"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720862">
        <w:rPr>
          <w:rFonts w:cstheme="minorHAnsi"/>
          <w:sz w:val="22"/>
          <w:szCs w:val="22"/>
        </w:rPr>
        <w:t>Ritvo</w:t>
      </w:r>
      <w:proofErr w:type="spellEnd"/>
      <w:r w:rsidRPr="00720862">
        <w:rPr>
          <w:rFonts w:cstheme="minorHAnsi"/>
          <w:sz w:val="22"/>
          <w:szCs w:val="22"/>
        </w:rPr>
        <w:t xml:space="preserve"> P, Perez DF, Wilson K, et al. (2013). Canadian national surveys on pandemic influenza preparations: pre-pandemic and </w:t>
      </w:r>
      <w:proofErr w:type="spellStart"/>
      <w:r w:rsidRPr="00720862">
        <w:rPr>
          <w:rFonts w:cstheme="minorHAnsi"/>
          <w:sz w:val="22"/>
          <w:szCs w:val="22"/>
        </w:rPr>
        <w:t>peri</w:t>
      </w:r>
      <w:proofErr w:type="spellEnd"/>
      <w:r w:rsidRPr="00720862">
        <w:rPr>
          <w:rFonts w:cstheme="minorHAnsi"/>
          <w:sz w:val="22"/>
          <w:szCs w:val="22"/>
        </w:rPr>
        <w:t xml:space="preserve">-pandemic findings. </w:t>
      </w:r>
      <w:r w:rsidRPr="00216125">
        <w:rPr>
          <w:rFonts w:cstheme="minorHAnsi"/>
          <w:i/>
          <w:iCs/>
          <w:sz w:val="22"/>
          <w:szCs w:val="22"/>
        </w:rPr>
        <w:t>BMC Public Health</w:t>
      </w:r>
      <w:r w:rsidRPr="00720862">
        <w:rPr>
          <w:rFonts w:cstheme="minorHAnsi"/>
          <w:sz w:val="22"/>
          <w:szCs w:val="22"/>
        </w:rPr>
        <w:t>, 13: 271.</w:t>
      </w:r>
    </w:p>
  </w:endnote>
  <w:endnote w:id="10">
    <w:p w14:paraId="46DCDC14" w14:textId="11C5CC92"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Silva DS, Gibson JL, Robertson A, et al. (2012). Priority setting of ICU resources in an influenza pandemic: a qualitative study of the Canadian public's perspectives. </w:t>
      </w:r>
      <w:r w:rsidRPr="00216125">
        <w:rPr>
          <w:rFonts w:cstheme="minorHAnsi"/>
          <w:i/>
          <w:iCs/>
          <w:sz w:val="22"/>
          <w:szCs w:val="22"/>
        </w:rPr>
        <w:t>BMC Public Health</w:t>
      </w:r>
      <w:r w:rsidRPr="00720862">
        <w:rPr>
          <w:rFonts w:cstheme="minorHAnsi"/>
          <w:sz w:val="22"/>
          <w:szCs w:val="22"/>
        </w:rPr>
        <w:t>, 12: 241.</w:t>
      </w:r>
    </w:p>
  </w:endnote>
  <w:endnote w:id="11">
    <w:p w14:paraId="634503D8" w14:textId="7BA028D2"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Disability Rights Education &amp; Defense Fund. (2020). Applying HHS’s Guidance for States and Health Care Providers on Avoiding Disability-Based Discrimination in </w:t>
      </w:r>
      <w:r>
        <w:rPr>
          <w:rFonts w:cstheme="minorHAnsi"/>
          <w:sz w:val="22"/>
          <w:szCs w:val="22"/>
        </w:rPr>
        <w:t xml:space="preserve">Treatment Rationing. Available on the </w:t>
      </w:r>
      <w:hyperlink r:id="rId3" w:history="1">
        <w:r w:rsidRPr="001407D1">
          <w:rPr>
            <w:rStyle w:val="Hyperlink"/>
            <w:rFonts w:cstheme="minorHAnsi"/>
            <w:sz w:val="22"/>
            <w:szCs w:val="22"/>
          </w:rPr>
          <w:t>Disability Rights Education &amp; Defense Fund website</w:t>
        </w:r>
      </w:hyperlink>
      <w:r>
        <w:rPr>
          <w:rFonts w:cstheme="minorHAnsi"/>
          <w:sz w:val="22"/>
          <w:szCs w:val="22"/>
        </w:rPr>
        <w:t xml:space="preserve">. </w:t>
      </w:r>
    </w:p>
  </w:endnote>
  <w:endnote w:id="12">
    <w:p w14:paraId="1BBAC917" w14:textId="0E54A63F"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The Arc, Judge David L. </w:t>
      </w:r>
      <w:proofErr w:type="spellStart"/>
      <w:r w:rsidRPr="00720862">
        <w:rPr>
          <w:rFonts w:cstheme="minorHAnsi"/>
          <w:sz w:val="22"/>
          <w:szCs w:val="22"/>
        </w:rPr>
        <w:t>Bazelon</w:t>
      </w:r>
      <w:proofErr w:type="spellEnd"/>
      <w:r w:rsidRPr="00720862">
        <w:rPr>
          <w:rFonts w:cstheme="minorHAnsi"/>
          <w:sz w:val="22"/>
          <w:szCs w:val="22"/>
        </w:rPr>
        <w:t xml:space="preserve"> Center for Mental Health Law, Center for Public Representation, Autistic Self Advocacy Network. (2020). Evaluation Framework for Crisis Standard of Care Plans. Available</w:t>
      </w:r>
      <w:r>
        <w:rPr>
          <w:rFonts w:cstheme="minorHAnsi"/>
          <w:sz w:val="22"/>
          <w:szCs w:val="22"/>
        </w:rPr>
        <w:t xml:space="preserve"> on the </w:t>
      </w:r>
      <w:hyperlink r:id="rId4" w:history="1">
        <w:proofErr w:type="spellStart"/>
        <w:r w:rsidRPr="001407D1">
          <w:rPr>
            <w:rStyle w:val="Hyperlink"/>
            <w:rFonts w:cstheme="minorHAnsi"/>
            <w:sz w:val="22"/>
            <w:szCs w:val="22"/>
          </w:rPr>
          <w:t>Bazelon</w:t>
        </w:r>
        <w:proofErr w:type="spellEnd"/>
        <w:r w:rsidRPr="001407D1">
          <w:rPr>
            <w:rStyle w:val="Hyperlink"/>
            <w:rFonts w:cstheme="minorHAnsi"/>
            <w:sz w:val="22"/>
            <w:szCs w:val="22"/>
          </w:rPr>
          <w:t xml:space="preserve"> Center for Mental Health Law website</w:t>
        </w:r>
      </w:hyperlink>
      <w:r>
        <w:rPr>
          <w:rFonts w:cstheme="minorHAnsi"/>
          <w:sz w:val="22"/>
          <w:szCs w:val="22"/>
        </w:rPr>
        <w:t>.</w:t>
      </w:r>
      <w:r w:rsidRPr="00720862">
        <w:rPr>
          <w:rFonts w:cstheme="minorHAnsi"/>
          <w:sz w:val="22"/>
          <w:szCs w:val="22"/>
        </w:rPr>
        <w:t xml:space="preserve"> </w:t>
      </w:r>
    </w:p>
  </w:endnote>
  <w:endnote w:id="13">
    <w:p w14:paraId="75EC8BEE" w14:textId="6E405533"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Kirby J. (2010). Enhancing the fairness of pandemic critical care triage. </w:t>
      </w:r>
      <w:r w:rsidRPr="00216125">
        <w:rPr>
          <w:rFonts w:cstheme="minorHAnsi"/>
          <w:i/>
          <w:iCs/>
          <w:sz w:val="22"/>
          <w:szCs w:val="22"/>
        </w:rPr>
        <w:t>Journal of Medical Ethics</w:t>
      </w:r>
      <w:r>
        <w:rPr>
          <w:rFonts w:cstheme="minorHAnsi"/>
          <w:sz w:val="22"/>
          <w:szCs w:val="22"/>
        </w:rPr>
        <w:t xml:space="preserve">, </w:t>
      </w:r>
      <w:r w:rsidRPr="00720862">
        <w:rPr>
          <w:rFonts w:cstheme="minorHAnsi"/>
          <w:sz w:val="22"/>
          <w:szCs w:val="22"/>
        </w:rPr>
        <w:t>36(12): 758-761.</w:t>
      </w:r>
    </w:p>
  </w:endnote>
  <w:endnote w:id="14">
    <w:p w14:paraId="2B268FFD" w14:textId="1D778AFE"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UNESCO. (2006). Universal declaration on bioethics and human rights. Paris. June 2006. Available</w:t>
      </w:r>
      <w:r>
        <w:rPr>
          <w:rFonts w:cstheme="minorHAnsi"/>
          <w:sz w:val="22"/>
          <w:szCs w:val="22"/>
        </w:rPr>
        <w:t xml:space="preserve"> on the </w:t>
      </w:r>
      <w:hyperlink r:id="rId5" w:history="1">
        <w:r w:rsidRPr="001407D1">
          <w:rPr>
            <w:rStyle w:val="Hyperlink"/>
            <w:rFonts w:cstheme="minorHAnsi"/>
            <w:sz w:val="22"/>
            <w:szCs w:val="22"/>
          </w:rPr>
          <w:t>UNESDOC Digital Library</w:t>
        </w:r>
      </w:hyperlink>
      <w:r>
        <w:rPr>
          <w:rFonts w:cstheme="minorHAnsi"/>
          <w:sz w:val="22"/>
          <w:szCs w:val="22"/>
        </w:rPr>
        <w:t>.</w:t>
      </w:r>
      <w:r w:rsidRPr="00720862">
        <w:rPr>
          <w:rFonts w:cstheme="minorHAnsi"/>
          <w:sz w:val="22"/>
          <w:szCs w:val="22"/>
        </w:rPr>
        <w:t xml:space="preserve"> </w:t>
      </w:r>
    </w:p>
  </w:endnote>
  <w:endnote w:id="15">
    <w:p w14:paraId="3F93AB7B" w14:textId="2297A096"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Nixon S, Forman L. (2008). Exploring the Synergies between Human Rights and Public Health Ethics: A Whole Greater Than the Sum of Its Parts? </w:t>
      </w:r>
      <w:r w:rsidRPr="00216125">
        <w:rPr>
          <w:rFonts w:cstheme="minorHAnsi"/>
          <w:i/>
          <w:iCs/>
          <w:sz w:val="22"/>
          <w:szCs w:val="22"/>
        </w:rPr>
        <w:t>BMC International Health and Human Rights</w:t>
      </w:r>
      <w:r w:rsidRPr="00720862">
        <w:rPr>
          <w:rFonts w:cstheme="minorHAnsi"/>
          <w:sz w:val="22"/>
          <w:szCs w:val="22"/>
        </w:rPr>
        <w:t>, 8(2): 1-9.</w:t>
      </w:r>
    </w:p>
  </w:endnote>
  <w:endnote w:id="16">
    <w:p w14:paraId="7A061D6F" w14:textId="2DF86652"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Gibson J, Forman L, Nixon S. (2015). Bioethics and the Right to Health: Advancing a Complementary Agenda. </w:t>
      </w:r>
      <w:r w:rsidRPr="00216125">
        <w:rPr>
          <w:rFonts w:cstheme="minorHAnsi"/>
          <w:i/>
          <w:iCs/>
          <w:sz w:val="22"/>
          <w:szCs w:val="22"/>
        </w:rPr>
        <w:t>Health and Human Rights Journal</w:t>
      </w:r>
      <w:r w:rsidRPr="00720862">
        <w:rPr>
          <w:rFonts w:cstheme="minorHAnsi"/>
          <w:sz w:val="22"/>
          <w:szCs w:val="22"/>
        </w:rPr>
        <w:t>, 17(1): 1-5.</w:t>
      </w:r>
    </w:p>
  </w:endnote>
  <w:endnote w:id="17">
    <w:p w14:paraId="19FE1457" w14:textId="4C3A5358"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Ontario Human Rights Code, section 11(1) and (2).</w:t>
      </w:r>
    </w:p>
  </w:endnote>
  <w:endnote w:id="18">
    <w:p w14:paraId="42623531" w14:textId="348EAEBD"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Ontario Human Rights Commission. (2013). Guide to your rights and responsibilities under the Human Rights Code (2013), p.22. Available</w:t>
      </w:r>
      <w:r>
        <w:rPr>
          <w:rFonts w:cstheme="minorHAnsi"/>
          <w:sz w:val="22"/>
          <w:szCs w:val="22"/>
        </w:rPr>
        <w:t xml:space="preserve"> on the </w:t>
      </w:r>
      <w:hyperlink r:id="rId6" w:history="1">
        <w:r w:rsidRPr="001407D1">
          <w:rPr>
            <w:rStyle w:val="Hyperlink"/>
            <w:rFonts w:cstheme="minorHAnsi"/>
            <w:sz w:val="22"/>
            <w:szCs w:val="22"/>
          </w:rPr>
          <w:t>Ontario Human Rights Commission website</w:t>
        </w:r>
      </w:hyperlink>
      <w:r>
        <w:rPr>
          <w:rFonts w:cstheme="minorHAnsi"/>
          <w:sz w:val="22"/>
          <w:szCs w:val="22"/>
        </w:rPr>
        <w:t xml:space="preserve">. </w:t>
      </w:r>
      <w:r w:rsidRPr="00720862">
        <w:rPr>
          <w:rFonts w:cstheme="minorHAnsi"/>
          <w:sz w:val="22"/>
          <w:szCs w:val="22"/>
        </w:rPr>
        <w:t xml:space="preserve"> </w:t>
      </w:r>
    </w:p>
  </w:endnote>
  <w:endnote w:id="19">
    <w:p w14:paraId="36CEC769" w14:textId="3E4782A1"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United Nations Economic and Social Council Committee on Economic, Social and Cultural Rights, “General Comment No. 20: Non-discrimination in economic, social and cultural rights (art. 2, para. 2, of the International Covenant on Economic, Social and Cultural Rights),” E/C.12/GC/20, 2 July 2009, para. 2.</w:t>
      </w:r>
    </w:p>
  </w:endnote>
  <w:endnote w:id="20">
    <w:p w14:paraId="62268CF8" w14:textId="586B3394"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United Nations Economic and Social Council Committee on Economic, Social and Cultural Rights, “General Comment No. 20: Non-discrimination in economic, social and cultural rights (art. 2, para. 2, of the International Covenant on Economic, Social and Cultural Rights),” E/C.12/GC/20, 2 July 2009, para. 8.b.</w:t>
      </w:r>
    </w:p>
  </w:endnote>
  <w:endnote w:id="21">
    <w:p w14:paraId="4157F217" w14:textId="23A68D7C"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United Nations Economic and Social Council Committee on Economic, Social and Cultural Rights, “General Comment No. 20: Non-discrimination in economic, social and cultural rights (art. 2, para. 2, of the International Covenant on Economic, Social and Cultural Rights),” E/C.12/GC/20, 2 July 2009; para. 8.b; 10.b.</w:t>
      </w:r>
    </w:p>
  </w:endnote>
  <w:endnote w:id="22">
    <w:p w14:paraId="37BD6E3B" w14:textId="478E83EC"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720862">
        <w:rPr>
          <w:rFonts w:cstheme="minorHAnsi"/>
          <w:sz w:val="22"/>
          <w:szCs w:val="22"/>
        </w:rPr>
        <w:t>Baylis</w:t>
      </w:r>
      <w:proofErr w:type="spellEnd"/>
      <w:r w:rsidRPr="00720862">
        <w:rPr>
          <w:rFonts w:cstheme="minorHAnsi"/>
          <w:sz w:val="22"/>
          <w:szCs w:val="22"/>
        </w:rPr>
        <w:t xml:space="preserve">-Flannery v. </w:t>
      </w:r>
      <w:proofErr w:type="spellStart"/>
      <w:r w:rsidRPr="00720862">
        <w:rPr>
          <w:rFonts w:cstheme="minorHAnsi"/>
          <w:sz w:val="22"/>
          <w:szCs w:val="22"/>
        </w:rPr>
        <w:t>DeWilde</w:t>
      </w:r>
      <w:proofErr w:type="spellEnd"/>
      <w:r w:rsidRPr="00720862">
        <w:rPr>
          <w:rFonts w:cstheme="minorHAnsi"/>
          <w:sz w:val="22"/>
          <w:szCs w:val="22"/>
        </w:rPr>
        <w:t xml:space="preserve"> (No. 2), (2003) 48 CHRR D/197 (Ont HRT) at para 144.</w:t>
      </w:r>
    </w:p>
  </w:endnote>
  <w:endnote w:id="23">
    <w:p w14:paraId="3A9CE606" w14:textId="1C5DD428" w:rsidR="00F927F8" w:rsidRPr="00F55558" w:rsidRDefault="00F927F8" w:rsidP="00F55558">
      <w:pPr>
        <w:pStyle w:val="EndnoteText"/>
        <w:ind w:left="709" w:hanging="709"/>
        <w:rPr>
          <w:rFonts w:cstheme="minorHAnsi"/>
          <w:sz w:val="22"/>
          <w:szCs w:val="22"/>
        </w:rPr>
      </w:pPr>
      <w:r w:rsidRPr="00F55558">
        <w:rPr>
          <w:rStyle w:val="EndnoteReference"/>
          <w:rFonts w:cstheme="minorHAnsi"/>
          <w:sz w:val="22"/>
          <w:szCs w:val="22"/>
          <w:vertAlign w:val="baseline"/>
        </w:rPr>
        <w:endnoteRef/>
      </w:r>
      <w:r>
        <w:rPr>
          <w:rFonts w:cstheme="minorHAnsi"/>
          <w:sz w:val="22"/>
          <w:szCs w:val="22"/>
        </w:rPr>
        <w:t>.</w:t>
      </w:r>
      <w:r w:rsidRPr="00F55558">
        <w:rPr>
          <w:rFonts w:cstheme="minorHAnsi"/>
          <w:sz w:val="22"/>
          <w:szCs w:val="22"/>
        </w:rPr>
        <w:t xml:space="preserve"> AODA Alliance. (2020). A Framework for the Health Care Accessibility Standard. February 25, 2020. </w:t>
      </w:r>
      <w:r w:rsidRPr="001407D1">
        <w:rPr>
          <w:rFonts w:cstheme="minorHAnsi"/>
          <w:sz w:val="22"/>
          <w:szCs w:val="22"/>
        </w:rPr>
        <w:t xml:space="preserve">Available on the </w:t>
      </w:r>
      <w:hyperlink r:id="rId7" w:anchor=":~:text=The%20Ontario%20Government%20has%20committed,with%20Disabilities%20Act%20(AODA).&amp;text=In%20this%20Framework%2C%20the%20AODA,the%20Health%20Care%20Accessibility%20Standard" w:history="1">
        <w:r w:rsidRPr="001407D1">
          <w:rPr>
            <w:rStyle w:val="Hyperlink"/>
            <w:rFonts w:cstheme="minorHAnsi"/>
            <w:sz w:val="22"/>
            <w:szCs w:val="22"/>
          </w:rPr>
          <w:t>Accessibility for Ontarians with Disabilities Alliance website</w:t>
        </w:r>
      </w:hyperlink>
      <w:r w:rsidRPr="001407D1">
        <w:rPr>
          <w:rFonts w:cstheme="minorHAnsi"/>
          <w:sz w:val="22"/>
          <w:szCs w:val="22"/>
        </w:rPr>
        <w:t>.</w:t>
      </w:r>
      <w:r w:rsidRPr="00F55558">
        <w:rPr>
          <w:rFonts w:cstheme="minorHAnsi"/>
          <w:sz w:val="22"/>
          <w:szCs w:val="22"/>
        </w:rPr>
        <w:t xml:space="preserve"> </w:t>
      </w:r>
    </w:p>
  </w:endnote>
  <w:endnote w:id="24">
    <w:p w14:paraId="081EEC7C" w14:textId="02420124"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Ontario Human Rights Commission. (2020). Policy statement on a human rights-based approach to managing the COVID-19 pandemic. April</w:t>
      </w:r>
      <w:r>
        <w:rPr>
          <w:rFonts w:cstheme="minorHAnsi"/>
          <w:sz w:val="22"/>
          <w:szCs w:val="22"/>
        </w:rPr>
        <w:t xml:space="preserve"> 2,</w:t>
      </w:r>
      <w:r w:rsidRPr="00720862">
        <w:rPr>
          <w:rFonts w:cstheme="minorHAnsi"/>
          <w:sz w:val="22"/>
          <w:szCs w:val="22"/>
        </w:rPr>
        <w:t xml:space="preserve"> 2020. Available </w:t>
      </w:r>
      <w:r>
        <w:rPr>
          <w:rFonts w:cstheme="minorHAnsi"/>
          <w:sz w:val="22"/>
          <w:szCs w:val="22"/>
        </w:rPr>
        <w:t xml:space="preserve">on the </w:t>
      </w:r>
      <w:hyperlink r:id="rId8" w:history="1">
        <w:r w:rsidRPr="001407D1">
          <w:rPr>
            <w:rStyle w:val="Hyperlink"/>
            <w:rFonts w:cstheme="minorHAnsi"/>
            <w:sz w:val="22"/>
            <w:szCs w:val="22"/>
          </w:rPr>
          <w:t>Ontario Human Rights Commission website</w:t>
        </w:r>
      </w:hyperlink>
      <w:r>
        <w:rPr>
          <w:rFonts w:cstheme="minorHAnsi"/>
          <w:sz w:val="22"/>
          <w:szCs w:val="22"/>
        </w:rPr>
        <w:t>.</w:t>
      </w:r>
    </w:p>
  </w:endnote>
  <w:endnote w:id="25">
    <w:p w14:paraId="5BEF0ABB" w14:textId="441F6996"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720862">
        <w:rPr>
          <w:rFonts w:cstheme="minorHAnsi"/>
          <w:sz w:val="22"/>
          <w:szCs w:val="22"/>
        </w:rPr>
        <w:t>Siracusa</w:t>
      </w:r>
      <w:proofErr w:type="spellEnd"/>
      <w:r w:rsidRPr="00720862">
        <w:rPr>
          <w:rFonts w:cstheme="minorHAnsi"/>
          <w:sz w:val="22"/>
          <w:szCs w:val="22"/>
        </w:rPr>
        <w:t xml:space="preserve"> Principles; General Comment 14, paras. 28 and 29.</w:t>
      </w:r>
    </w:p>
  </w:endnote>
  <w:endnote w:id="26">
    <w:p w14:paraId="79CF4A63" w14:textId="15CCC209"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Skye C. (2020). Colonialism of The Curve: Indigenous Communities &amp; Bad COVID Data. Toronto: </w:t>
      </w:r>
      <w:proofErr w:type="spellStart"/>
      <w:r w:rsidRPr="00720862">
        <w:rPr>
          <w:rFonts w:cstheme="minorHAnsi"/>
          <w:sz w:val="22"/>
          <w:szCs w:val="22"/>
        </w:rPr>
        <w:t>Yellowhead</w:t>
      </w:r>
      <w:proofErr w:type="spellEnd"/>
      <w:r w:rsidRPr="00720862">
        <w:rPr>
          <w:rFonts w:cstheme="minorHAnsi"/>
          <w:sz w:val="22"/>
          <w:szCs w:val="22"/>
        </w:rPr>
        <w:t xml:space="preserve"> Institute</w:t>
      </w:r>
      <w:r>
        <w:rPr>
          <w:rFonts w:cstheme="minorHAnsi"/>
          <w:sz w:val="22"/>
          <w:szCs w:val="22"/>
        </w:rPr>
        <w:t xml:space="preserve">, Ryerson University. Available on the </w:t>
      </w:r>
      <w:hyperlink r:id="rId9" w:history="1">
        <w:proofErr w:type="spellStart"/>
        <w:r w:rsidRPr="001407D1">
          <w:rPr>
            <w:rStyle w:val="Hyperlink"/>
            <w:rFonts w:cstheme="minorHAnsi"/>
            <w:sz w:val="22"/>
            <w:szCs w:val="22"/>
          </w:rPr>
          <w:t>Yellowhead</w:t>
        </w:r>
        <w:proofErr w:type="spellEnd"/>
        <w:r w:rsidRPr="001407D1">
          <w:rPr>
            <w:rStyle w:val="Hyperlink"/>
            <w:rFonts w:cstheme="minorHAnsi"/>
            <w:sz w:val="22"/>
            <w:szCs w:val="22"/>
          </w:rPr>
          <w:t xml:space="preserve"> Institute website</w:t>
        </w:r>
      </w:hyperlink>
      <w:r>
        <w:rPr>
          <w:rFonts w:cstheme="minorHAnsi"/>
          <w:sz w:val="22"/>
          <w:szCs w:val="22"/>
        </w:rPr>
        <w:t>.</w:t>
      </w:r>
      <w:r w:rsidRPr="00720862">
        <w:rPr>
          <w:rFonts w:cstheme="minorHAnsi"/>
          <w:sz w:val="22"/>
          <w:szCs w:val="22"/>
        </w:rPr>
        <w:t xml:space="preserve"> </w:t>
      </w:r>
    </w:p>
  </w:endnote>
  <w:endnote w:id="27">
    <w:p w14:paraId="4228B3BA" w14:textId="0631E3B4"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720862">
        <w:rPr>
          <w:rFonts w:cstheme="minorHAnsi"/>
          <w:sz w:val="22"/>
          <w:szCs w:val="22"/>
        </w:rPr>
        <w:t>Nestel</w:t>
      </w:r>
      <w:proofErr w:type="spellEnd"/>
      <w:r w:rsidRPr="00720862">
        <w:rPr>
          <w:rFonts w:cstheme="minorHAnsi"/>
          <w:sz w:val="22"/>
          <w:szCs w:val="22"/>
        </w:rPr>
        <w:t xml:space="preserve"> S. (2012). Colour-coded health care: the impact of race and racisms on Canadian’s health. Toronto: </w:t>
      </w:r>
      <w:r>
        <w:rPr>
          <w:rFonts w:cstheme="minorHAnsi"/>
          <w:sz w:val="22"/>
          <w:szCs w:val="22"/>
        </w:rPr>
        <w:t xml:space="preserve">Wellesley Institute. Available on the </w:t>
      </w:r>
      <w:hyperlink r:id="rId10" w:history="1">
        <w:r w:rsidRPr="001407D1">
          <w:rPr>
            <w:rStyle w:val="Hyperlink"/>
            <w:rFonts w:cstheme="minorHAnsi"/>
            <w:sz w:val="22"/>
            <w:szCs w:val="22"/>
          </w:rPr>
          <w:t>Wellesley Institute website.</w:t>
        </w:r>
      </w:hyperlink>
    </w:p>
  </w:endnote>
  <w:endnote w:id="28">
    <w:p w14:paraId="5C6FEAAE" w14:textId="4D8EC4F0"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Plana-Ripoll O, </w:t>
      </w:r>
      <w:proofErr w:type="spellStart"/>
      <w:r w:rsidRPr="00720862">
        <w:rPr>
          <w:rFonts w:cstheme="minorHAnsi"/>
          <w:sz w:val="22"/>
          <w:szCs w:val="22"/>
        </w:rPr>
        <w:t>Bøcker</w:t>
      </w:r>
      <w:proofErr w:type="spellEnd"/>
      <w:r w:rsidRPr="00720862">
        <w:rPr>
          <w:rFonts w:cstheme="minorHAnsi"/>
          <w:sz w:val="22"/>
          <w:szCs w:val="22"/>
        </w:rPr>
        <w:t xml:space="preserve"> Pedersen C, </w:t>
      </w:r>
      <w:proofErr w:type="spellStart"/>
      <w:r w:rsidRPr="00720862">
        <w:rPr>
          <w:rFonts w:cstheme="minorHAnsi"/>
          <w:sz w:val="22"/>
          <w:szCs w:val="22"/>
        </w:rPr>
        <w:t>Agerbo</w:t>
      </w:r>
      <w:proofErr w:type="spellEnd"/>
      <w:r w:rsidRPr="00720862">
        <w:rPr>
          <w:rFonts w:cstheme="minorHAnsi"/>
          <w:sz w:val="22"/>
          <w:szCs w:val="22"/>
        </w:rPr>
        <w:t xml:space="preserve"> E et al. (2019). A comprehensive analysis of mortality-related health metrics associated with mental disorders: a nationwide, register-based cohort study. </w:t>
      </w:r>
      <w:r w:rsidRPr="00216125">
        <w:rPr>
          <w:rFonts w:cstheme="minorHAnsi"/>
          <w:i/>
          <w:iCs/>
          <w:sz w:val="22"/>
          <w:szCs w:val="22"/>
        </w:rPr>
        <w:t>The Lancet</w:t>
      </w:r>
      <w:r w:rsidRPr="00720862">
        <w:rPr>
          <w:rFonts w:cstheme="minorHAnsi"/>
          <w:sz w:val="22"/>
          <w:szCs w:val="22"/>
        </w:rPr>
        <w:t>, 394(10211): 1827-1835.</w:t>
      </w:r>
    </w:p>
  </w:endnote>
  <w:endnote w:id="29">
    <w:p w14:paraId="2F9CCA2A" w14:textId="7926033A"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Christian MD, Sprung CL, King MA et al. (2014). Triage: Care of the critically ill and injured during pandemics and disasters: CHEST consensus statement. </w:t>
      </w:r>
      <w:r w:rsidRPr="00216125">
        <w:rPr>
          <w:rFonts w:cstheme="minorHAnsi"/>
          <w:i/>
          <w:iCs/>
          <w:sz w:val="22"/>
          <w:szCs w:val="22"/>
        </w:rPr>
        <w:t>CHEST</w:t>
      </w:r>
      <w:r w:rsidRPr="00720862">
        <w:rPr>
          <w:rFonts w:cstheme="minorHAnsi"/>
          <w:sz w:val="22"/>
          <w:szCs w:val="22"/>
        </w:rPr>
        <w:t>, 146(4): e61S-74S.</w:t>
      </w:r>
    </w:p>
  </w:endnote>
  <w:endnote w:id="30">
    <w:p w14:paraId="14C64736" w14:textId="4256B252"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720862">
        <w:rPr>
          <w:rFonts w:cstheme="minorHAnsi"/>
          <w:sz w:val="22"/>
          <w:szCs w:val="22"/>
        </w:rPr>
        <w:t>Biddison</w:t>
      </w:r>
      <w:proofErr w:type="spellEnd"/>
      <w:r w:rsidRPr="00720862">
        <w:rPr>
          <w:rFonts w:cstheme="minorHAnsi"/>
          <w:sz w:val="22"/>
          <w:szCs w:val="22"/>
        </w:rPr>
        <w:t xml:space="preserve"> D, Berkowitz KA, Courtney B et al. (2014). Ethical considerations: care of the critically ill and injured during pandemics and disasters: CHEST consensus statement. </w:t>
      </w:r>
      <w:r w:rsidRPr="00216125">
        <w:rPr>
          <w:rFonts w:cstheme="minorHAnsi"/>
          <w:i/>
          <w:iCs/>
          <w:sz w:val="22"/>
          <w:szCs w:val="22"/>
        </w:rPr>
        <w:t>CHEST</w:t>
      </w:r>
      <w:r w:rsidRPr="00720862">
        <w:rPr>
          <w:rFonts w:cstheme="minorHAnsi"/>
          <w:sz w:val="22"/>
          <w:szCs w:val="22"/>
        </w:rPr>
        <w:t>, 146(4): e145S-e155S.</w:t>
      </w:r>
    </w:p>
  </w:endnote>
  <w:endnote w:id="31">
    <w:p w14:paraId="09D07E73" w14:textId="59E4DD88"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720862">
        <w:rPr>
          <w:rFonts w:cstheme="minorHAnsi"/>
          <w:sz w:val="22"/>
          <w:szCs w:val="22"/>
        </w:rPr>
        <w:t>Savin</w:t>
      </w:r>
      <w:proofErr w:type="spellEnd"/>
      <w:r w:rsidRPr="00720862">
        <w:rPr>
          <w:rFonts w:cstheme="minorHAnsi"/>
          <w:sz w:val="22"/>
          <w:szCs w:val="22"/>
        </w:rPr>
        <w:t xml:space="preserve"> K, Guidry-Grimes L. (2020). Confronting disability discrimination during the pandemic. Hastings Center Report 2020; Apr 2. Available</w:t>
      </w:r>
      <w:r>
        <w:rPr>
          <w:rFonts w:cstheme="minorHAnsi"/>
          <w:sz w:val="22"/>
          <w:szCs w:val="22"/>
        </w:rPr>
        <w:t xml:space="preserve"> on the </w:t>
      </w:r>
      <w:hyperlink r:id="rId11" w:history="1">
        <w:r w:rsidRPr="001407D1">
          <w:rPr>
            <w:rStyle w:val="Hyperlink"/>
            <w:rFonts w:cstheme="minorHAnsi"/>
            <w:sz w:val="22"/>
            <w:szCs w:val="22"/>
          </w:rPr>
          <w:t>Hasting</w:t>
        </w:r>
        <w:r>
          <w:rPr>
            <w:rStyle w:val="Hyperlink"/>
            <w:rFonts w:cstheme="minorHAnsi"/>
            <w:sz w:val="22"/>
            <w:szCs w:val="22"/>
          </w:rPr>
          <w:t>s</w:t>
        </w:r>
        <w:r w:rsidRPr="001407D1">
          <w:rPr>
            <w:rStyle w:val="Hyperlink"/>
            <w:rFonts w:cstheme="minorHAnsi"/>
            <w:sz w:val="22"/>
            <w:szCs w:val="22"/>
          </w:rPr>
          <w:t xml:space="preserve"> Center Website</w:t>
        </w:r>
      </w:hyperlink>
      <w:r>
        <w:rPr>
          <w:rFonts w:cstheme="minorHAnsi"/>
          <w:sz w:val="22"/>
          <w:szCs w:val="22"/>
        </w:rPr>
        <w:t>.</w:t>
      </w:r>
      <w:r w:rsidRPr="00720862">
        <w:rPr>
          <w:rFonts w:cstheme="minorHAnsi"/>
          <w:sz w:val="22"/>
          <w:szCs w:val="22"/>
        </w:rPr>
        <w:t xml:space="preserve"> </w:t>
      </w:r>
    </w:p>
  </w:endnote>
  <w:endnote w:id="32">
    <w:p w14:paraId="6DC88B80" w14:textId="5B94D58A"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720862">
        <w:rPr>
          <w:rFonts w:cstheme="minorHAnsi"/>
          <w:sz w:val="22"/>
          <w:szCs w:val="22"/>
        </w:rPr>
        <w:t>Truog</w:t>
      </w:r>
      <w:proofErr w:type="spellEnd"/>
      <w:r w:rsidRPr="00720862">
        <w:rPr>
          <w:rFonts w:cstheme="minorHAnsi"/>
          <w:sz w:val="22"/>
          <w:szCs w:val="22"/>
        </w:rPr>
        <w:t xml:space="preserve"> RD, Mitchell C, Daley GQ. (2020). The toughest triage—allocating ventilators in a pandemic. </w:t>
      </w:r>
      <w:r w:rsidRPr="00216125">
        <w:rPr>
          <w:rFonts w:cstheme="minorHAnsi"/>
          <w:i/>
          <w:iCs/>
          <w:sz w:val="22"/>
          <w:szCs w:val="22"/>
        </w:rPr>
        <w:t>New England Journal of Medicine</w:t>
      </w:r>
      <w:r w:rsidRPr="00720862">
        <w:rPr>
          <w:rFonts w:cstheme="minorHAnsi"/>
          <w:sz w:val="22"/>
          <w:szCs w:val="22"/>
        </w:rPr>
        <w:t>, 382: 1973-1975.</w:t>
      </w:r>
    </w:p>
  </w:endnote>
  <w:endnote w:id="33">
    <w:p w14:paraId="64AFCD57" w14:textId="4CD59517"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Ontario Human Rights Commission. (2020). Letter to President/CEO of Ontario Health re: COVID-19 triage protocol, data collection, essential support persons. June 4, 2020. Available</w:t>
      </w:r>
      <w:r>
        <w:rPr>
          <w:rFonts w:cstheme="minorHAnsi"/>
          <w:sz w:val="22"/>
          <w:szCs w:val="22"/>
        </w:rPr>
        <w:t xml:space="preserve"> on the </w:t>
      </w:r>
      <w:hyperlink r:id="rId12" w:history="1">
        <w:r w:rsidRPr="001407D1">
          <w:rPr>
            <w:rStyle w:val="Hyperlink"/>
            <w:rFonts w:cstheme="minorHAnsi"/>
            <w:sz w:val="22"/>
            <w:szCs w:val="22"/>
          </w:rPr>
          <w:t>Ontario Human Rights Commission website</w:t>
        </w:r>
      </w:hyperlink>
      <w:r>
        <w:rPr>
          <w:rFonts w:cstheme="minorHAnsi"/>
          <w:sz w:val="22"/>
          <w:szCs w:val="22"/>
        </w:rPr>
        <w:t>.</w:t>
      </w:r>
      <w:r w:rsidRPr="00720862">
        <w:rPr>
          <w:rFonts w:cstheme="minorHAnsi"/>
          <w:sz w:val="22"/>
          <w:szCs w:val="22"/>
        </w:rPr>
        <w:t xml:space="preserve"> </w:t>
      </w:r>
    </w:p>
  </w:endnote>
  <w:endnote w:id="34">
    <w:p w14:paraId="2E9346B8" w14:textId="0FA15BB3"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ARCH Disability Law Centre. (2020). Submissions and Recommendations Regarding Ontario’s Triage Protocol Draft</w:t>
      </w:r>
      <w:r>
        <w:rPr>
          <w:rFonts w:cstheme="minorHAnsi"/>
          <w:sz w:val="22"/>
          <w:szCs w:val="22"/>
        </w:rPr>
        <w:t xml:space="preserve"> dated July 7, 2020. Available on the </w:t>
      </w:r>
      <w:hyperlink r:id="rId13" w:history="1">
        <w:r w:rsidRPr="001407D1">
          <w:rPr>
            <w:rStyle w:val="Hyperlink"/>
            <w:rFonts w:cstheme="minorHAnsi"/>
            <w:sz w:val="22"/>
            <w:szCs w:val="22"/>
          </w:rPr>
          <w:t>ARCH Disability Law Centre website.</w:t>
        </w:r>
      </w:hyperlink>
    </w:p>
  </w:endnote>
  <w:endnote w:id="35">
    <w:p w14:paraId="673A5C96" w14:textId="1245C605"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AODA Alliance. (2020</w:t>
      </w:r>
      <w:r>
        <w:rPr>
          <w:rFonts w:cstheme="minorHAnsi"/>
          <w:sz w:val="22"/>
          <w:szCs w:val="22"/>
        </w:rPr>
        <w:t>).</w:t>
      </w:r>
      <w:r w:rsidRPr="00720862">
        <w:rPr>
          <w:rFonts w:cstheme="minorHAnsi"/>
          <w:sz w:val="22"/>
          <w:szCs w:val="22"/>
        </w:rPr>
        <w:t xml:space="preserve"> Ensuring that Patients with Disabilities Don’t Face Discrimination in Access to Critical Medical Care If There is a Second Wave of COVID-19 that Overwhelms Ontario Hospitals – A new Brief by the AODA Alliance Is Made Public Today. Available</w:t>
      </w:r>
      <w:r>
        <w:rPr>
          <w:rFonts w:cstheme="minorHAnsi"/>
          <w:sz w:val="22"/>
          <w:szCs w:val="22"/>
        </w:rPr>
        <w:t xml:space="preserve"> on the </w:t>
      </w:r>
      <w:hyperlink r:id="rId14" w:history="1">
        <w:r w:rsidRPr="001407D1">
          <w:rPr>
            <w:rStyle w:val="Hyperlink"/>
            <w:rFonts w:cstheme="minorHAnsi"/>
            <w:sz w:val="22"/>
            <w:szCs w:val="22"/>
          </w:rPr>
          <w:t>AODA Alliance website</w:t>
        </w:r>
      </w:hyperlink>
      <w:r>
        <w:rPr>
          <w:rFonts w:cstheme="minorHAnsi"/>
          <w:sz w:val="22"/>
          <w:szCs w:val="22"/>
        </w:rPr>
        <w:t>.</w:t>
      </w:r>
      <w:r w:rsidRPr="00720862">
        <w:rPr>
          <w:rFonts w:cstheme="minorHAnsi"/>
          <w:sz w:val="22"/>
          <w:szCs w:val="22"/>
        </w:rPr>
        <w:t xml:space="preserve"> </w:t>
      </w:r>
    </w:p>
  </w:endnote>
  <w:endnote w:id="36">
    <w:p w14:paraId="3EC775EA" w14:textId="776466E9"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r w:rsidRPr="00216125">
        <w:rPr>
          <w:rFonts w:cstheme="minorHAnsi"/>
          <w:sz w:val="22"/>
          <w:szCs w:val="22"/>
        </w:rPr>
        <w:t>Canadian Association for Retired Persons</w:t>
      </w:r>
      <w:r w:rsidRPr="00720862">
        <w:rPr>
          <w:rFonts w:cstheme="minorHAnsi"/>
          <w:sz w:val="22"/>
          <w:szCs w:val="22"/>
        </w:rPr>
        <w:t xml:space="preserve">. (2020). CARP weighs in on COVID-19 triage protocols with Ontario Human Rights Commission. </w:t>
      </w:r>
      <w:r>
        <w:rPr>
          <w:rFonts w:cstheme="minorHAnsi"/>
          <w:sz w:val="22"/>
          <w:szCs w:val="22"/>
        </w:rPr>
        <w:t>Avai</w:t>
      </w:r>
      <w:r w:rsidRPr="00720862">
        <w:rPr>
          <w:rFonts w:cstheme="minorHAnsi"/>
          <w:sz w:val="22"/>
          <w:szCs w:val="22"/>
        </w:rPr>
        <w:t>lable</w:t>
      </w:r>
      <w:r>
        <w:rPr>
          <w:rFonts w:cstheme="minorHAnsi"/>
          <w:sz w:val="22"/>
          <w:szCs w:val="22"/>
        </w:rPr>
        <w:t xml:space="preserve"> on the </w:t>
      </w:r>
      <w:hyperlink r:id="rId15" w:history="1">
        <w:r w:rsidRPr="001407D1">
          <w:rPr>
            <w:rStyle w:val="Hyperlink"/>
            <w:rFonts w:cstheme="minorHAnsi"/>
            <w:sz w:val="22"/>
            <w:szCs w:val="22"/>
          </w:rPr>
          <w:t>Ontario Human Rights Commission website</w:t>
        </w:r>
      </w:hyperlink>
      <w:r>
        <w:rPr>
          <w:rFonts w:cstheme="minorHAnsi"/>
          <w:sz w:val="22"/>
          <w:szCs w:val="22"/>
        </w:rPr>
        <w:t>.</w:t>
      </w:r>
      <w:r w:rsidRPr="00720862">
        <w:rPr>
          <w:rFonts w:cstheme="minorHAnsi"/>
          <w:sz w:val="22"/>
          <w:szCs w:val="22"/>
        </w:rPr>
        <w:t xml:space="preserve"> </w:t>
      </w:r>
    </w:p>
  </w:endnote>
  <w:endnote w:id="37">
    <w:p w14:paraId="69FE3EDE" w14:textId="0E5A9612"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proofErr w:type="spellStart"/>
      <w:r w:rsidRPr="00BC4A7D">
        <w:rPr>
          <w:rFonts w:cstheme="minorHAnsi"/>
          <w:sz w:val="22"/>
          <w:szCs w:val="22"/>
        </w:rPr>
        <w:t>Flaatten</w:t>
      </w:r>
      <w:proofErr w:type="spellEnd"/>
      <w:r w:rsidRPr="00BC4A7D">
        <w:rPr>
          <w:rFonts w:cstheme="minorHAnsi"/>
          <w:sz w:val="22"/>
          <w:szCs w:val="22"/>
        </w:rPr>
        <w:t xml:space="preserve"> H, De Lange DW, </w:t>
      </w:r>
      <w:proofErr w:type="spellStart"/>
      <w:r w:rsidRPr="00BC4A7D">
        <w:rPr>
          <w:rFonts w:cstheme="minorHAnsi"/>
          <w:sz w:val="22"/>
          <w:szCs w:val="22"/>
        </w:rPr>
        <w:t>Morandi</w:t>
      </w:r>
      <w:proofErr w:type="spellEnd"/>
      <w:r w:rsidRPr="00BC4A7D">
        <w:rPr>
          <w:rFonts w:cstheme="minorHAnsi"/>
          <w:sz w:val="22"/>
          <w:szCs w:val="22"/>
        </w:rPr>
        <w:t xml:space="preserve"> A et al. (2017). The impact of frailty on ICU and 30-day mortality and the level of care in very elderly patients (≥ 80 years). </w:t>
      </w:r>
      <w:r w:rsidRPr="00216125">
        <w:rPr>
          <w:rFonts w:cstheme="minorHAnsi"/>
          <w:i/>
          <w:iCs/>
          <w:sz w:val="22"/>
          <w:szCs w:val="22"/>
        </w:rPr>
        <w:t>Intensive Care Medicine</w:t>
      </w:r>
      <w:r w:rsidRPr="00BC4A7D">
        <w:rPr>
          <w:rFonts w:cstheme="minorHAnsi"/>
          <w:sz w:val="22"/>
          <w:szCs w:val="22"/>
        </w:rPr>
        <w:t>, 43(12): 1820-1828.</w:t>
      </w:r>
    </w:p>
  </w:endnote>
  <w:endnote w:id="38">
    <w:p w14:paraId="1FD32053" w14:textId="43D9F785"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Wright JC, </w:t>
      </w:r>
      <w:proofErr w:type="spellStart"/>
      <w:r w:rsidRPr="00720862">
        <w:rPr>
          <w:rFonts w:cstheme="minorHAnsi"/>
          <w:sz w:val="22"/>
          <w:szCs w:val="22"/>
        </w:rPr>
        <w:t>Plenderleith</w:t>
      </w:r>
      <w:proofErr w:type="spellEnd"/>
      <w:r w:rsidRPr="00720862">
        <w:rPr>
          <w:rFonts w:cstheme="minorHAnsi"/>
          <w:sz w:val="22"/>
          <w:szCs w:val="22"/>
        </w:rPr>
        <w:t xml:space="preserve"> L, Ridley SA. (2003). Long-term survival following intensive care: Subgroup analysis and comparison with the general population. </w:t>
      </w:r>
      <w:r w:rsidRPr="00216125">
        <w:rPr>
          <w:rFonts w:cstheme="minorHAnsi"/>
          <w:i/>
          <w:iCs/>
          <w:sz w:val="22"/>
          <w:szCs w:val="22"/>
        </w:rPr>
        <w:t>Anaesthesia</w:t>
      </w:r>
      <w:r w:rsidRPr="00720862">
        <w:rPr>
          <w:rFonts w:cstheme="minorHAnsi"/>
          <w:sz w:val="22"/>
          <w:szCs w:val="22"/>
        </w:rPr>
        <w:t>, 58: 637–642.</w:t>
      </w:r>
    </w:p>
  </w:endnote>
  <w:endnote w:id="39">
    <w:p w14:paraId="5D6226BE" w14:textId="0CE1D2ED"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Becker S, Müller J, de </w:t>
      </w:r>
      <w:proofErr w:type="spellStart"/>
      <w:r w:rsidRPr="00720862">
        <w:rPr>
          <w:rFonts w:cstheme="minorHAnsi"/>
          <w:sz w:val="22"/>
          <w:szCs w:val="22"/>
        </w:rPr>
        <w:t>Heer</w:t>
      </w:r>
      <w:proofErr w:type="spellEnd"/>
      <w:r w:rsidRPr="00720862">
        <w:rPr>
          <w:rFonts w:cstheme="minorHAnsi"/>
          <w:sz w:val="22"/>
          <w:szCs w:val="22"/>
        </w:rPr>
        <w:t xml:space="preserve"> G et al. (2015). Clinical characteristics and outcome of very elderly patients ≥90 years in intensive care: a retrospective observational study. </w:t>
      </w:r>
      <w:r w:rsidRPr="00216125">
        <w:rPr>
          <w:rFonts w:cstheme="minorHAnsi"/>
          <w:i/>
          <w:iCs/>
          <w:sz w:val="22"/>
          <w:szCs w:val="22"/>
        </w:rPr>
        <w:t>Annals of Intensive Care</w:t>
      </w:r>
      <w:r w:rsidRPr="00720862">
        <w:rPr>
          <w:rFonts w:cstheme="minorHAnsi"/>
          <w:sz w:val="22"/>
          <w:szCs w:val="22"/>
        </w:rPr>
        <w:t>, 5: 53.</w:t>
      </w:r>
    </w:p>
  </w:endnote>
  <w:endnote w:id="40">
    <w:p w14:paraId="020642DF" w14:textId="30F6FDFC"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The Gold Standards Framework Centre in End of Life Care CIC, Thomas K et al. (2011). Gold Standard Framework (GSF) Prognostic</w:t>
      </w:r>
      <w:r>
        <w:rPr>
          <w:rFonts w:cstheme="minorHAnsi"/>
          <w:sz w:val="22"/>
          <w:szCs w:val="22"/>
        </w:rPr>
        <w:t xml:space="preserve"> Indicator Guidance. Available on </w:t>
      </w:r>
      <w:hyperlink r:id="rId16" w:history="1">
        <w:r w:rsidRPr="001407D1">
          <w:rPr>
            <w:rStyle w:val="Hyperlink"/>
            <w:rFonts w:cstheme="minorHAnsi"/>
            <w:sz w:val="22"/>
            <w:szCs w:val="22"/>
          </w:rPr>
          <w:t>the Gold Standards Framework Centre website.</w:t>
        </w:r>
      </w:hyperlink>
    </w:p>
  </w:endnote>
  <w:endnote w:id="41">
    <w:p w14:paraId="06C22305" w14:textId="29A66640" w:rsidR="00F927F8" w:rsidRPr="00720862" w:rsidRDefault="00F927F8" w:rsidP="00720862">
      <w:pPr>
        <w:pStyle w:val="EndnoteText"/>
        <w:ind w:left="709" w:hanging="709"/>
        <w:rPr>
          <w:rFonts w:cstheme="minorHAnsi"/>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US Veterans Health Administration National Center for Healthcare Ethics. (2010). Meeting the challenge of pandemic influenza: ethical guidance for leaders and health care professionals in the Veterans Health Administration, July 2010. Available</w:t>
      </w:r>
      <w:r>
        <w:rPr>
          <w:rFonts w:cstheme="minorHAnsi"/>
          <w:sz w:val="22"/>
          <w:szCs w:val="22"/>
        </w:rPr>
        <w:t xml:space="preserve"> on the </w:t>
      </w:r>
      <w:hyperlink r:id="rId17" w:history="1">
        <w:r w:rsidRPr="001407D1">
          <w:rPr>
            <w:rStyle w:val="Hyperlink"/>
            <w:rFonts w:cstheme="minorHAnsi"/>
            <w:sz w:val="22"/>
            <w:szCs w:val="22"/>
          </w:rPr>
          <w:t>U.S. Department of Veteran Affairs Website</w:t>
        </w:r>
      </w:hyperlink>
      <w:r>
        <w:rPr>
          <w:rFonts w:cstheme="minorHAnsi"/>
          <w:sz w:val="22"/>
          <w:szCs w:val="22"/>
        </w:rPr>
        <w:t xml:space="preserve">. </w:t>
      </w:r>
    </w:p>
  </w:endnote>
  <w:endnote w:id="42">
    <w:p w14:paraId="16233C4B" w14:textId="0D802798" w:rsidR="00F927F8" w:rsidRDefault="00F927F8" w:rsidP="00720862">
      <w:pPr>
        <w:pStyle w:val="EndnoteText"/>
        <w:ind w:left="709" w:hanging="709"/>
        <w:rPr>
          <w:rFonts w:cstheme="minorHAnsi"/>
          <w:color w:val="000000" w:themeColor="text1"/>
          <w:sz w:val="22"/>
          <w:szCs w:val="22"/>
        </w:rPr>
      </w:pPr>
      <w:r w:rsidRPr="00720862">
        <w:rPr>
          <w:rStyle w:val="EndnoteReference"/>
          <w:rFonts w:cstheme="minorHAnsi"/>
          <w:sz w:val="22"/>
          <w:szCs w:val="22"/>
          <w:vertAlign w:val="baseline"/>
        </w:rPr>
        <w:endnoteRef/>
      </w:r>
      <w:r>
        <w:rPr>
          <w:rFonts w:cstheme="minorHAnsi"/>
          <w:sz w:val="22"/>
          <w:szCs w:val="22"/>
        </w:rPr>
        <w:t>.</w:t>
      </w:r>
      <w:r w:rsidRPr="00720862">
        <w:rPr>
          <w:rFonts w:cstheme="minorHAnsi"/>
          <w:sz w:val="22"/>
          <w:szCs w:val="22"/>
        </w:rPr>
        <w:t xml:space="preserve"> </w:t>
      </w:r>
      <w:r w:rsidRPr="00720862">
        <w:rPr>
          <w:rFonts w:cstheme="minorHAnsi"/>
          <w:color w:val="000000" w:themeColor="text1"/>
          <w:sz w:val="22"/>
          <w:szCs w:val="22"/>
        </w:rPr>
        <w:t xml:space="preserve">Emanuel EJ, </w:t>
      </w:r>
      <w:proofErr w:type="spellStart"/>
      <w:r w:rsidRPr="00720862">
        <w:rPr>
          <w:rFonts w:cstheme="minorHAnsi"/>
          <w:color w:val="000000" w:themeColor="text1"/>
          <w:sz w:val="22"/>
          <w:szCs w:val="22"/>
        </w:rPr>
        <w:t>Persad</w:t>
      </w:r>
      <w:proofErr w:type="spellEnd"/>
      <w:r w:rsidRPr="00720862">
        <w:rPr>
          <w:rFonts w:cstheme="minorHAnsi"/>
          <w:color w:val="000000" w:themeColor="text1"/>
          <w:sz w:val="22"/>
          <w:szCs w:val="22"/>
        </w:rPr>
        <w:t xml:space="preserve"> G, </w:t>
      </w:r>
      <w:proofErr w:type="spellStart"/>
      <w:r w:rsidRPr="00720862">
        <w:rPr>
          <w:rFonts w:cstheme="minorHAnsi"/>
          <w:color w:val="000000" w:themeColor="text1"/>
          <w:sz w:val="22"/>
          <w:szCs w:val="22"/>
        </w:rPr>
        <w:t>Upshur</w:t>
      </w:r>
      <w:proofErr w:type="spellEnd"/>
      <w:r w:rsidRPr="00720862">
        <w:rPr>
          <w:rFonts w:cstheme="minorHAnsi"/>
          <w:color w:val="000000" w:themeColor="text1"/>
          <w:sz w:val="22"/>
          <w:szCs w:val="22"/>
        </w:rPr>
        <w:t xml:space="preserve"> R et al. (2020). Fair Allocation of Scarce Medical Resources in the Time of Covid-19. </w:t>
      </w:r>
      <w:r w:rsidRPr="00216125">
        <w:rPr>
          <w:rFonts w:cstheme="minorHAnsi"/>
          <w:i/>
          <w:iCs/>
          <w:color w:val="000000" w:themeColor="text1"/>
          <w:sz w:val="22"/>
          <w:szCs w:val="22"/>
        </w:rPr>
        <w:t>New England Journal of Medicine</w:t>
      </w:r>
      <w:r w:rsidRPr="00720862">
        <w:rPr>
          <w:rFonts w:cstheme="minorHAnsi"/>
          <w:color w:val="000000" w:themeColor="text1"/>
          <w:sz w:val="22"/>
          <w:szCs w:val="22"/>
        </w:rPr>
        <w:t>, 382: 2049-2055.</w:t>
      </w:r>
    </w:p>
    <w:p w14:paraId="43A7267B" w14:textId="09826087" w:rsidR="00F927F8" w:rsidRDefault="00F927F8" w:rsidP="005F2DA1">
      <w:pPr>
        <w:pStyle w:val="EndnoteText"/>
        <w:ind w:left="709" w:hanging="709"/>
        <w:rPr>
          <w:rFonts w:cstheme="minorHAnsi"/>
          <w:color w:val="000000" w:themeColor="text1"/>
          <w:sz w:val="22"/>
          <w:szCs w:val="22"/>
        </w:rPr>
      </w:pPr>
      <w:r>
        <w:rPr>
          <w:rFonts w:cstheme="minorHAnsi"/>
          <w:color w:val="000000" w:themeColor="text1"/>
          <w:sz w:val="22"/>
          <w:szCs w:val="22"/>
        </w:rPr>
        <w:t xml:space="preserve">43. </w:t>
      </w:r>
      <w:proofErr w:type="spellStart"/>
      <w:r w:rsidRPr="005F2DA1">
        <w:rPr>
          <w:rFonts w:cstheme="minorHAnsi"/>
          <w:color w:val="000000" w:themeColor="text1"/>
          <w:sz w:val="22"/>
          <w:szCs w:val="22"/>
        </w:rPr>
        <w:t>Mendiratta</w:t>
      </w:r>
      <w:proofErr w:type="spellEnd"/>
      <w:r>
        <w:rPr>
          <w:rFonts w:cstheme="minorHAnsi"/>
          <w:color w:val="000000" w:themeColor="text1"/>
          <w:sz w:val="22"/>
          <w:szCs w:val="22"/>
        </w:rPr>
        <w:t xml:space="preserve"> P,</w:t>
      </w:r>
      <w:r w:rsidRPr="005F2DA1">
        <w:rPr>
          <w:rFonts w:cstheme="minorHAnsi"/>
          <w:color w:val="000000" w:themeColor="text1"/>
          <w:sz w:val="22"/>
          <w:szCs w:val="22"/>
        </w:rPr>
        <w:t xml:space="preserve"> Latif</w:t>
      </w:r>
      <w:r>
        <w:rPr>
          <w:rFonts w:cstheme="minorHAnsi"/>
          <w:color w:val="000000" w:themeColor="text1"/>
          <w:sz w:val="22"/>
          <w:szCs w:val="22"/>
        </w:rPr>
        <w:t xml:space="preserve"> R. (2020). Clinical Fragility Scale. In </w:t>
      </w:r>
      <w:proofErr w:type="spellStart"/>
      <w:r w:rsidRPr="00216125">
        <w:rPr>
          <w:rFonts w:cstheme="minorHAnsi"/>
          <w:i/>
          <w:iCs/>
          <w:color w:val="000000" w:themeColor="text1"/>
          <w:sz w:val="22"/>
          <w:szCs w:val="22"/>
        </w:rPr>
        <w:t>StatPearls</w:t>
      </w:r>
      <w:proofErr w:type="spellEnd"/>
      <w:r w:rsidRPr="005F2DA1">
        <w:rPr>
          <w:rFonts w:cstheme="minorHAnsi"/>
          <w:color w:val="000000" w:themeColor="text1"/>
          <w:sz w:val="22"/>
          <w:szCs w:val="22"/>
        </w:rPr>
        <w:t>. Treasure Island</w:t>
      </w:r>
      <w:r>
        <w:rPr>
          <w:rFonts w:cstheme="minorHAnsi"/>
          <w:color w:val="000000" w:themeColor="text1"/>
          <w:sz w:val="22"/>
          <w:szCs w:val="22"/>
        </w:rPr>
        <w:t xml:space="preserve">, </w:t>
      </w:r>
      <w:r w:rsidRPr="005F2DA1">
        <w:rPr>
          <w:rFonts w:cstheme="minorHAnsi"/>
          <w:color w:val="000000" w:themeColor="text1"/>
          <w:sz w:val="22"/>
          <w:szCs w:val="22"/>
        </w:rPr>
        <w:t xml:space="preserve">FL: </w:t>
      </w:r>
      <w:proofErr w:type="spellStart"/>
      <w:r w:rsidRPr="005F2DA1">
        <w:rPr>
          <w:rFonts w:cstheme="minorHAnsi"/>
          <w:color w:val="000000" w:themeColor="text1"/>
          <w:sz w:val="22"/>
          <w:szCs w:val="22"/>
        </w:rPr>
        <w:t>StatPearls</w:t>
      </w:r>
      <w:proofErr w:type="spellEnd"/>
      <w:r w:rsidRPr="005F2DA1">
        <w:rPr>
          <w:rFonts w:cstheme="minorHAnsi"/>
          <w:color w:val="000000" w:themeColor="text1"/>
          <w:sz w:val="22"/>
          <w:szCs w:val="22"/>
        </w:rPr>
        <w:t xml:space="preserve"> Publishing; 2020 Jan.</w:t>
      </w:r>
      <w:r>
        <w:rPr>
          <w:rFonts w:cstheme="minorHAnsi"/>
          <w:color w:val="000000" w:themeColor="text1"/>
          <w:sz w:val="22"/>
          <w:szCs w:val="22"/>
        </w:rPr>
        <w:t xml:space="preserve"> Last updated June 22, 2020. Available on the </w:t>
      </w:r>
      <w:hyperlink r:id="rId18" w:history="1">
        <w:r w:rsidRPr="002A650F">
          <w:rPr>
            <w:rStyle w:val="Hyperlink"/>
            <w:rFonts w:cstheme="minorHAnsi"/>
            <w:sz w:val="22"/>
            <w:szCs w:val="22"/>
          </w:rPr>
          <w:t>NCBI website</w:t>
        </w:r>
      </w:hyperlink>
      <w:r>
        <w:rPr>
          <w:rFonts w:cstheme="minorHAnsi"/>
          <w:color w:val="000000" w:themeColor="text1"/>
          <w:sz w:val="22"/>
          <w:szCs w:val="22"/>
        </w:rPr>
        <w:t xml:space="preserve">. </w:t>
      </w:r>
    </w:p>
    <w:p w14:paraId="266E8007" w14:textId="0C39DC33" w:rsidR="00F927F8" w:rsidRDefault="00F927F8" w:rsidP="005F2DA1">
      <w:pPr>
        <w:pStyle w:val="EndnoteText"/>
        <w:ind w:left="709" w:hanging="709"/>
        <w:rPr>
          <w:rFonts w:cstheme="minorHAnsi"/>
          <w:sz w:val="22"/>
          <w:szCs w:val="22"/>
        </w:rPr>
      </w:pPr>
      <w:r>
        <w:rPr>
          <w:rFonts w:cstheme="minorHAnsi"/>
          <w:sz w:val="22"/>
          <w:szCs w:val="22"/>
        </w:rPr>
        <w:t xml:space="preserve">44. </w:t>
      </w:r>
      <w:proofErr w:type="spellStart"/>
      <w:r w:rsidRPr="00F02F18">
        <w:rPr>
          <w:rFonts w:cstheme="minorHAnsi"/>
          <w:sz w:val="22"/>
          <w:szCs w:val="22"/>
        </w:rPr>
        <w:t>Muscedere</w:t>
      </w:r>
      <w:proofErr w:type="spellEnd"/>
      <w:r w:rsidRPr="00F02F18">
        <w:rPr>
          <w:rFonts w:cstheme="minorHAnsi"/>
          <w:sz w:val="22"/>
          <w:szCs w:val="22"/>
        </w:rPr>
        <w:t xml:space="preserve"> J, Waters B, </w:t>
      </w:r>
      <w:proofErr w:type="spellStart"/>
      <w:r w:rsidRPr="00F02F18">
        <w:rPr>
          <w:rFonts w:cstheme="minorHAnsi"/>
          <w:sz w:val="22"/>
          <w:szCs w:val="22"/>
        </w:rPr>
        <w:t>Varambally</w:t>
      </w:r>
      <w:proofErr w:type="spellEnd"/>
      <w:r w:rsidRPr="00F02F18">
        <w:rPr>
          <w:rFonts w:cstheme="minorHAnsi"/>
          <w:sz w:val="22"/>
          <w:szCs w:val="22"/>
        </w:rPr>
        <w:t xml:space="preserve"> A et al. (2017). The impact of frailty on intensive care unit outcomes: a systematic review and meta-analysis. </w:t>
      </w:r>
      <w:r w:rsidRPr="00216125">
        <w:rPr>
          <w:rFonts w:cstheme="minorHAnsi"/>
          <w:i/>
          <w:iCs/>
          <w:sz w:val="22"/>
          <w:szCs w:val="22"/>
        </w:rPr>
        <w:t>Intensive Care Medicine</w:t>
      </w:r>
      <w:r w:rsidRPr="00F02F18">
        <w:rPr>
          <w:rFonts w:cstheme="minorHAnsi"/>
          <w:sz w:val="22"/>
          <w:szCs w:val="22"/>
        </w:rPr>
        <w:t>, 43(8): 1105-1122.</w:t>
      </w:r>
    </w:p>
    <w:p w14:paraId="1AE7B680" w14:textId="39EA4D20" w:rsidR="00F927F8" w:rsidRDefault="00F927F8" w:rsidP="005F2DA1">
      <w:pPr>
        <w:pStyle w:val="EndnoteText"/>
        <w:ind w:left="709" w:hanging="709"/>
        <w:rPr>
          <w:rFonts w:cstheme="minorHAnsi"/>
          <w:sz w:val="22"/>
          <w:szCs w:val="22"/>
        </w:rPr>
      </w:pPr>
      <w:r>
        <w:rPr>
          <w:rFonts w:cstheme="minorHAnsi"/>
          <w:sz w:val="22"/>
          <w:szCs w:val="22"/>
        </w:rPr>
        <w:t xml:space="preserve">45. </w:t>
      </w:r>
      <w:r w:rsidRPr="00F02F18">
        <w:rPr>
          <w:rFonts w:cstheme="minorHAnsi"/>
          <w:sz w:val="22"/>
          <w:szCs w:val="22"/>
        </w:rPr>
        <w:t xml:space="preserve">Rockwood R, </w:t>
      </w:r>
      <w:proofErr w:type="spellStart"/>
      <w:r w:rsidRPr="00F02F18">
        <w:rPr>
          <w:rFonts w:cstheme="minorHAnsi"/>
          <w:sz w:val="22"/>
          <w:szCs w:val="22"/>
        </w:rPr>
        <w:t>Theou</w:t>
      </w:r>
      <w:proofErr w:type="spellEnd"/>
      <w:r w:rsidRPr="00F02F18">
        <w:rPr>
          <w:rFonts w:cstheme="minorHAnsi"/>
          <w:sz w:val="22"/>
          <w:szCs w:val="22"/>
        </w:rPr>
        <w:t xml:space="preserve"> O. (2020). Using the Clinical Frailty Scale in Allocating Scarce Health Care Resources. </w:t>
      </w:r>
      <w:r w:rsidRPr="00216125">
        <w:rPr>
          <w:rFonts w:cstheme="minorHAnsi"/>
          <w:i/>
          <w:iCs/>
          <w:sz w:val="22"/>
          <w:szCs w:val="22"/>
        </w:rPr>
        <w:t>Canadian Geriatrics Journal</w:t>
      </w:r>
      <w:r w:rsidRPr="00F02F18">
        <w:rPr>
          <w:rFonts w:cstheme="minorHAnsi"/>
          <w:sz w:val="22"/>
          <w:szCs w:val="22"/>
        </w:rPr>
        <w:t>, 23(3): 210-215.</w:t>
      </w:r>
    </w:p>
    <w:p w14:paraId="6C9D8643" w14:textId="5A54DF05" w:rsidR="00F927F8" w:rsidRDefault="00F927F8" w:rsidP="005F2DA1">
      <w:pPr>
        <w:pStyle w:val="EndnoteText"/>
        <w:ind w:left="709" w:hanging="709"/>
        <w:rPr>
          <w:rFonts w:cstheme="minorHAnsi"/>
          <w:sz w:val="22"/>
          <w:szCs w:val="22"/>
        </w:rPr>
      </w:pPr>
      <w:r>
        <w:rPr>
          <w:rFonts w:cstheme="minorHAnsi"/>
          <w:sz w:val="22"/>
          <w:szCs w:val="22"/>
        </w:rPr>
        <w:t xml:space="preserve">46. </w:t>
      </w:r>
      <w:r w:rsidRPr="00F02F18">
        <w:rPr>
          <w:rFonts w:cstheme="minorHAnsi"/>
          <w:sz w:val="22"/>
          <w:szCs w:val="22"/>
        </w:rPr>
        <w:t xml:space="preserve">Brummel NE, Bell SP, Girard TD et al. (2017). Frailty and Subsequent Disability and Mortality among Patients with Critical Illness. </w:t>
      </w:r>
      <w:r w:rsidRPr="00216125">
        <w:rPr>
          <w:rFonts w:cstheme="minorHAnsi"/>
          <w:i/>
          <w:iCs/>
          <w:sz w:val="22"/>
          <w:szCs w:val="22"/>
        </w:rPr>
        <w:t>American Journal of Respiratory and Critical Care Medicine</w:t>
      </w:r>
      <w:r w:rsidRPr="00F02F18">
        <w:rPr>
          <w:rFonts w:cstheme="minorHAnsi"/>
          <w:sz w:val="22"/>
          <w:szCs w:val="22"/>
        </w:rPr>
        <w:t>, 196(1): 64-72.</w:t>
      </w:r>
    </w:p>
    <w:p w14:paraId="04FC9DB5" w14:textId="63E6E412" w:rsidR="00F927F8" w:rsidRDefault="00F927F8" w:rsidP="005F2DA1">
      <w:pPr>
        <w:pStyle w:val="EndnoteText"/>
        <w:ind w:left="709" w:hanging="709"/>
        <w:rPr>
          <w:rFonts w:cstheme="minorHAnsi"/>
          <w:sz w:val="22"/>
          <w:szCs w:val="22"/>
        </w:rPr>
      </w:pPr>
      <w:r>
        <w:rPr>
          <w:rFonts w:cstheme="minorHAnsi"/>
          <w:sz w:val="22"/>
          <w:szCs w:val="22"/>
        </w:rPr>
        <w:t xml:space="preserve">47. </w:t>
      </w:r>
      <w:r w:rsidRPr="00F02F18">
        <w:rPr>
          <w:rFonts w:cstheme="minorHAnsi"/>
          <w:sz w:val="22"/>
          <w:szCs w:val="22"/>
        </w:rPr>
        <w:t xml:space="preserve">Bagshaw SM, </w:t>
      </w:r>
      <w:proofErr w:type="spellStart"/>
      <w:r w:rsidRPr="00F02F18">
        <w:rPr>
          <w:rFonts w:cstheme="minorHAnsi"/>
          <w:sz w:val="22"/>
          <w:szCs w:val="22"/>
        </w:rPr>
        <w:t>Stelfox</w:t>
      </w:r>
      <w:proofErr w:type="spellEnd"/>
      <w:r w:rsidRPr="00F02F18">
        <w:rPr>
          <w:rFonts w:cstheme="minorHAnsi"/>
          <w:sz w:val="22"/>
          <w:szCs w:val="22"/>
        </w:rPr>
        <w:t xml:space="preserve"> HT, </w:t>
      </w:r>
      <w:proofErr w:type="spellStart"/>
      <w:r w:rsidRPr="00F02F18">
        <w:rPr>
          <w:rFonts w:cstheme="minorHAnsi"/>
          <w:sz w:val="22"/>
          <w:szCs w:val="22"/>
        </w:rPr>
        <w:t>McDermid</w:t>
      </w:r>
      <w:proofErr w:type="spellEnd"/>
      <w:r w:rsidRPr="00F02F18">
        <w:rPr>
          <w:rFonts w:cstheme="minorHAnsi"/>
          <w:sz w:val="22"/>
          <w:szCs w:val="22"/>
        </w:rPr>
        <w:t xml:space="preserve"> RC et al. (2014). Association between frailty and short- and long-term outcomes among critically ill patients: a multicentre prospective cohort study. </w:t>
      </w:r>
      <w:r w:rsidRPr="00216125">
        <w:rPr>
          <w:rFonts w:cstheme="minorHAnsi"/>
          <w:i/>
          <w:iCs/>
          <w:sz w:val="22"/>
          <w:szCs w:val="22"/>
        </w:rPr>
        <w:t>Canadian Medical Association Journal</w:t>
      </w:r>
      <w:r w:rsidRPr="00F02F18">
        <w:rPr>
          <w:rFonts w:cstheme="minorHAnsi"/>
          <w:sz w:val="22"/>
          <w:szCs w:val="22"/>
        </w:rPr>
        <w:t>, 186(2): E95-102.</w:t>
      </w:r>
    </w:p>
    <w:p w14:paraId="2BC874FC" w14:textId="4186D6E8" w:rsidR="00F927F8" w:rsidRDefault="00F927F8" w:rsidP="005F2DA1">
      <w:pPr>
        <w:pStyle w:val="EndnoteText"/>
        <w:ind w:left="709" w:hanging="709"/>
        <w:rPr>
          <w:rFonts w:cstheme="minorHAnsi"/>
          <w:sz w:val="22"/>
          <w:szCs w:val="22"/>
        </w:rPr>
      </w:pPr>
      <w:r>
        <w:rPr>
          <w:rFonts w:cstheme="minorHAnsi"/>
          <w:sz w:val="22"/>
          <w:szCs w:val="22"/>
        </w:rPr>
        <w:t xml:space="preserve">48. </w:t>
      </w:r>
      <w:r w:rsidRPr="00F02F18">
        <w:rPr>
          <w:rFonts w:cstheme="minorHAnsi"/>
          <w:sz w:val="22"/>
          <w:szCs w:val="22"/>
        </w:rPr>
        <w:t xml:space="preserve">Hewitt D, Booth MG. (2020). The FRAIL-FIT study: Frailty's relationship with adverse-event incidence in the longer term, at one year following intensive care unit treatment - A retrospective observational cohort study. </w:t>
      </w:r>
      <w:r w:rsidRPr="00216125">
        <w:rPr>
          <w:rFonts w:cstheme="minorHAnsi"/>
          <w:i/>
          <w:iCs/>
          <w:sz w:val="22"/>
          <w:szCs w:val="22"/>
        </w:rPr>
        <w:t>Journal of the Intensive Care Society</w:t>
      </w:r>
      <w:r w:rsidRPr="00F02F18">
        <w:rPr>
          <w:rFonts w:cstheme="minorHAnsi"/>
          <w:sz w:val="22"/>
          <w:szCs w:val="22"/>
        </w:rPr>
        <w:t>, 21(2): 124-133.</w:t>
      </w:r>
    </w:p>
    <w:p w14:paraId="6CEF6CAD" w14:textId="0CF50BD4" w:rsidR="00F927F8" w:rsidRDefault="00F927F8" w:rsidP="005F2DA1">
      <w:pPr>
        <w:pStyle w:val="EndnoteText"/>
        <w:ind w:left="709" w:hanging="709"/>
        <w:rPr>
          <w:rFonts w:cstheme="minorHAnsi"/>
          <w:sz w:val="22"/>
          <w:szCs w:val="22"/>
        </w:rPr>
      </w:pPr>
      <w:r>
        <w:rPr>
          <w:rFonts w:cstheme="minorHAnsi"/>
          <w:sz w:val="22"/>
          <w:szCs w:val="22"/>
        </w:rPr>
        <w:t xml:space="preserve">49. </w:t>
      </w:r>
      <w:r w:rsidRPr="00F02F18">
        <w:rPr>
          <w:rFonts w:cstheme="minorHAnsi"/>
          <w:sz w:val="22"/>
          <w:szCs w:val="22"/>
        </w:rPr>
        <w:t>Silva-</w:t>
      </w:r>
      <w:proofErr w:type="spellStart"/>
      <w:r w:rsidRPr="00F02F18">
        <w:rPr>
          <w:rFonts w:cstheme="minorHAnsi"/>
          <w:sz w:val="22"/>
          <w:szCs w:val="22"/>
        </w:rPr>
        <w:t>Obregón</w:t>
      </w:r>
      <w:proofErr w:type="spellEnd"/>
      <w:r w:rsidRPr="00F02F18">
        <w:rPr>
          <w:rFonts w:cstheme="minorHAnsi"/>
          <w:sz w:val="22"/>
          <w:szCs w:val="22"/>
        </w:rPr>
        <w:t xml:space="preserve"> JA, Quintana-</w:t>
      </w:r>
      <w:proofErr w:type="spellStart"/>
      <w:r w:rsidRPr="00F02F18">
        <w:rPr>
          <w:rFonts w:cstheme="minorHAnsi"/>
          <w:sz w:val="22"/>
          <w:szCs w:val="22"/>
        </w:rPr>
        <w:t>Díaz</w:t>
      </w:r>
      <w:proofErr w:type="spellEnd"/>
      <w:r w:rsidRPr="00F02F18">
        <w:rPr>
          <w:rFonts w:cstheme="minorHAnsi"/>
          <w:sz w:val="22"/>
          <w:szCs w:val="22"/>
        </w:rPr>
        <w:t xml:space="preserve"> M, </w:t>
      </w:r>
      <w:proofErr w:type="spellStart"/>
      <w:r w:rsidRPr="00F02F18">
        <w:rPr>
          <w:rFonts w:cstheme="minorHAnsi"/>
          <w:sz w:val="22"/>
          <w:szCs w:val="22"/>
        </w:rPr>
        <w:t>Saboya</w:t>
      </w:r>
      <w:proofErr w:type="spellEnd"/>
      <w:r w:rsidRPr="00F02F18">
        <w:rPr>
          <w:rFonts w:cstheme="minorHAnsi"/>
          <w:sz w:val="22"/>
          <w:szCs w:val="22"/>
        </w:rPr>
        <w:t xml:space="preserve">-Sánchez S et al. (2020). Frailty as a predictor of short- and long-term mortality in critically ill older medical patients. </w:t>
      </w:r>
      <w:r w:rsidRPr="00216125">
        <w:rPr>
          <w:rFonts w:cstheme="minorHAnsi"/>
          <w:i/>
          <w:iCs/>
          <w:sz w:val="22"/>
          <w:szCs w:val="22"/>
        </w:rPr>
        <w:t>Journal of Critical Care</w:t>
      </w:r>
      <w:r w:rsidRPr="00F02F18">
        <w:rPr>
          <w:rFonts w:cstheme="minorHAnsi"/>
          <w:sz w:val="22"/>
          <w:szCs w:val="22"/>
        </w:rPr>
        <w:t>, 55: 79-85.</w:t>
      </w:r>
    </w:p>
    <w:p w14:paraId="2FD373D2" w14:textId="6BDEE615" w:rsidR="00F927F8" w:rsidRDefault="00F927F8" w:rsidP="005F2DA1">
      <w:pPr>
        <w:pStyle w:val="EndnoteText"/>
        <w:ind w:left="709" w:hanging="709"/>
        <w:rPr>
          <w:rFonts w:cstheme="minorHAnsi"/>
          <w:sz w:val="22"/>
          <w:szCs w:val="22"/>
        </w:rPr>
      </w:pPr>
      <w:r>
        <w:rPr>
          <w:rFonts w:cstheme="minorHAnsi"/>
          <w:sz w:val="22"/>
          <w:szCs w:val="22"/>
        </w:rPr>
        <w:t xml:space="preserve">50. </w:t>
      </w:r>
      <w:r w:rsidRPr="00F02F18">
        <w:rPr>
          <w:rFonts w:cstheme="minorHAnsi"/>
          <w:sz w:val="22"/>
          <w:szCs w:val="22"/>
        </w:rPr>
        <w:t xml:space="preserve">Fernando SM, </w:t>
      </w:r>
      <w:proofErr w:type="spellStart"/>
      <w:r w:rsidRPr="00F02F18">
        <w:rPr>
          <w:rFonts w:cstheme="minorHAnsi"/>
          <w:sz w:val="22"/>
          <w:szCs w:val="22"/>
        </w:rPr>
        <w:t>McIsaac</w:t>
      </w:r>
      <w:proofErr w:type="spellEnd"/>
      <w:r w:rsidRPr="00F02F18">
        <w:rPr>
          <w:rFonts w:cstheme="minorHAnsi"/>
          <w:sz w:val="22"/>
          <w:szCs w:val="22"/>
        </w:rPr>
        <w:t xml:space="preserve"> DI, Perry JJ et al. (2019). Frailty and Associated Outcomes and Resource Utilization Among Older ICU Patients </w:t>
      </w:r>
      <w:r>
        <w:rPr>
          <w:rFonts w:cstheme="minorHAnsi"/>
          <w:sz w:val="22"/>
          <w:szCs w:val="22"/>
        </w:rPr>
        <w:t>w</w:t>
      </w:r>
      <w:r w:rsidRPr="00F02F18">
        <w:rPr>
          <w:rFonts w:cstheme="minorHAnsi"/>
          <w:sz w:val="22"/>
          <w:szCs w:val="22"/>
        </w:rPr>
        <w:t xml:space="preserve">ith Suspected Infection. </w:t>
      </w:r>
      <w:r w:rsidRPr="00216125">
        <w:rPr>
          <w:rFonts w:cstheme="minorHAnsi"/>
          <w:i/>
          <w:iCs/>
          <w:sz w:val="22"/>
          <w:szCs w:val="22"/>
        </w:rPr>
        <w:t>Critical Care Medicine</w:t>
      </w:r>
      <w:r w:rsidRPr="00F02F18">
        <w:rPr>
          <w:rFonts w:cstheme="minorHAnsi"/>
          <w:sz w:val="22"/>
          <w:szCs w:val="22"/>
        </w:rPr>
        <w:t>, 47(8): e669-e676.</w:t>
      </w:r>
    </w:p>
    <w:p w14:paraId="327DC269" w14:textId="0514D945" w:rsidR="00F927F8" w:rsidRDefault="00F927F8" w:rsidP="005F2DA1">
      <w:pPr>
        <w:pStyle w:val="EndnoteText"/>
        <w:ind w:left="709" w:hanging="709"/>
        <w:rPr>
          <w:rFonts w:cstheme="minorHAnsi"/>
          <w:sz w:val="22"/>
          <w:szCs w:val="22"/>
        </w:rPr>
      </w:pPr>
      <w:r>
        <w:rPr>
          <w:rFonts w:cstheme="minorHAnsi"/>
          <w:sz w:val="22"/>
          <w:szCs w:val="22"/>
        </w:rPr>
        <w:t xml:space="preserve">51. </w:t>
      </w:r>
      <w:r w:rsidRPr="00C90468">
        <w:rPr>
          <w:rFonts w:cstheme="minorHAnsi"/>
          <w:sz w:val="22"/>
          <w:szCs w:val="22"/>
        </w:rPr>
        <w:t>Montero-</w:t>
      </w:r>
      <w:proofErr w:type="spellStart"/>
      <w:r w:rsidRPr="00C90468">
        <w:rPr>
          <w:rFonts w:cstheme="minorHAnsi"/>
          <w:sz w:val="22"/>
          <w:szCs w:val="22"/>
        </w:rPr>
        <w:t>Odasso</w:t>
      </w:r>
      <w:proofErr w:type="spellEnd"/>
      <w:r w:rsidRPr="00C90468">
        <w:rPr>
          <w:rFonts w:cstheme="minorHAnsi"/>
          <w:sz w:val="22"/>
          <w:szCs w:val="22"/>
        </w:rPr>
        <w:t xml:space="preserve"> M, Hogan DB, Lam R et al. (2020). Age Alone is not Adequate to Determine Health-care Resource Allocation During the COVID-19 Pandemic. </w:t>
      </w:r>
      <w:r w:rsidRPr="00216125">
        <w:rPr>
          <w:rFonts w:cstheme="minorHAnsi"/>
          <w:i/>
          <w:iCs/>
          <w:sz w:val="22"/>
          <w:szCs w:val="22"/>
        </w:rPr>
        <w:t>Canadian Geriatrics Journal</w:t>
      </w:r>
      <w:r w:rsidRPr="00C90468">
        <w:rPr>
          <w:rFonts w:cstheme="minorHAnsi"/>
          <w:sz w:val="22"/>
          <w:szCs w:val="22"/>
        </w:rPr>
        <w:t>, 21(1): 152-154.</w:t>
      </w:r>
    </w:p>
    <w:p w14:paraId="0BDFD0C9" w14:textId="0EF5F6DD" w:rsidR="00F927F8" w:rsidRDefault="00F927F8" w:rsidP="005F2DA1">
      <w:pPr>
        <w:pStyle w:val="EndnoteText"/>
        <w:ind w:left="709" w:hanging="709"/>
        <w:rPr>
          <w:rFonts w:cstheme="minorHAnsi"/>
          <w:sz w:val="22"/>
          <w:szCs w:val="22"/>
        </w:rPr>
      </w:pPr>
      <w:r>
        <w:rPr>
          <w:rFonts w:cstheme="minorHAnsi"/>
          <w:sz w:val="22"/>
          <w:szCs w:val="22"/>
        </w:rPr>
        <w:t xml:space="preserve">52. </w:t>
      </w:r>
      <w:proofErr w:type="spellStart"/>
      <w:r w:rsidRPr="00C90468">
        <w:rPr>
          <w:rFonts w:cstheme="minorHAnsi"/>
          <w:sz w:val="22"/>
          <w:szCs w:val="22"/>
        </w:rPr>
        <w:t>Guidet</w:t>
      </w:r>
      <w:proofErr w:type="spellEnd"/>
      <w:r w:rsidRPr="00C90468">
        <w:rPr>
          <w:rFonts w:cstheme="minorHAnsi"/>
          <w:sz w:val="22"/>
          <w:szCs w:val="22"/>
        </w:rPr>
        <w:t xml:space="preserve"> B, de Lange DW, </w:t>
      </w:r>
      <w:proofErr w:type="spellStart"/>
      <w:r w:rsidRPr="00C90468">
        <w:rPr>
          <w:rFonts w:cstheme="minorHAnsi"/>
          <w:sz w:val="22"/>
          <w:szCs w:val="22"/>
        </w:rPr>
        <w:t>Boumendil</w:t>
      </w:r>
      <w:proofErr w:type="spellEnd"/>
      <w:r w:rsidRPr="00C90468">
        <w:rPr>
          <w:rFonts w:cstheme="minorHAnsi"/>
          <w:sz w:val="22"/>
          <w:szCs w:val="22"/>
        </w:rPr>
        <w:t xml:space="preserve"> A et al. (2020). The contribution of frailty, cognition, activity of daily life and comorbidities on outcome in acutely admitted patients over 80 years in European ICUs: the VIP2 study. </w:t>
      </w:r>
      <w:r w:rsidRPr="00216125">
        <w:rPr>
          <w:rFonts w:cstheme="minorHAnsi"/>
          <w:i/>
          <w:iCs/>
          <w:sz w:val="22"/>
          <w:szCs w:val="22"/>
        </w:rPr>
        <w:t>Intensive Care Medicine</w:t>
      </w:r>
      <w:r w:rsidRPr="00C90468">
        <w:rPr>
          <w:rFonts w:cstheme="minorHAnsi"/>
          <w:sz w:val="22"/>
          <w:szCs w:val="22"/>
        </w:rPr>
        <w:t>, 46(1): 57-69.</w:t>
      </w:r>
    </w:p>
    <w:p w14:paraId="0D0C365C" w14:textId="204FCA90" w:rsidR="00F927F8" w:rsidRPr="00720862" w:rsidRDefault="00F927F8" w:rsidP="005F2DA1">
      <w:pPr>
        <w:pStyle w:val="EndnoteText"/>
        <w:ind w:left="709" w:hanging="709"/>
        <w:rPr>
          <w:rFonts w:cstheme="minorHAnsi"/>
          <w:sz w:val="22"/>
          <w:szCs w:val="22"/>
        </w:rPr>
      </w:pPr>
      <w:r>
        <w:rPr>
          <w:rFonts w:cstheme="minorHAnsi"/>
          <w:sz w:val="22"/>
          <w:szCs w:val="22"/>
        </w:rPr>
        <w:t xml:space="preserve">53. </w:t>
      </w:r>
      <w:r w:rsidRPr="00C90468">
        <w:rPr>
          <w:rFonts w:cstheme="minorHAnsi"/>
          <w:sz w:val="22"/>
          <w:szCs w:val="22"/>
        </w:rPr>
        <w:t xml:space="preserve">Hewitt J, Carter B, </w:t>
      </w:r>
      <w:proofErr w:type="spellStart"/>
      <w:r w:rsidRPr="00C90468">
        <w:rPr>
          <w:rFonts w:cstheme="minorHAnsi"/>
          <w:sz w:val="22"/>
          <w:szCs w:val="22"/>
        </w:rPr>
        <w:t>Vilches</w:t>
      </w:r>
      <w:proofErr w:type="spellEnd"/>
      <w:r w:rsidRPr="00C90468">
        <w:rPr>
          <w:rFonts w:cstheme="minorHAnsi"/>
          <w:sz w:val="22"/>
          <w:szCs w:val="22"/>
        </w:rPr>
        <w:t xml:space="preserve">-Moraga A et al. (2020). The effect of frailty on survival in patients with COVID-19 (COPE): a multicentre, European, observational cohort study. </w:t>
      </w:r>
      <w:r w:rsidRPr="00216125">
        <w:rPr>
          <w:rFonts w:cstheme="minorHAnsi"/>
          <w:i/>
          <w:iCs/>
          <w:sz w:val="22"/>
          <w:szCs w:val="22"/>
        </w:rPr>
        <w:t>Lancet Public Health</w:t>
      </w:r>
      <w:r w:rsidRPr="00C90468">
        <w:rPr>
          <w:rFonts w:cstheme="minorHAnsi"/>
          <w:sz w:val="22"/>
          <w:szCs w:val="22"/>
        </w:rPr>
        <w:t>, 5(8): e444-e451.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Roman">
    <w:altName w:val="Times New Roman"/>
    <w:panose1 w:val="00000000000000000000"/>
    <w:charset w:val="00"/>
    <w:family w:val="swiss"/>
    <w:notTrueType/>
    <w:pitch w:val="default"/>
    <w:sig w:usb0="00000003" w:usb1="08070000" w:usb2="00000010" w:usb3="00000000" w:csb0="00020001"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184AF" w14:textId="264B4A12" w:rsidR="00F927F8" w:rsidRPr="003A677F" w:rsidRDefault="00F927F8">
    <w:pPr>
      <w:pStyle w:val="Footer"/>
      <w:rPr>
        <w:rFonts w:cstheme="minorHAnsi"/>
        <w:sz w:val="22"/>
        <w:szCs w:val="22"/>
      </w:rPr>
    </w:pPr>
    <w:r w:rsidRPr="003A677F">
      <w:rPr>
        <w:rFonts w:cstheme="minorHAnsi"/>
        <w:sz w:val="22"/>
        <w:szCs w:val="22"/>
        <w:lang w:val="en-US"/>
      </w:rPr>
      <w:t xml:space="preserve">Page </w:t>
    </w:r>
    <w:r w:rsidRPr="003A677F">
      <w:rPr>
        <w:rFonts w:cstheme="minorHAnsi"/>
        <w:sz w:val="22"/>
        <w:szCs w:val="22"/>
        <w:lang w:val="en-US"/>
      </w:rPr>
      <w:fldChar w:fldCharType="begin"/>
    </w:r>
    <w:r w:rsidRPr="003A677F">
      <w:rPr>
        <w:rFonts w:cstheme="minorHAnsi"/>
        <w:sz w:val="22"/>
        <w:szCs w:val="22"/>
        <w:lang w:val="en-US"/>
      </w:rPr>
      <w:instrText xml:space="preserve"> PAGE </w:instrText>
    </w:r>
    <w:r w:rsidRPr="003A677F">
      <w:rPr>
        <w:rFonts w:cstheme="minorHAnsi"/>
        <w:sz w:val="22"/>
        <w:szCs w:val="22"/>
        <w:lang w:val="en-US"/>
      </w:rPr>
      <w:fldChar w:fldCharType="separate"/>
    </w:r>
    <w:r w:rsidR="00F62FE6">
      <w:rPr>
        <w:rFonts w:cstheme="minorHAnsi"/>
        <w:noProof/>
        <w:sz w:val="22"/>
        <w:szCs w:val="22"/>
        <w:lang w:val="en-US"/>
      </w:rPr>
      <w:t>36</w:t>
    </w:r>
    <w:r w:rsidRPr="003A677F">
      <w:rPr>
        <w:rFonts w:cstheme="minorHAnsi"/>
        <w:sz w:val="22"/>
        <w:szCs w:val="22"/>
        <w:lang w:val="en-US"/>
      </w:rPr>
      <w:fldChar w:fldCharType="end"/>
    </w:r>
    <w:r w:rsidRPr="003A677F">
      <w:rPr>
        <w:rFonts w:cstheme="minorHAnsi"/>
        <w:sz w:val="22"/>
        <w:szCs w:val="22"/>
        <w:lang w:val="en-US"/>
      </w:rPr>
      <w:t xml:space="preserve"> of </w:t>
    </w:r>
    <w:r w:rsidRPr="003A677F">
      <w:rPr>
        <w:rFonts w:cstheme="minorHAnsi"/>
        <w:sz w:val="22"/>
        <w:szCs w:val="22"/>
        <w:lang w:val="en-US"/>
      </w:rPr>
      <w:fldChar w:fldCharType="begin"/>
    </w:r>
    <w:r w:rsidRPr="003A677F">
      <w:rPr>
        <w:rFonts w:cstheme="minorHAnsi"/>
        <w:sz w:val="22"/>
        <w:szCs w:val="22"/>
        <w:lang w:val="en-US"/>
      </w:rPr>
      <w:instrText xml:space="preserve"> NUMPAGES </w:instrText>
    </w:r>
    <w:r w:rsidRPr="003A677F">
      <w:rPr>
        <w:rFonts w:cstheme="minorHAnsi"/>
        <w:sz w:val="22"/>
        <w:szCs w:val="22"/>
        <w:lang w:val="en-US"/>
      </w:rPr>
      <w:fldChar w:fldCharType="separate"/>
    </w:r>
    <w:r w:rsidR="00F62FE6">
      <w:rPr>
        <w:rFonts w:cstheme="minorHAnsi"/>
        <w:noProof/>
        <w:sz w:val="22"/>
        <w:szCs w:val="22"/>
        <w:lang w:val="en-US"/>
      </w:rPr>
      <w:t>36</w:t>
    </w:r>
    <w:r w:rsidRPr="003A677F">
      <w:rPr>
        <w:rFonts w:cstheme="minorHAnsi"/>
        <w:sz w:val="22"/>
        <w:szCs w:val="22"/>
        <w:lang w:val="en-US"/>
      </w:rPr>
      <w:fldChar w:fldCharType="end"/>
    </w:r>
    <w:r w:rsidRPr="003A677F">
      <w:rPr>
        <w:rFonts w:cstheme="minorHAnsi"/>
        <w:sz w:val="22"/>
        <w:szCs w:val="22"/>
        <w:lang w:val="en-US"/>
      </w:rPr>
      <w:t xml:space="preserve"> – Critical Care Triage during Major Surge in the COVID-19 Pandemic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EFE29" w14:textId="77777777" w:rsidR="00872016" w:rsidRDefault="00872016" w:rsidP="00EC7EAF">
      <w:r>
        <w:separator/>
      </w:r>
    </w:p>
  </w:footnote>
  <w:footnote w:type="continuationSeparator" w:id="0">
    <w:p w14:paraId="456BB2E4" w14:textId="77777777" w:rsidR="00872016" w:rsidRDefault="00872016" w:rsidP="00EC7EAF">
      <w:r>
        <w:continuationSeparator/>
      </w:r>
    </w:p>
  </w:footnote>
  <w:footnote w:id="1">
    <w:p w14:paraId="46648A32" w14:textId="11A0ECA1" w:rsidR="00F927F8" w:rsidRPr="001F23BC" w:rsidRDefault="00F927F8" w:rsidP="109A04B4">
      <w:pPr>
        <w:pStyle w:val="FootnoteText"/>
        <w:rPr>
          <w:sz w:val="18"/>
          <w:szCs w:val="18"/>
        </w:rPr>
      </w:pPr>
      <w:r w:rsidRPr="109A04B4">
        <w:rPr>
          <w:rStyle w:val="FootnoteReference"/>
          <w:sz w:val="18"/>
          <w:szCs w:val="18"/>
        </w:rPr>
        <w:footnoteRef/>
      </w:r>
      <w:r w:rsidRPr="109A04B4">
        <w:rPr>
          <w:sz w:val="18"/>
          <w:szCs w:val="18"/>
        </w:rPr>
        <w:t xml:space="preserve"> Further details regarding the process by which this </w:t>
      </w:r>
      <w:r w:rsidRPr="109A04B4">
        <w:rPr>
          <w:i/>
          <w:iCs/>
          <w:sz w:val="18"/>
          <w:szCs w:val="18"/>
        </w:rPr>
        <w:t>Proposed Framework</w:t>
      </w:r>
      <w:r w:rsidRPr="109A04B4">
        <w:rPr>
          <w:sz w:val="18"/>
          <w:szCs w:val="18"/>
        </w:rPr>
        <w:t xml:space="preserve"> was developed can be found in Appendix A.</w:t>
      </w:r>
    </w:p>
  </w:footnote>
  <w:footnote w:id="2">
    <w:p w14:paraId="2DAAF56F" w14:textId="001607F2" w:rsidR="00F927F8" w:rsidRPr="001C6086" w:rsidRDefault="00F927F8" w:rsidP="00B2026C">
      <w:pPr>
        <w:pStyle w:val="FootnoteText"/>
        <w:rPr>
          <w:sz w:val="18"/>
          <w:szCs w:val="18"/>
        </w:rPr>
      </w:pPr>
      <w:r w:rsidRPr="109A04B4">
        <w:rPr>
          <w:rStyle w:val="FootnoteReference"/>
        </w:rPr>
        <w:footnoteRef/>
      </w:r>
      <w:r>
        <w:t xml:space="preserve"> </w:t>
      </w:r>
      <w:r w:rsidRPr="001C6086">
        <w:rPr>
          <w:sz w:val="18"/>
          <w:szCs w:val="18"/>
        </w:rPr>
        <w:t xml:space="preserve">Critical Care Services Ontario </w:t>
      </w:r>
      <w:hyperlink r:id="rId1" w:history="1">
        <w:r w:rsidRPr="001C6086">
          <w:rPr>
            <w:rStyle w:val="Hyperlink"/>
            <w:sz w:val="18"/>
            <w:szCs w:val="18"/>
          </w:rPr>
          <w:t>defines</w:t>
        </w:r>
      </w:hyperlink>
      <w:r w:rsidRPr="001C6086">
        <w:rPr>
          <w:sz w:val="18"/>
          <w:szCs w:val="18"/>
        </w:rPr>
        <w:t xml:space="preserve"> critical care services as follows: “</w:t>
      </w:r>
      <w:r w:rsidRPr="001C6086">
        <w:rPr>
          <w:color w:val="262626" w:themeColor="text1" w:themeTint="D9"/>
          <w:sz w:val="18"/>
          <w:szCs w:val="18"/>
        </w:rPr>
        <w:t>Critical care services meet the needs of patients facing an immediate life-threatening health condition—specifically, that in which vital system organs are at risk of failing. Using advanced therapeutic, monitoring and diagnostic technology, the objective of critical care is to maintain organ system functioning and improve the patient’s condition such that his or her underlying injury or illness can then be treated.”</w:t>
      </w:r>
    </w:p>
  </w:footnote>
  <w:footnote w:id="3">
    <w:p w14:paraId="0EA595B5" w14:textId="5B309162" w:rsidR="00F927F8" w:rsidRDefault="00F927F8">
      <w:pPr>
        <w:pStyle w:val="FootnoteText"/>
      </w:pPr>
      <w:r>
        <w:rPr>
          <w:rStyle w:val="FootnoteReference"/>
        </w:rPr>
        <w:footnoteRef/>
      </w:r>
      <w:r>
        <w:t xml:space="preserve"> </w:t>
      </w:r>
      <w:r w:rsidRPr="00720862">
        <w:rPr>
          <w:sz w:val="18"/>
          <w:szCs w:val="18"/>
        </w:rPr>
        <w:t>We note that “an extended period of time” is not well-defined in this definition. We interpret this as any period of time where existing surge planning cannot accommodate the real or expected demand for resources.</w:t>
      </w:r>
    </w:p>
  </w:footnote>
  <w:footnote w:id="4">
    <w:p w14:paraId="1A28E359" w14:textId="0303B4A1" w:rsidR="00F927F8" w:rsidRDefault="00F927F8">
      <w:pPr>
        <w:pStyle w:val="FootnoteText"/>
      </w:pPr>
      <w:r>
        <w:rPr>
          <w:rStyle w:val="FootnoteReference"/>
        </w:rPr>
        <w:footnoteRef/>
      </w:r>
      <w:r>
        <w:t xml:space="preserve"> </w:t>
      </w:r>
      <w:r w:rsidRPr="00720862">
        <w:rPr>
          <w:sz w:val="18"/>
          <w:szCs w:val="18"/>
        </w:rPr>
        <w:t xml:space="preserve">See Critical Care Services Ontario’s website on </w:t>
      </w:r>
      <w:hyperlink r:id="rId2" w:history="1">
        <w:r w:rsidRPr="00720862">
          <w:rPr>
            <w:rStyle w:val="Hyperlink"/>
            <w:sz w:val="18"/>
            <w:szCs w:val="18"/>
          </w:rPr>
          <w:t>Surge Capacity Management</w:t>
        </w:r>
      </w:hyperlink>
      <w:r w:rsidRPr="00720862">
        <w:rPr>
          <w:sz w:val="18"/>
          <w:szCs w:val="18"/>
        </w:rPr>
        <w:t>.</w:t>
      </w:r>
    </w:p>
  </w:footnote>
  <w:footnote w:id="5">
    <w:p w14:paraId="7BD1DE23" w14:textId="41C4158E" w:rsidR="00F927F8" w:rsidRDefault="00F927F8" w:rsidP="109A04B4">
      <w:pPr>
        <w:rPr>
          <w:rFonts w:ascii="Calibri" w:eastAsia="Calibri" w:hAnsi="Calibri" w:cs="Calibri"/>
          <w:sz w:val="18"/>
          <w:szCs w:val="18"/>
        </w:rPr>
      </w:pPr>
      <w:r w:rsidRPr="109A04B4">
        <w:rPr>
          <w:rStyle w:val="FootnoteReference"/>
        </w:rPr>
        <w:footnoteRef/>
      </w:r>
      <w:r>
        <w:t xml:space="preserve"> </w:t>
      </w:r>
      <w:r w:rsidRPr="109A04B4">
        <w:rPr>
          <w:rFonts w:ascii="Calibri" w:eastAsia="Calibri" w:hAnsi="Calibri" w:cs="Calibri"/>
          <w:sz w:val="18"/>
          <w:szCs w:val="18"/>
        </w:rPr>
        <w:t xml:space="preserve">The right to non-discrimination is protected in both the Ontario Human Rights Code and the Canadian Charter of Human Rights and Freedoms, and in numerous international human rights treaties that Canada has ratified, including the International Covenant on Civil and Political Rights, the International Covenant on Economic, Social and Cultural Rights, the Convention on the Elimination of Racial Discrimination, the Convention on the Rights of Women, and the Convention on the Rights of People with Disabilities. See </w:t>
      </w:r>
      <w:r>
        <w:rPr>
          <w:rFonts w:ascii="Calibri" w:eastAsia="Calibri" w:hAnsi="Calibri" w:cs="Calibri"/>
          <w:sz w:val="18"/>
          <w:szCs w:val="18"/>
        </w:rPr>
        <w:t>Appendix D</w:t>
      </w:r>
      <w:r w:rsidRPr="109A04B4">
        <w:rPr>
          <w:rFonts w:ascii="Calibri" w:eastAsia="Calibri" w:hAnsi="Calibri" w:cs="Calibri"/>
          <w:sz w:val="18"/>
          <w:szCs w:val="18"/>
        </w:rPr>
        <w:t>.</w:t>
      </w:r>
    </w:p>
  </w:footnote>
  <w:footnote w:id="6">
    <w:p w14:paraId="24B8EAC5" w14:textId="56811ED7" w:rsidR="00F927F8" w:rsidRDefault="00F927F8" w:rsidP="109A04B4">
      <w:pPr>
        <w:pStyle w:val="FootnoteText"/>
        <w:rPr>
          <w:rFonts w:ascii="Calibri" w:eastAsia="Calibri" w:hAnsi="Calibri" w:cs="Calibri"/>
          <w:sz w:val="22"/>
          <w:szCs w:val="22"/>
        </w:rPr>
      </w:pPr>
      <w:r w:rsidRPr="109A04B4">
        <w:rPr>
          <w:rStyle w:val="FootnoteReference"/>
        </w:rPr>
        <w:footnoteRef/>
      </w:r>
      <w:r>
        <w:t xml:space="preserve"> </w:t>
      </w:r>
      <w:r w:rsidRPr="109A04B4">
        <w:rPr>
          <w:rFonts w:ascii="Calibri" w:eastAsia="Calibri" w:hAnsi="Calibri" w:cs="Calibri"/>
          <w:sz w:val="18"/>
          <w:szCs w:val="18"/>
        </w:rPr>
        <w:t>Section one of the Ontario Human Rights Code recognizes that “every person has a right to equal treatment with respect to services, goods and facilities, without discrimination because of race, ancestry, place of origin, colour, ethnic origin, citizenship, creed, sex, sexual orientation, gender identity, gender expression, age, marital status, family status or disability.”</w:t>
      </w:r>
    </w:p>
  </w:footnote>
  <w:footnote w:id="7">
    <w:p w14:paraId="4D0CC008" w14:textId="42BF1122" w:rsidR="00F927F8" w:rsidRDefault="00F927F8">
      <w:pPr>
        <w:pStyle w:val="FootnoteText"/>
      </w:pPr>
      <w:r>
        <w:rPr>
          <w:rStyle w:val="FootnoteReference"/>
        </w:rPr>
        <w:footnoteRef/>
      </w:r>
      <w:r>
        <w:t xml:space="preserve"> </w:t>
      </w:r>
      <w:r w:rsidRPr="00720862">
        <w:rPr>
          <w:sz w:val="18"/>
          <w:szCs w:val="18"/>
        </w:rPr>
        <w:t>Many of these points have been adapted from the Accessibility for Ontarians with Disabilities Act</w:t>
      </w:r>
      <w:r>
        <w:rPr>
          <w:sz w:val="18"/>
          <w:szCs w:val="18"/>
        </w:rPr>
        <w:t xml:space="preserve"> (AODA)</w:t>
      </w:r>
      <w:r w:rsidRPr="00720862">
        <w:rPr>
          <w:sz w:val="18"/>
          <w:szCs w:val="18"/>
        </w:rPr>
        <w:t xml:space="preserve"> Alliance </w:t>
      </w:r>
      <w:hyperlink r:id="rId3" w:history="1">
        <w:r w:rsidRPr="00720862">
          <w:rPr>
            <w:rStyle w:val="Hyperlink"/>
            <w:sz w:val="18"/>
            <w:szCs w:val="18"/>
          </w:rPr>
          <w:t>Discussion Paper on Ensuring that Medical Triage or Rationing of Health Care Services During the COVID-19 Crisis Does Not Discriminate Against Patients with Disabilities</w:t>
        </w:r>
      </w:hyperlink>
      <w:r w:rsidRPr="00720862">
        <w:rPr>
          <w:sz w:val="18"/>
          <w:szCs w:val="18"/>
        </w:rPr>
        <w:t>.</w:t>
      </w:r>
    </w:p>
  </w:footnote>
  <w:footnote w:id="8">
    <w:p w14:paraId="3E5B05BF" w14:textId="7B402273" w:rsidR="00F927F8" w:rsidRDefault="00F927F8" w:rsidP="00483806">
      <w:pPr>
        <w:pStyle w:val="FootnoteText"/>
        <w:rPr>
          <w:rFonts w:ascii="Times New Roman" w:eastAsia="Times New Roman" w:hAnsi="Times New Roman" w:cs="Times New Roman"/>
          <w:color w:val="000000" w:themeColor="text1"/>
          <w:lang w:val="en"/>
        </w:rPr>
      </w:pPr>
      <w:r w:rsidRPr="00C90468">
        <w:rPr>
          <w:rStyle w:val="FootnoteReference"/>
        </w:rPr>
        <w:footnoteRef/>
      </w:r>
      <w:r w:rsidRPr="00C90468">
        <w:t xml:space="preserve"> </w:t>
      </w:r>
      <w:r w:rsidRPr="00C90468">
        <w:rPr>
          <w:sz w:val="18"/>
          <w:szCs w:val="18"/>
        </w:rPr>
        <w:t>It is well established that clinicians implicitly make judgements about patients based on aspects of their social identity (e.g., Indigeneity, race), even when they believe that they do not. One</w:t>
      </w:r>
      <w:r w:rsidRPr="00720862">
        <w:rPr>
          <w:sz w:val="18"/>
          <w:szCs w:val="18"/>
        </w:rPr>
        <w:t xml:space="preserve"> evidence-based strategy to mitigate this potential harm is cultural safety training, which is now available in all provinces (e.g., see </w:t>
      </w:r>
      <w:hyperlink r:id="rId4" w:history="1">
        <w:r w:rsidRPr="00720862">
          <w:rPr>
            <w:rStyle w:val="Hyperlink"/>
            <w:sz w:val="18"/>
            <w:szCs w:val="18"/>
          </w:rPr>
          <w:t>www.sanyas.com</w:t>
        </w:r>
      </w:hyperlink>
      <w:r w:rsidRPr="00720862">
        <w:rPr>
          <w:sz w:val="18"/>
          <w:szCs w:val="18"/>
        </w:rPr>
        <w:t xml:space="preserve">). There are also particular workforces where cultural safety training is mandatory, including all clinicians in British Columbia, and all employees in the Ontario Public Service. For cultural safety training in Ontario, see the </w:t>
      </w:r>
      <w:hyperlink r:id="rId5" w:history="1">
        <w:r w:rsidRPr="00BA2F66">
          <w:rPr>
            <w:rStyle w:val="Hyperlink"/>
            <w:sz w:val="18"/>
            <w:szCs w:val="18"/>
          </w:rPr>
          <w:t>Ontario Cultural Safety Program</w:t>
        </w:r>
      </w:hyperlink>
      <w:r w:rsidRPr="00720862">
        <w:rPr>
          <w:sz w:val="18"/>
          <w:szCs w:val="18"/>
        </w:rPr>
        <w:t xml:space="preserve">. See also: </w:t>
      </w:r>
      <w:r w:rsidRPr="00720862">
        <w:rPr>
          <w:rFonts w:eastAsiaTheme="majorEastAsia" w:cstheme="minorHAnsi"/>
          <w:sz w:val="18"/>
          <w:szCs w:val="18"/>
          <w:lang w:val="en"/>
        </w:rPr>
        <w:t xml:space="preserve">Churchill M, Parent-Bergeron M, </w:t>
      </w:r>
      <w:proofErr w:type="spellStart"/>
      <w:r w:rsidRPr="00720862">
        <w:rPr>
          <w:rFonts w:eastAsiaTheme="majorEastAsia" w:cstheme="minorHAnsi"/>
          <w:sz w:val="18"/>
          <w:szCs w:val="18"/>
          <w:lang w:val="en"/>
        </w:rPr>
        <w:t>Smylie</w:t>
      </w:r>
      <w:proofErr w:type="spellEnd"/>
      <w:r w:rsidRPr="00720862">
        <w:rPr>
          <w:rFonts w:eastAsiaTheme="majorEastAsia" w:cstheme="minorHAnsi"/>
          <w:sz w:val="18"/>
          <w:szCs w:val="18"/>
          <w:lang w:val="en"/>
        </w:rPr>
        <w:t xml:space="preserve"> J, Ward C, </w:t>
      </w:r>
      <w:proofErr w:type="spellStart"/>
      <w:r w:rsidRPr="00720862">
        <w:rPr>
          <w:rFonts w:eastAsiaTheme="majorEastAsia" w:cstheme="minorHAnsi"/>
          <w:sz w:val="18"/>
          <w:szCs w:val="18"/>
          <w:lang w:val="en"/>
        </w:rPr>
        <w:t>Smylie</w:t>
      </w:r>
      <w:proofErr w:type="spellEnd"/>
      <w:r w:rsidRPr="00720862">
        <w:rPr>
          <w:rFonts w:eastAsiaTheme="majorEastAsia" w:cstheme="minorHAnsi"/>
          <w:sz w:val="18"/>
          <w:szCs w:val="18"/>
          <w:lang w:val="en"/>
        </w:rPr>
        <w:t xml:space="preserve"> D, Firestone M. (2017). Evidence Brief: Wise Practices for Indigenous-specific Cultural Safety Training Programs. Well Living House Action Research Centre for Indigenous Infant, Child and Family Health and Wellbeing, Centre for Research on Inner City Health, St. Michael’s Hospital.</w:t>
      </w:r>
    </w:p>
  </w:footnote>
  <w:footnote w:id="9">
    <w:p w14:paraId="2DA31B94" w14:textId="000F13B7" w:rsidR="00F927F8" w:rsidRDefault="00F927F8">
      <w:pPr>
        <w:pStyle w:val="FootnoteText"/>
      </w:pPr>
      <w:r>
        <w:rPr>
          <w:rStyle w:val="FootnoteReference"/>
        </w:rPr>
        <w:footnoteRef/>
      </w:r>
      <w:r>
        <w:t xml:space="preserve"> </w:t>
      </w:r>
      <w:r w:rsidRPr="00215765">
        <w:rPr>
          <w:sz w:val="18"/>
          <w:szCs w:val="18"/>
        </w:rPr>
        <w:t>The use of an acute illness score (e.g.</w:t>
      </w:r>
      <w:r>
        <w:rPr>
          <w:sz w:val="18"/>
          <w:szCs w:val="18"/>
        </w:rPr>
        <w:t>,</w:t>
      </w:r>
      <w:r w:rsidRPr="00215765">
        <w:rPr>
          <w:sz w:val="18"/>
          <w:szCs w:val="18"/>
        </w:rPr>
        <w:t xml:space="preserve"> </w:t>
      </w:r>
      <w:r>
        <w:rPr>
          <w:sz w:val="18"/>
          <w:szCs w:val="18"/>
        </w:rPr>
        <w:t>sequential organ failure assessment (</w:t>
      </w:r>
      <w:r w:rsidRPr="00215765">
        <w:rPr>
          <w:sz w:val="18"/>
          <w:szCs w:val="18"/>
        </w:rPr>
        <w:t>SOFA</w:t>
      </w:r>
      <w:r>
        <w:rPr>
          <w:sz w:val="18"/>
          <w:szCs w:val="18"/>
        </w:rPr>
        <w:t>) score</w:t>
      </w:r>
      <w:r w:rsidRPr="00215765">
        <w:rPr>
          <w:sz w:val="18"/>
          <w:szCs w:val="18"/>
        </w:rPr>
        <w:t xml:space="preserve">) would be difficult to justify given that even people with high </w:t>
      </w:r>
      <w:r>
        <w:rPr>
          <w:sz w:val="18"/>
          <w:szCs w:val="18"/>
        </w:rPr>
        <w:t xml:space="preserve">SOFA </w:t>
      </w:r>
      <w:r w:rsidRPr="00215765">
        <w:rPr>
          <w:sz w:val="18"/>
          <w:szCs w:val="18"/>
        </w:rPr>
        <w:t xml:space="preserve">scores </w:t>
      </w:r>
      <w:r>
        <w:rPr>
          <w:sz w:val="18"/>
          <w:szCs w:val="18"/>
        </w:rPr>
        <w:t xml:space="preserve">may </w:t>
      </w:r>
      <w:r w:rsidRPr="00215765">
        <w:rPr>
          <w:sz w:val="18"/>
          <w:szCs w:val="18"/>
        </w:rPr>
        <w:t xml:space="preserve">have a </w:t>
      </w:r>
      <w:r>
        <w:rPr>
          <w:sz w:val="18"/>
          <w:szCs w:val="18"/>
        </w:rPr>
        <w:t>~50%</w:t>
      </w:r>
      <w:r w:rsidRPr="00215765">
        <w:rPr>
          <w:sz w:val="18"/>
          <w:szCs w:val="18"/>
        </w:rPr>
        <w:t xml:space="preserve"> chance of surviving an acute viral respiratory illness</w:t>
      </w:r>
      <w:r>
        <w:rPr>
          <w:sz w:val="18"/>
          <w:szCs w:val="18"/>
        </w:rPr>
        <w:t xml:space="preserve"> (see: </w:t>
      </w:r>
      <w:proofErr w:type="spellStart"/>
      <w:r w:rsidRPr="001C0973">
        <w:rPr>
          <w:sz w:val="18"/>
          <w:szCs w:val="18"/>
        </w:rPr>
        <w:t>Shahpori</w:t>
      </w:r>
      <w:proofErr w:type="spellEnd"/>
      <w:r w:rsidRPr="001C0973">
        <w:rPr>
          <w:sz w:val="18"/>
          <w:szCs w:val="18"/>
        </w:rPr>
        <w:t xml:space="preserve"> R, </w:t>
      </w:r>
      <w:proofErr w:type="spellStart"/>
      <w:r w:rsidRPr="001C0973">
        <w:rPr>
          <w:sz w:val="18"/>
          <w:szCs w:val="18"/>
        </w:rPr>
        <w:t>Stelfox</w:t>
      </w:r>
      <w:proofErr w:type="spellEnd"/>
      <w:r w:rsidRPr="001C0973">
        <w:rPr>
          <w:sz w:val="18"/>
          <w:szCs w:val="18"/>
        </w:rPr>
        <w:t xml:space="preserve"> HT, </w:t>
      </w:r>
      <w:proofErr w:type="spellStart"/>
      <w:r w:rsidRPr="001C0973">
        <w:rPr>
          <w:sz w:val="18"/>
          <w:szCs w:val="18"/>
        </w:rPr>
        <w:t>Doig</w:t>
      </w:r>
      <w:proofErr w:type="spellEnd"/>
      <w:r w:rsidRPr="001C0973">
        <w:rPr>
          <w:sz w:val="18"/>
          <w:szCs w:val="18"/>
        </w:rPr>
        <w:t xml:space="preserve"> CJ, </w:t>
      </w:r>
      <w:r>
        <w:rPr>
          <w:sz w:val="18"/>
          <w:szCs w:val="18"/>
        </w:rPr>
        <w:t xml:space="preserve">et al. (2011). </w:t>
      </w:r>
      <w:r w:rsidRPr="001C0973">
        <w:rPr>
          <w:sz w:val="18"/>
          <w:szCs w:val="18"/>
        </w:rPr>
        <w:t xml:space="preserve">Sequential Organ Failure Assessment in H1N1 pandemic planning. </w:t>
      </w:r>
      <w:proofErr w:type="spellStart"/>
      <w:r w:rsidRPr="001C0973">
        <w:rPr>
          <w:sz w:val="18"/>
          <w:szCs w:val="18"/>
        </w:rPr>
        <w:t>Crit</w:t>
      </w:r>
      <w:proofErr w:type="spellEnd"/>
      <w:r w:rsidRPr="001C0973">
        <w:rPr>
          <w:sz w:val="18"/>
          <w:szCs w:val="18"/>
        </w:rPr>
        <w:t xml:space="preserve"> Care Med</w:t>
      </w:r>
      <w:r>
        <w:rPr>
          <w:sz w:val="18"/>
          <w:szCs w:val="18"/>
        </w:rPr>
        <w:t xml:space="preserve">, </w:t>
      </w:r>
      <w:r w:rsidRPr="001C0973">
        <w:rPr>
          <w:sz w:val="18"/>
          <w:szCs w:val="18"/>
        </w:rPr>
        <w:t>39(4):</w:t>
      </w:r>
      <w:r>
        <w:rPr>
          <w:sz w:val="18"/>
          <w:szCs w:val="18"/>
        </w:rPr>
        <w:t xml:space="preserve"> </w:t>
      </w:r>
      <w:r w:rsidRPr="001C0973">
        <w:rPr>
          <w:sz w:val="18"/>
          <w:szCs w:val="18"/>
        </w:rPr>
        <w:t>827-832</w:t>
      </w:r>
      <w:r>
        <w:rPr>
          <w:sz w:val="18"/>
          <w:szCs w:val="18"/>
        </w:rPr>
        <w:t>). A</w:t>
      </w:r>
      <w:r w:rsidRPr="00215765">
        <w:rPr>
          <w:sz w:val="18"/>
          <w:szCs w:val="18"/>
        </w:rPr>
        <w:t xml:space="preserve">nd if </w:t>
      </w:r>
      <w:r>
        <w:rPr>
          <w:sz w:val="18"/>
          <w:szCs w:val="18"/>
        </w:rPr>
        <w:t>one</w:t>
      </w:r>
      <w:r w:rsidRPr="00215765">
        <w:rPr>
          <w:sz w:val="18"/>
          <w:szCs w:val="18"/>
        </w:rPr>
        <w:t xml:space="preserve"> only look</w:t>
      </w:r>
      <w:r>
        <w:rPr>
          <w:sz w:val="18"/>
          <w:szCs w:val="18"/>
        </w:rPr>
        <w:t>s</w:t>
      </w:r>
      <w:r w:rsidRPr="00215765">
        <w:rPr>
          <w:sz w:val="18"/>
          <w:szCs w:val="18"/>
        </w:rPr>
        <w:t xml:space="preserve"> at those who </w:t>
      </w:r>
      <w:r>
        <w:rPr>
          <w:sz w:val="18"/>
          <w:szCs w:val="18"/>
        </w:rPr>
        <w:t xml:space="preserve">would be colour-coded as red according to this </w:t>
      </w:r>
      <w:r w:rsidRPr="001C0973">
        <w:rPr>
          <w:i/>
          <w:iCs/>
          <w:sz w:val="18"/>
          <w:szCs w:val="18"/>
        </w:rPr>
        <w:t>Proposed Framework</w:t>
      </w:r>
      <w:r>
        <w:rPr>
          <w:sz w:val="18"/>
          <w:szCs w:val="18"/>
        </w:rPr>
        <w:t>’s triage criteria</w:t>
      </w:r>
      <w:r w:rsidRPr="00215765">
        <w:rPr>
          <w:sz w:val="18"/>
          <w:szCs w:val="18"/>
        </w:rPr>
        <w:t xml:space="preserve">, the survival rate would likely be even higher. </w:t>
      </w:r>
      <w:r>
        <w:rPr>
          <w:sz w:val="18"/>
          <w:szCs w:val="18"/>
        </w:rPr>
        <w:t>It is currently unknown</w:t>
      </w:r>
      <w:r w:rsidRPr="00215765">
        <w:rPr>
          <w:sz w:val="18"/>
          <w:szCs w:val="18"/>
        </w:rPr>
        <w:t xml:space="preserve"> whether the prognosis of COVID-19 illness is similar to other </w:t>
      </w:r>
      <w:r w:rsidRPr="009D1399">
        <w:rPr>
          <w:sz w:val="18"/>
          <w:szCs w:val="18"/>
        </w:rPr>
        <w:t>viral</w:t>
      </w:r>
      <w:r w:rsidRPr="00215765">
        <w:rPr>
          <w:sz w:val="18"/>
          <w:szCs w:val="18"/>
        </w:rPr>
        <w:t xml:space="preserve"> illnesses. Early data suggests that the admission SOFA scores for non-survivors was low, and thus unhelpful for distinguishing them from survivors</w:t>
      </w:r>
      <w:r>
        <w:rPr>
          <w:sz w:val="18"/>
          <w:szCs w:val="18"/>
        </w:rPr>
        <w:t xml:space="preserve"> (see: </w:t>
      </w:r>
      <w:r w:rsidRPr="001C0973">
        <w:rPr>
          <w:sz w:val="18"/>
          <w:szCs w:val="18"/>
        </w:rPr>
        <w:t>Yang X, Yu Y, Xu J, et al.</w:t>
      </w:r>
      <w:r>
        <w:rPr>
          <w:sz w:val="18"/>
          <w:szCs w:val="18"/>
        </w:rPr>
        <w:t xml:space="preserve"> (2020).</w:t>
      </w:r>
      <w:r w:rsidRPr="001C0973">
        <w:rPr>
          <w:sz w:val="18"/>
          <w:szCs w:val="18"/>
        </w:rPr>
        <w:t xml:space="preserve"> Clinical course and outcomes of critically ill patients with SARS-CoV-2 pneumonia in Wuhan, China: a single-centered, retrospective, observational study. Lancet </w:t>
      </w:r>
      <w:proofErr w:type="spellStart"/>
      <w:r w:rsidRPr="001C0973">
        <w:rPr>
          <w:sz w:val="18"/>
          <w:szCs w:val="18"/>
        </w:rPr>
        <w:t>Respir</w:t>
      </w:r>
      <w:proofErr w:type="spellEnd"/>
      <w:r w:rsidRPr="001C0973">
        <w:rPr>
          <w:sz w:val="18"/>
          <w:szCs w:val="18"/>
        </w:rPr>
        <w:t xml:space="preserve"> Med</w:t>
      </w:r>
      <w:r>
        <w:rPr>
          <w:sz w:val="18"/>
          <w:szCs w:val="18"/>
        </w:rPr>
        <w:t xml:space="preserve">, </w:t>
      </w:r>
      <w:r w:rsidRPr="001C0973">
        <w:rPr>
          <w:sz w:val="18"/>
          <w:szCs w:val="18"/>
        </w:rPr>
        <w:t>8</w:t>
      </w:r>
      <w:r>
        <w:rPr>
          <w:sz w:val="18"/>
          <w:szCs w:val="18"/>
        </w:rPr>
        <w:t>(</w:t>
      </w:r>
      <w:r w:rsidRPr="001C0973">
        <w:rPr>
          <w:sz w:val="18"/>
          <w:szCs w:val="18"/>
        </w:rPr>
        <w:t>5</w:t>
      </w:r>
      <w:r>
        <w:rPr>
          <w:sz w:val="18"/>
          <w:szCs w:val="18"/>
        </w:rPr>
        <w:t xml:space="preserve">): </w:t>
      </w:r>
      <w:r w:rsidRPr="001C0973">
        <w:rPr>
          <w:sz w:val="18"/>
          <w:szCs w:val="18"/>
        </w:rPr>
        <w:t>475-481</w:t>
      </w:r>
      <w:r>
        <w:rPr>
          <w:sz w:val="18"/>
          <w:szCs w:val="18"/>
        </w:rPr>
        <w:t xml:space="preserve">; </w:t>
      </w:r>
      <w:r w:rsidRPr="001C0973">
        <w:rPr>
          <w:sz w:val="18"/>
          <w:szCs w:val="18"/>
        </w:rPr>
        <w:t>Zhou F, Yu T, Du R, et al.</w:t>
      </w:r>
      <w:r>
        <w:rPr>
          <w:sz w:val="18"/>
          <w:szCs w:val="18"/>
        </w:rPr>
        <w:t xml:space="preserve"> (2020).</w:t>
      </w:r>
      <w:r w:rsidRPr="001C0973">
        <w:rPr>
          <w:sz w:val="18"/>
          <w:szCs w:val="18"/>
        </w:rPr>
        <w:t xml:space="preserve"> Clinical course and risk factors for mortality of adult inpatients with COVID-19 in Wuhan, China: a retrospective cohort study. Lancet</w:t>
      </w:r>
      <w:r>
        <w:rPr>
          <w:sz w:val="18"/>
          <w:szCs w:val="18"/>
        </w:rPr>
        <w:t xml:space="preserve">, </w:t>
      </w:r>
      <w:r w:rsidRPr="001C0973">
        <w:rPr>
          <w:sz w:val="18"/>
          <w:szCs w:val="18"/>
        </w:rPr>
        <w:t>395(10229): 1054-1062</w:t>
      </w:r>
      <w:r>
        <w:rPr>
          <w:sz w:val="18"/>
          <w:szCs w:val="18"/>
        </w:rPr>
        <w:t>).</w:t>
      </w:r>
    </w:p>
  </w:footnote>
  <w:footnote w:id="10">
    <w:p w14:paraId="4C4BA363" w14:textId="3E515B5F" w:rsidR="00F927F8" w:rsidRDefault="00F927F8">
      <w:pPr>
        <w:pStyle w:val="FootnoteText"/>
      </w:pPr>
      <w:r>
        <w:rPr>
          <w:rStyle w:val="FootnoteReference"/>
        </w:rPr>
        <w:footnoteRef/>
      </w:r>
      <w:r>
        <w:t xml:space="preserve"> </w:t>
      </w:r>
      <w:r w:rsidRPr="00C84B0F">
        <w:rPr>
          <w:sz w:val="18"/>
          <w:szCs w:val="18"/>
        </w:rPr>
        <w:t>Patients already receiving critical care and are benefiting from it should not be included in the pool of patients to which random selection is applied for the reasons supplied in paragraph immediately preceding this one.</w:t>
      </w:r>
    </w:p>
  </w:footnote>
  <w:footnote w:id="11">
    <w:p w14:paraId="73465399" w14:textId="02F3D11C" w:rsidR="00F927F8" w:rsidRDefault="00F927F8" w:rsidP="6553F404">
      <w:pPr>
        <w:pStyle w:val="FootnoteText"/>
      </w:pPr>
      <w:r w:rsidRPr="6553F404">
        <w:rPr>
          <w:rStyle w:val="FootnoteReference"/>
        </w:rPr>
        <w:footnoteRef/>
      </w:r>
      <w:r>
        <w:t xml:space="preserve"> </w:t>
      </w:r>
      <w:r w:rsidRPr="00720862">
        <w:rPr>
          <w:sz w:val="18"/>
          <w:szCs w:val="18"/>
        </w:rPr>
        <w:t xml:space="preserve">Adapted from </w:t>
      </w:r>
      <w:hyperlink r:id="rId6" w:history="1">
        <w:r w:rsidRPr="00720862">
          <w:rPr>
            <w:rStyle w:val="Hyperlink"/>
            <w:sz w:val="18"/>
            <w:szCs w:val="18"/>
          </w:rPr>
          <w:t>University of Pittsburgh model policy for the Allocation of Scarce Critical Care Resources During a Public Health Emergency</w:t>
        </w:r>
      </w:hyperlink>
      <w:r w:rsidRPr="00720862">
        <w:rPr>
          <w:sz w:val="18"/>
          <w:szCs w:val="18"/>
        </w:rPr>
        <w:t>.</w:t>
      </w:r>
    </w:p>
  </w:footnote>
  <w:footnote w:id="12">
    <w:p w14:paraId="64C6142A" w14:textId="77777777" w:rsidR="00F927F8" w:rsidRDefault="00F927F8" w:rsidP="00D31D59">
      <w:pPr>
        <w:pStyle w:val="FootnoteText"/>
      </w:pPr>
      <w:r>
        <w:rPr>
          <w:rStyle w:val="FootnoteReference"/>
        </w:rPr>
        <w:footnoteRef/>
      </w:r>
      <w:r>
        <w:t xml:space="preserve"> The CORE Network and the COVID-19 Bioethics Community of Practice comprise practicing bioethicists who work in a variety of health institutions, including hospitals, long term care homes, rehabilitation facilities, and complex continuing care settings. Members have diverse disciplinary expertise (e.g., philosophy, law, anthropology) and clinical professions (e.g., medicine, nursing, social work, occupational therapy). CORE Network members are based in the Greater Toronto/Hamilton Area. The COVID-19 Bioethics Community of Practice draws practicing bioethicists from across the province of Ontario totally &gt;50 individuals. The University of Toronto Joint for Bioethics provides secretariat support for both communities of practice.</w:t>
      </w:r>
    </w:p>
  </w:footnote>
  <w:footnote w:id="13">
    <w:p w14:paraId="08120C0C" w14:textId="652F2193" w:rsidR="00F927F8" w:rsidRDefault="00F927F8">
      <w:pPr>
        <w:pStyle w:val="FootnoteText"/>
      </w:pPr>
      <w:r>
        <w:rPr>
          <w:rStyle w:val="FootnoteReference"/>
        </w:rPr>
        <w:footnoteRef/>
      </w:r>
      <w:r>
        <w:t xml:space="preserve"> Ontario’s Ministry of Health has developed a health equity impact assessment “</w:t>
      </w:r>
      <w:r w:rsidRPr="00BC6346">
        <w:t>to support improved health equity, including the reduction of avoidable health disparities between population groups</w:t>
      </w:r>
      <w:r>
        <w:t xml:space="preserve">.” It can be accessed on the </w:t>
      </w:r>
      <w:hyperlink r:id="rId7" w:history="1">
        <w:r w:rsidRPr="002A650F">
          <w:rPr>
            <w:rStyle w:val="Hyperlink"/>
          </w:rPr>
          <w:t>Ontario Ministry of Health website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8FA8" w14:textId="7C5BEBE5" w:rsidR="00F927F8" w:rsidRPr="00A75049" w:rsidRDefault="00872016" w:rsidP="00DF420D">
    <w:pPr>
      <w:pStyle w:val="Header"/>
      <w:rPr>
        <w:sz w:val="22"/>
        <w:szCs w:val="22"/>
      </w:rPr>
    </w:pPr>
    <w:sdt>
      <w:sdtPr>
        <w:rPr>
          <w:sz w:val="22"/>
          <w:szCs w:val="22"/>
        </w:rPr>
        <w:id w:val="-622154541"/>
        <w:docPartObj>
          <w:docPartGallery w:val="Watermarks"/>
          <w:docPartUnique/>
        </w:docPartObj>
      </w:sdtPr>
      <w:sdtEndPr/>
      <w:sdtContent>
        <w:r>
          <w:rPr>
            <w:noProof/>
            <w:sz w:val="22"/>
            <w:szCs w:val="22"/>
          </w:rPr>
          <w:pict w14:anchorId="4A18F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F927F8">
      <w:rPr>
        <w:sz w:val="22"/>
        <w:szCs w:val="22"/>
      </w:rPr>
      <w:t xml:space="preserve">Ontario COVID-19 </w:t>
    </w:r>
    <w:r w:rsidR="00F927F8" w:rsidRPr="00A75049">
      <w:rPr>
        <w:sz w:val="22"/>
        <w:szCs w:val="22"/>
      </w:rPr>
      <w:t>Bioethics Table</w:t>
    </w:r>
    <w:r w:rsidR="00F927F8" w:rsidRPr="00A75049">
      <w:rPr>
        <w:sz w:val="22"/>
        <w:szCs w:val="22"/>
      </w:rPr>
      <w:tab/>
      <w:t xml:space="preserve">September 11, 2020 </w:t>
    </w:r>
    <w:r w:rsidR="00F927F8" w:rsidRPr="00A75049">
      <w:rPr>
        <w:sz w:val="22"/>
        <w:szCs w:val="22"/>
      </w:rPr>
      <w:tab/>
      <w:t>Recommendations</w:t>
    </w:r>
  </w:p>
  <w:p w14:paraId="1408DD68" w14:textId="3FD530B6" w:rsidR="00F927F8" w:rsidRPr="00A75049" w:rsidRDefault="00F927F8">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F0"/>
    <w:multiLevelType w:val="hybridMultilevel"/>
    <w:tmpl w:val="8F3A1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500D32"/>
    <w:multiLevelType w:val="hybridMultilevel"/>
    <w:tmpl w:val="C19E54BA"/>
    <w:lvl w:ilvl="0" w:tplc="C1EAB0FA">
      <w:start w:val="1"/>
      <w:numFmt w:val="bullet"/>
      <w:lvlText w:val="·"/>
      <w:lvlJc w:val="left"/>
      <w:pPr>
        <w:ind w:left="720" w:hanging="360"/>
      </w:pPr>
      <w:rPr>
        <w:rFonts w:ascii="Symbol" w:hAnsi="Symbol" w:hint="default"/>
      </w:rPr>
    </w:lvl>
    <w:lvl w:ilvl="1" w:tplc="F5A8DAF0">
      <w:start w:val="1"/>
      <w:numFmt w:val="bullet"/>
      <w:lvlText w:val="o"/>
      <w:lvlJc w:val="left"/>
      <w:pPr>
        <w:ind w:left="1440" w:hanging="360"/>
      </w:pPr>
      <w:rPr>
        <w:rFonts w:ascii="Courier New" w:hAnsi="Courier New" w:hint="default"/>
      </w:rPr>
    </w:lvl>
    <w:lvl w:ilvl="2" w:tplc="E280DAB4">
      <w:start w:val="1"/>
      <w:numFmt w:val="bullet"/>
      <w:lvlText w:val=""/>
      <w:lvlJc w:val="left"/>
      <w:pPr>
        <w:ind w:left="2160" w:hanging="360"/>
      </w:pPr>
      <w:rPr>
        <w:rFonts w:ascii="Wingdings" w:hAnsi="Wingdings" w:hint="default"/>
      </w:rPr>
    </w:lvl>
    <w:lvl w:ilvl="3" w:tplc="E3E4581E">
      <w:start w:val="1"/>
      <w:numFmt w:val="bullet"/>
      <w:lvlText w:val=""/>
      <w:lvlJc w:val="left"/>
      <w:pPr>
        <w:ind w:left="2880" w:hanging="360"/>
      </w:pPr>
      <w:rPr>
        <w:rFonts w:ascii="Symbol" w:hAnsi="Symbol" w:hint="default"/>
      </w:rPr>
    </w:lvl>
    <w:lvl w:ilvl="4" w:tplc="CB0AEC1C">
      <w:start w:val="1"/>
      <w:numFmt w:val="bullet"/>
      <w:lvlText w:val="o"/>
      <w:lvlJc w:val="left"/>
      <w:pPr>
        <w:ind w:left="3600" w:hanging="360"/>
      </w:pPr>
      <w:rPr>
        <w:rFonts w:ascii="Courier New" w:hAnsi="Courier New" w:hint="default"/>
      </w:rPr>
    </w:lvl>
    <w:lvl w:ilvl="5" w:tplc="A8A2E8D2">
      <w:start w:val="1"/>
      <w:numFmt w:val="bullet"/>
      <w:lvlText w:val=""/>
      <w:lvlJc w:val="left"/>
      <w:pPr>
        <w:ind w:left="4320" w:hanging="360"/>
      </w:pPr>
      <w:rPr>
        <w:rFonts w:ascii="Wingdings" w:hAnsi="Wingdings" w:hint="default"/>
      </w:rPr>
    </w:lvl>
    <w:lvl w:ilvl="6" w:tplc="6D98E592">
      <w:start w:val="1"/>
      <w:numFmt w:val="bullet"/>
      <w:lvlText w:val=""/>
      <w:lvlJc w:val="left"/>
      <w:pPr>
        <w:ind w:left="5040" w:hanging="360"/>
      </w:pPr>
      <w:rPr>
        <w:rFonts w:ascii="Symbol" w:hAnsi="Symbol" w:hint="default"/>
      </w:rPr>
    </w:lvl>
    <w:lvl w:ilvl="7" w:tplc="CC0443C2">
      <w:start w:val="1"/>
      <w:numFmt w:val="bullet"/>
      <w:lvlText w:val="o"/>
      <w:lvlJc w:val="left"/>
      <w:pPr>
        <w:ind w:left="5760" w:hanging="360"/>
      </w:pPr>
      <w:rPr>
        <w:rFonts w:ascii="Courier New" w:hAnsi="Courier New" w:hint="default"/>
      </w:rPr>
    </w:lvl>
    <w:lvl w:ilvl="8" w:tplc="C25A6D80">
      <w:start w:val="1"/>
      <w:numFmt w:val="bullet"/>
      <w:lvlText w:val=""/>
      <w:lvlJc w:val="left"/>
      <w:pPr>
        <w:ind w:left="6480" w:hanging="360"/>
      </w:pPr>
      <w:rPr>
        <w:rFonts w:ascii="Wingdings" w:hAnsi="Wingdings" w:hint="default"/>
      </w:rPr>
    </w:lvl>
  </w:abstractNum>
  <w:abstractNum w:abstractNumId="2">
    <w:nsid w:val="09F641D2"/>
    <w:multiLevelType w:val="hybridMultilevel"/>
    <w:tmpl w:val="CD90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1788"/>
    <w:multiLevelType w:val="hybridMultilevel"/>
    <w:tmpl w:val="CD12AA88"/>
    <w:lvl w:ilvl="0" w:tplc="CD0CECCC">
      <w:start w:val="1"/>
      <w:numFmt w:val="bullet"/>
      <w:lvlText w:val=""/>
      <w:lvlJc w:val="left"/>
      <w:pPr>
        <w:ind w:left="720" w:hanging="360"/>
      </w:pPr>
      <w:rPr>
        <w:rFonts w:ascii="Symbol" w:hAnsi="Symbol" w:hint="default"/>
      </w:rPr>
    </w:lvl>
    <w:lvl w:ilvl="1" w:tplc="CC965098">
      <w:start w:val="1"/>
      <w:numFmt w:val="bullet"/>
      <w:lvlText w:val="o"/>
      <w:lvlJc w:val="left"/>
      <w:pPr>
        <w:ind w:left="1440" w:hanging="360"/>
      </w:pPr>
      <w:rPr>
        <w:rFonts w:ascii="Courier New" w:hAnsi="Courier New" w:hint="default"/>
      </w:rPr>
    </w:lvl>
    <w:lvl w:ilvl="2" w:tplc="2BD6344A">
      <w:start w:val="1"/>
      <w:numFmt w:val="bullet"/>
      <w:lvlText w:val=""/>
      <w:lvlJc w:val="left"/>
      <w:pPr>
        <w:ind w:left="2160" w:hanging="360"/>
      </w:pPr>
      <w:rPr>
        <w:rFonts w:ascii="Wingdings" w:hAnsi="Wingdings" w:hint="default"/>
      </w:rPr>
    </w:lvl>
    <w:lvl w:ilvl="3" w:tplc="44C6C60E">
      <w:start w:val="1"/>
      <w:numFmt w:val="bullet"/>
      <w:lvlText w:val=""/>
      <w:lvlJc w:val="left"/>
      <w:pPr>
        <w:ind w:left="2880" w:hanging="360"/>
      </w:pPr>
      <w:rPr>
        <w:rFonts w:ascii="Symbol" w:hAnsi="Symbol" w:hint="default"/>
      </w:rPr>
    </w:lvl>
    <w:lvl w:ilvl="4" w:tplc="AD4A9136">
      <w:start w:val="1"/>
      <w:numFmt w:val="bullet"/>
      <w:lvlText w:val="o"/>
      <w:lvlJc w:val="left"/>
      <w:pPr>
        <w:ind w:left="3600" w:hanging="360"/>
      </w:pPr>
      <w:rPr>
        <w:rFonts w:ascii="Courier New" w:hAnsi="Courier New" w:hint="default"/>
      </w:rPr>
    </w:lvl>
    <w:lvl w:ilvl="5" w:tplc="6F3EF698">
      <w:start w:val="1"/>
      <w:numFmt w:val="bullet"/>
      <w:lvlText w:val=""/>
      <w:lvlJc w:val="left"/>
      <w:pPr>
        <w:ind w:left="4320" w:hanging="360"/>
      </w:pPr>
      <w:rPr>
        <w:rFonts w:ascii="Wingdings" w:hAnsi="Wingdings" w:hint="default"/>
      </w:rPr>
    </w:lvl>
    <w:lvl w:ilvl="6" w:tplc="A694F434">
      <w:start w:val="1"/>
      <w:numFmt w:val="bullet"/>
      <w:lvlText w:val=""/>
      <w:lvlJc w:val="left"/>
      <w:pPr>
        <w:ind w:left="5040" w:hanging="360"/>
      </w:pPr>
      <w:rPr>
        <w:rFonts w:ascii="Symbol" w:hAnsi="Symbol" w:hint="default"/>
      </w:rPr>
    </w:lvl>
    <w:lvl w:ilvl="7" w:tplc="29F60776">
      <w:start w:val="1"/>
      <w:numFmt w:val="bullet"/>
      <w:lvlText w:val="o"/>
      <w:lvlJc w:val="left"/>
      <w:pPr>
        <w:ind w:left="5760" w:hanging="360"/>
      </w:pPr>
      <w:rPr>
        <w:rFonts w:ascii="Courier New" w:hAnsi="Courier New" w:hint="default"/>
      </w:rPr>
    </w:lvl>
    <w:lvl w:ilvl="8" w:tplc="93523DC6">
      <w:start w:val="1"/>
      <w:numFmt w:val="bullet"/>
      <w:lvlText w:val=""/>
      <w:lvlJc w:val="left"/>
      <w:pPr>
        <w:ind w:left="6480" w:hanging="360"/>
      </w:pPr>
      <w:rPr>
        <w:rFonts w:ascii="Wingdings" w:hAnsi="Wingdings" w:hint="default"/>
      </w:rPr>
    </w:lvl>
  </w:abstractNum>
  <w:abstractNum w:abstractNumId="4">
    <w:nsid w:val="12F441A4"/>
    <w:multiLevelType w:val="hybridMultilevel"/>
    <w:tmpl w:val="6EB0D320"/>
    <w:lvl w:ilvl="0" w:tplc="FFFFFFFF">
      <w:start w:val="1"/>
      <w:numFmt w:val="low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5D95C58"/>
    <w:multiLevelType w:val="hybridMultilevel"/>
    <w:tmpl w:val="AA66A1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8D4EB0"/>
    <w:multiLevelType w:val="hybridMultilevel"/>
    <w:tmpl w:val="5FD03ED0"/>
    <w:lvl w:ilvl="0" w:tplc="FFFFFFFF">
      <w:start w:val="1"/>
      <w:numFmt w:val="bullet"/>
      <w:lvlText w:val=""/>
      <w:lvlJc w:val="left"/>
      <w:pPr>
        <w:ind w:left="720" w:hanging="360"/>
      </w:pPr>
      <w:rPr>
        <w:rFonts w:ascii="Symbol" w:hAnsi="Symbol" w:hint="default"/>
        <w:vertAlign w:val="baseline"/>
      </w:rPr>
    </w:lvl>
    <w:lvl w:ilvl="1" w:tplc="A68A7612">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AE1D97"/>
    <w:multiLevelType w:val="hybridMultilevel"/>
    <w:tmpl w:val="4B9E557C"/>
    <w:lvl w:ilvl="0" w:tplc="0409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hint="default"/>
      </w:rPr>
    </w:lvl>
    <w:lvl w:ilvl="2" w:tplc="EBC6C44A">
      <w:numFmt w:val="bullet"/>
      <w:lvlText w:val="•"/>
      <w:lvlJc w:val="left"/>
      <w:pPr>
        <w:ind w:left="2520" w:hanging="720"/>
      </w:pPr>
      <w:rPr>
        <w:rFonts w:ascii="Calibri" w:eastAsiaTheme="minorHAnsi" w:hAnsi="Calibri" w:cs="Calibri"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E9F78D7"/>
    <w:multiLevelType w:val="hybridMultilevel"/>
    <w:tmpl w:val="CA2EC4F4"/>
    <w:lvl w:ilvl="0" w:tplc="50F4F042">
      <w:start w:val="1"/>
      <w:numFmt w:val="upperLetter"/>
      <w:pStyle w:val="Heading3"/>
      <w:lvlText w:val="%1."/>
      <w:lvlJc w:val="left"/>
      <w:pPr>
        <w:ind w:left="360" w:hanging="360"/>
      </w:pPr>
    </w:lvl>
    <w:lvl w:ilvl="1" w:tplc="B178DCAC">
      <w:start w:val="1"/>
      <w:numFmt w:val="lowerLetter"/>
      <w:lvlText w:val="%2."/>
      <w:lvlJc w:val="left"/>
      <w:pPr>
        <w:ind w:left="1080" w:hanging="360"/>
      </w:pPr>
    </w:lvl>
    <w:lvl w:ilvl="2" w:tplc="42867232">
      <w:start w:val="1"/>
      <w:numFmt w:val="lowerRoman"/>
      <w:lvlText w:val="%3."/>
      <w:lvlJc w:val="right"/>
      <w:pPr>
        <w:ind w:left="1800" w:hanging="180"/>
      </w:pPr>
    </w:lvl>
    <w:lvl w:ilvl="3" w:tplc="4920CEAC">
      <w:start w:val="1"/>
      <w:numFmt w:val="decimal"/>
      <w:lvlText w:val="%4."/>
      <w:lvlJc w:val="left"/>
      <w:pPr>
        <w:ind w:left="2520" w:hanging="360"/>
      </w:pPr>
    </w:lvl>
    <w:lvl w:ilvl="4" w:tplc="3702C3DC">
      <w:start w:val="1"/>
      <w:numFmt w:val="lowerLetter"/>
      <w:lvlText w:val="%5."/>
      <w:lvlJc w:val="left"/>
      <w:pPr>
        <w:ind w:left="3240" w:hanging="360"/>
      </w:pPr>
    </w:lvl>
    <w:lvl w:ilvl="5" w:tplc="4F54D57A">
      <w:start w:val="1"/>
      <w:numFmt w:val="lowerRoman"/>
      <w:lvlText w:val="%6."/>
      <w:lvlJc w:val="right"/>
      <w:pPr>
        <w:ind w:left="3960" w:hanging="180"/>
      </w:pPr>
    </w:lvl>
    <w:lvl w:ilvl="6" w:tplc="48228EE8">
      <w:start w:val="1"/>
      <w:numFmt w:val="decimal"/>
      <w:lvlText w:val="%7."/>
      <w:lvlJc w:val="left"/>
      <w:pPr>
        <w:ind w:left="4680" w:hanging="360"/>
      </w:pPr>
    </w:lvl>
    <w:lvl w:ilvl="7" w:tplc="D7265B8E">
      <w:start w:val="1"/>
      <w:numFmt w:val="lowerLetter"/>
      <w:lvlText w:val="%8."/>
      <w:lvlJc w:val="left"/>
      <w:pPr>
        <w:ind w:left="5400" w:hanging="360"/>
      </w:pPr>
    </w:lvl>
    <w:lvl w:ilvl="8" w:tplc="C0B42EB8">
      <w:start w:val="1"/>
      <w:numFmt w:val="lowerRoman"/>
      <w:lvlText w:val="%9."/>
      <w:lvlJc w:val="right"/>
      <w:pPr>
        <w:ind w:left="6120" w:hanging="180"/>
      </w:pPr>
    </w:lvl>
  </w:abstractNum>
  <w:abstractNum w:abstractNumId="9">
    <w:nsid w:val="1F744E1F"/>
    <w:multiLevelType w:val="hybridMultilevel"/>
    <w:tmpl w:val="96E0BE2C"/>
    <w:lvl w:ilvl="0" w:tplc="32F08396">
      <w:start w:val="1"/>
      <w:numFmt w:val="bullet"/>
      <w:lvlText w:val="·"/>
      <w:lvlJc w:val="left"/>
      <w:pPr>
        <w:ind w:left="720" w:hanging="360"/>
      </w:pPr>
      <w:rPr>
        <w:rFonts w:ascii="Symbol" w:hAnsi="Symbol" w:hint="default"/>
      </w:rPr>
    </w:lvl>
    <w:lvl w:ilvl="1" w:tplc="8F1A76F0">
      <w:start w:val="1"/>
      <w:numFmt w:val="bullet"/>
      <w:lvlText w:val="o"/>
      <w:lvlJc w:val="left"/>
      <w:pPr>
        <w:ind w:left="1440" w:hanging="360"/>
      </w:pPr>
      <w:rPr>
        <w:rFonts w:ascii="Courier New" w:hAnsi="Courier New" w:hint="default"/>
      </w:rPr>
    </w:lvl>
    <w:lvl w:ilvl="2" w:tplc="39A830B6">
      <w:start w:val="1"/>
      <w:numFmt w:val="bullet"/>
      <w:lvlText w:val=""/>
      <w:lvlJc w:val="left"/>
      <w:pPr>
        <w:ind w:left="2160" w:hanging="360"/>
      </w:pPr>
      <w:rPr>
        <w:rFonts w:ascii="Wingdings" w:hAnsi="Wingdings" w:hint="default"/>
      </w:rPr>
    </w:lvl>
    <w:lvl w:ilvl="3" w:tplc="0B1EC24E">
      <w:start w:val="1"/>
      <w:numFmt w:val="bullet"/>
      <w:lvlText w:val=""/>
      <w:lvlJc w:val="left"/>
      <w:pPr>
        <w:ind w:left="2880" w:hanging="360"/>
      </w:pPr>
      <w:rPr>
        <w:rFonts w:ascii="Symbol" w:hAnsi="Symbol" w:hint="default"/>
      </w:rPr>
    </w:lvl>
    <w:lvl w:ilvl="4" w:tplc="A1FE03DE">
      <w:start w:val="1"/>
      <w:numFmt w:val="bullet"/>
      <w:lvlText w:val="o"/>
      <w:lvlJc w:val="left"/>
      <w:pPr>
        <w:ind w:left="3600" w:hanging="360"/>
      </w:pPr>
      <w:rPr>
        <w:rFonts w:ascii="Courier New" w:hAnsi="Courier New" w:hint="default"/>
      </w:rPr>
    </w:lvl>
    <w:lvl w:ilvl="5" w:tplc="DB6A2374">
      <w:start w:val="1"/>
      <w:numFmt w:val="bullet"/>
      <w:lvlText w:val=""/>
      <w:lvlJc w:val="left"/>
      <w:pPr>
        <w:ind w:left="4320" w:hanging="360"/>
      </w:pPr>
      <w:rPr>
        <w:rFonts w:ascii="Wingdings" w:hAnsi="Wingdings" w:hint="default"/>
      </w:rPr>
    </w:lvl>
    <w:lvl w:ilvl="6" w:tplc="8C007A4A">
      <w:start w:val="1"/>
      <w:numFmt w:val="bullet"/>
      <w:lvlText w:val=""/>
      <w:lvlJc w:val="left"/>
      <w:pPr>
        <w:ind w:left="5040" w:hanging="360"/>
      </w:pPr>
      <w:rPr>
        <w:rFonts w:ascii="Symbol" w:hAnsi="Symbol" w:hint="default"/>
      </w:rPr>
    </w:lvl>
    <w:lvl w:ilvl="7" w:tplc="E820BA6A">
      <w:start w:val="1"/>
      <w:numFmt w:val="bullet"/>
      <w:lvlText w:val="o"/>
      <w:lvlJc w:val="left"/>
      <w:pPr>
        <w:ind w:left="5760" w:hanging="360"/>
      </w:pPr>
      <w:rPr>
        <w:rFonts w:ascii="Courier New" w:hAnsi="Courier New" w:hint="default"/>
      </w:rPr>
    </w:lvl>
    <w:lvl w:ilvl="8" w:tplc="E8B88A84">
      <w:start w:val="1"/>
      <w:numFmt w:val="bullet"/>
      <w:lvlText w:val=""/>
      <w:lvlJc w:val="left"/>
      <w:pPr>
        <w:ind w:left="6480" w:hanging="360"/>
      </w:pPr>
      <w:rPr>
        <w:rFonts w:ascii="Wingdings" w:hAnsi="Wingdings" w:hint="default"/>
      </w:rPr>
    </w:lvl>
  </w:abstractNum>
  <w:abstractNum w:abstractNumId="10">
    <w:nsid w:val="2072699F"/>
    <w:multiLevelType w:val="hybridMultilevel"/>
    <w:tmpl w:val="8FD43002"/>
    <w:lvl w:ilvl="0" w:tplc="13D2C196">
      <w:start w:val="1"/>
      <w:numFmt w:val="bullet"/>
      <w:lvlText w:val="·"/>
      <w:lvlJc w:val="left"/>
      <w:pPr>
        <w:ind w:left="720" w:hanging="360"/>
      </w:pPr>
      <w:rPr>
        <w:rFonts w:ascii="Symbol" w:hAnsi="Symbol" w:hint="default"/>
      </w:rPr>
    </w:lvl>
    <w:lvl w:ilvl="1" w:tplc="232A4A30">
      <w:start w:val="1"/>
      <w:numFmt w:val="bullet"/>
      <w:lvlText w:val="o"/>
      <w:lvlJc w:val="left"/>
      <w:pPr>
        <w:ind w:left="1440" w:hanging="360"/>
      </w:pPr>
      <w:rPr>
        <w:rFonts w:ascii="Courier New" w:hAnsi="Courier New" w:hint="default"/>
      </w:rPr>
    </w:lvl>
    <w:lvl w:ilvl="2" w:tplc="70AAC09E">
      <w:start w:val="1"/>
      <w:numFmt w:val="bullet"/>
      <w:lvlText w:val=""/>
      <w:lvlJc w:val="left"/>
      <w:pPr>
        <w:ind w:left="2160" w:hanging="360"/>
      </w:pPr>
      <w:rPr>
        <w:rFonts w:ascii="Wingdings" w:hAnsi="Wingdings" w:hint="default"/>
      </w:rPr>
    </w:lvl>
    <w:lvl w:ilvl="3" w:tplc="189EC3DE">
      <w:start w:val="1"/>
      <w:numFmt w:val="bullet"/>
      <w:lvlText w:val=""/>
      <w:lvlJc w:val="left"/>
      <w:pPr>
        <w:ind w:left="2880" w:hanging="360"/>
      </w:pPr>
      <w:rPr>
        <w:rFonts w:ascii="Symbol" w:hAnsi="Symbol" w:hint="default"/>
      </w:rPr>
    </w:lvl>
    <w:lvl w:ilvl="4" w:tplc="99643D10">
      <w:start w:val="1"/>
      <w:numFmt w:val="bullet"/>
      <w:lvlText w:val="o"/>
      <w:lvlJc w:val="left"/>
      <w:pPr>
        <w:ind w:left="3600" w:hanging="360"/>
      </w:pPr>
      <w:rPr>
        <w:rFonts w:ascii="Courier New" w:hAnsi="Courier New" w:hint="default"/>
      </w:rPr>
    </w:lvl>
    <w:lvl w:ilvl="5" w:tplc="0EEA6798">
      <w:start w:val="1"/>
      <w:numFmt w:val="bullet"/>
      <w:lvlText w:val=""/>
      <w:lvlJc w:val="left"/>
      <w:pPr>
        <w:ind w:left="4320" w:hanging="360"/>
      </w:pPr>
      <w:rPr>
        <w:rFonts w:ascii="Wingdings" w:hAnsi="Wingdings" w:hint="default"/>
      </w:rPr>
    </w:lvl>
    <w:lvl w:ilvl="6" w:tplc="AB64A362">
      <w:start w:val="1"/>
      <w:numFmt w:val="bullet"/>
      <w:lvlText w:val=""/>
      <w:lvlJc w:val="left"/>
      <w:pPr>
        <w:ind w:left="5040" w:hanging="360"/>
      </w:pPr>
      <w:rPr>
        <w:rFonts w:ascii="Symbol" w:hAnsi="Symbol" w:hint="default"/>
      </w:rPr>
    </w:lvl>
    <w:lvl w:ilvl="7" w:tplc="67746266">
      <w:start w:val="1"/>
      <w:numFmt w:val="bullet"/>
      <w:lvlText w:val="o"/>
      <w:lvlJc w:val="left"/>
      <w:pPr>
        <w:ind w:left="5760" w:hanging="360"/>
      </w:pPr>
      <w:rPr>
        <w:rFonts w:ascii="Courier New" w:hAnsi="Courier New" w:hint="default"/>
      </w:rPr>
    </w:lvl>
    <w:lvl w:ilvl="8" w:tplc="548A873A">
      <w:start w:val="1"/>
      <w:numFmt w:val="bullet"/>
      <w:lvlText w:val=""/>
      <w:lvlJc w:val="left"/>
      <w:pPr>
        <w:ind w:left="6480" w:hanging="360"/>
      </w:pPr>
      <w:rPr>
        <w:rFonts w:ascii="Wingdings" w:hAnsi="Wingdings" w:hint="default"/>
      </w:rPr>
    </w:lvl>
  </w:abstractNum>
  <w:abstractNum w:abstractNumId="11">
    <w:nsid w:val="259175B2"/>
    <w:multiLevelType w:val="hybridMultilevel"/>
    <w:tmpl w:val="51B045EA"/>
    <w:lvl w:ilvl="0" w:tplc="10090001">
      <w:start w:val="1"/>
      <w:numFmt w:val="bullet"/>
      <w:lvlText w:val=""/>
      <w:lvlJc w:val="left"/>
      <w:pPr>
        <w:ind w:left="927" w:hanging="360"/>
      </w:pPr>
      <w:rPr>
        <w:rFonts w:ascii="Symbol" w:hAnsi="Symbol" w:hint="default"/>
      </w:rPr>
    </w:lvl>
    <w:lvl w:ilvl="1" w:tplc="94366752">
      <w:numFmt w:val="bullet"/>
      <w:lvlText w:val="•"/>
      <w:lvlJc w:val="left"/>
      <w:pPr>
        <w:ind w:left="1647" w:hanging="360"/>
      </w:pPr>
      <w:rPr>
        <w:rFonts w:ascii="Calibri" w:eastAsiaTheme="minorHAnsi" w:hAnsi="Calibri" w:cstheme="minorBidi"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2">
    <w:nsid w:val="2A437948"/>
    <w:multiLevelType w:val="hybridMultilevel"/>
    <w:tmpl w:val="1F208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6C2091"/>
    <w:multiLevelType w:val="multilevel"/>
    <w:tmpl w:val="445E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EA1DF4"/>
    <w:multiLevelType w:val="hybridMultilevel"/>
    <w:tmpl w:val="B9905FB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05B7E"/>
    <w:multiLevelType w:val="hybridMultilevel"/>
    <w:tmpl w:val="78C0C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927934"/>
    <w:multiLevelType w:val="hybridMultilevel"/>
    <w:tmpl w:val="5A9C6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28A1752"/>
    <w:multiLevelType w:val="hybridMultilevel"/>
    <w:tmpl w:val="CD98C7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EA4583A"/>
    <w:multiLevelType w:val="hybridMultilevel"/>
    <w:tmpl w:val="E4FE996A"/>
    <w:lvl w:ilvl="0" w:tplc="F97229C4">
      <w:start w:val="1"/>
      <w:numFmt w:val="bullet"/>
      <w:lvlText w:val="·"/>
      <w:lvlJc w:val="left"/>
      <w:pPr>
        <w:ind w:left="720" w:hanging="360"/>
      </w:pPr>
      <w:rPr>
        <w:rFonts w:ascii="Symbol" w:hAnsi="Symbol" w:hint="default"/>
      </w:rPr>
    </w:lvl>
    <w:lvl w:ilvl="1" w:tplc="C7AED880">
      <w:start w:val="1"/>
      <w:numFmt w:val="bullet"/>
      <w:lvlText w:val="o"/>
      <w:lvlJc w:val="left"/>
      <w:pPr>
        <w:ind w:left="1440" w:hanging="360"/>
      </w:pPr>
      <w:rPr>
        <w:rFonts w:ascii="Courier New" w:hAnsi="Courier New" w:hint="default"/>
      </w:rPr>
    </w:lvl>
    <w:lvl w:ilvl="2" w:tplc="41F6FAEC">
      <w:start w:val="1"/>
      <w:numFmt w:val="bullet"/>
      <w:lvlText w:val=""/>
      <w:lvlJc w:val="left"/>
      <w:pPr>
        <w:ind w:left="2160" w:hanging="360"/>
      </w:pPr>
      <w:rPr>
        <w:rFonts w:ascii="Wingdings" w:hAnsi="Wingdings" w:hint="default"/>
      </w:rPr>
    </w:lvl>
    <w:lvl w:ilvl="3" w:tplc="BC221BCE">
      <w:start w:val="1"/>
      <w:numFmt w:val="bullet"/>
      <w:lvlText w:val=""/>
      <w:lvlJc w:val="left"/>
      <w:pPr>
        <w:ind w:left="2880" w:hanging="360"/>
      </w:pPr>
      <w:rPr>
        <w:rFonts w:ascii="Symbol" w:hAnsi="Symbol" w:hint="default"/>
      </w:rPr>
    </w:lvl>
    <w:lvl w:ilvl="4" w:tplc="1C3A3CC2">
      <w:start w:val="1"/>
      <w:numFmt w:val="bullet"/>
      <w:lvlText w:val="o"/>
      <w:lvlJc w:val="left"/>
      <w:pPr>
        <w:ind w:left="3600" w:hanging="360"/>
      </w:pPr>
      <w:rPr>
        <w:rFonts w:ascii="Courier New" w:hAnsi="Courier New" w:hint="default"/>
      </w:rPr>
    </w:lvl>
    <w:lvl w:ilvl="5" w:tplc="61C2B7B6">
      <w:start w:val="1"/>
      <w:numFmt w:val="bullet"/>
      <w:lvlText w:val=""/>
      <w:lvlJc w:val="left"/>
      <w:pPr>
        <w:ind w:left="4320" w:hanging="360"/>
      </w:pPr>
      <w:rPr>
        <w:rFonts w:ascii="Wingdings" w:hAnsi="Wingdings" w:hint="default"/>
      </w:rPr>
    </w:lvl>
    <w:lvl w:ilvl="6" w:tplc="574A20BC">
      <w:start w:val="1"/>
      <w:numFmt w:val="bullet"/>
      <w:lvlText w:val=""/>
      <w:lvlJc w:val="left"/>
      <w:pPr>
        <w:ind w:left="5040" w:hanging="360"/>
      </w:pPr>
      <w:rPr>
        <w:rFonts w:ascii="Symbol" w:hAnsi="Symbol" w:hint="default"/>
      </w:rPr>
    </w:lvl>
    <w:lvl w:ilvl="7" w:tplc="20D63840">
      <w:start w:val="1"/>
      <w:numFmt w:val="bullet"/>
      <w:lvlText w:val="o"/>
      <w:lvlJc w:val="left"/>
      <w:pPr>
        <w:ind w:left="5760" w:hanging="360"/>
      </w:pPr>
      <w:rPr>
        <w:rFonts w:ascii="Courier New" w:hAnsi="Courier New" w:hint="default"/>
      </w:rPr>
    </w:lvl>
    <w:lvl w:ilvl="8" w:tplc="5B264076">
      <w:start w:val="1"/>
      <w:numFmt w:val="bullet"/>
      <w:lvlText w:val=""/>
      <w:lvlJc w:val="left"/>
      <w:pPr>
        <w:ind w:left="6480" w:hanging="360"/>
      </w:pPr>
      <w:rPr>
        <w:rFonts w:ascii="Wingdings" w:hAnsi="Wingdings" w:hint="default"/>
      </w:rPr>
    </w:lvl>
  </w:abstractNum>
  <w:abstractNum w:abstractNumId="19">
    <w:nsid w:val="3EE766A2"/>
    <w:multiLevelType w:val="hybridMultilevel"/>
    <w:tmpl w:val="60062A16"/>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18B427D"/>
    <w:multiLevelType w:val="hybridMultilevel"/>
    <w:tmpl w:val="F9222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EC7723"/>
    <w:multiLevelType w:val="hybridMultilevel"/>
    <w:tmpl w:val="4162B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8F2150"/>
    <w:multiLevelType w:val="hybridMultilevel"/>
    <w:tmpl w:val="A600E570"/>
    <w:lvl w:ilvl="0" w:tplc="B32C46C0">
      <w:start w:val="3"/>
      <w:numFmt w:val="upperLetter"/>
      <w:lvlText w:val="%1."/>
      <w:lvlJc w:val="left"/>
      <w:pPr>
        <w:ind w:left="360" w:hanging="360"/>
      </w:pPr>
      <w:rPr>
        <w:b/>
        <w:bCs/>
      </w:rPr>
    </w:lvl>
    <w:lvl w:ilvl="1" w:tplc="5F7C7CFE">
      <w:start w:val="1"/>
      <w:numFmt w:val="lowerLetter"/>
      <w:lvlText w:val="%2."/>
      <w:lvlJc w:val="left"/>
      <w:pPr>
        <w:ind w:left="1080" w:hanging="360"/>
      </w:pPr>
    </w:lvl>
    <w:lvl w:ilvl="2" w:tplc="9048957A">
      <w:start w:val="1"/>
      <w:numFmt w:val="lowerRoman"/>
      <w:lvlText w:val="%3."/>
      <w:lvlJc w:val="right"/>
      <w:pPr>
        <w:ind w:left="1800" w:hanging="180"/>
      </w:pPr>
    </w:lvl>
    <w:lvl w:ilvl="3" w:tplc="D0CE2614">
      <w:start w:val="1"/>
      <w:numFmt w:val="decimal"/>
      <w:lvlText w:val="%4."/>
      <w:lvlJc w:val="left"/>
      <w:pPr>
        <w:ind w:left="2520" w:hanging="360"/>
      </w:pPr>
    </w:lvl>
    <w:lvl w:ilvl="4" w:tplc="41FE1D06">
      <w:start w:val="1"/>
      <w:numFmt w:val="lowerLetter"/>
      <w:lvlText w:val="%5."/>
      <w:lvlJc w:val="left"/>
      <w:pPr>
        <w:ind w:left="3240" w:hanging="360"/>
      </w:pPr>
    </w:lvl>
    <w:lvl w:ilvl="5" w:tplc="D444D8FE">
      <w:start w:val="1"/>
      <w:numFmt w:val="lowerRoman"/>
      <w:lvlText w:val="%6."/>
      <w:lvlJc w:val="right"/>
      <w:pPr>
        <w:ind w:left="3960" w:hanging="180"/>
      </w:pPr>
    </w:lvl>
    <w:lvl w:ilvl="6" w:tplc="3AE615DC">
      <w:start w:val="1"/>
      <w:numFmt w:val="decimal"/>
      <w:lvlText w:val="%7."/>
      <w:lvlJc w:val="left"/>
      <w:pPr>
        <w:ind w:left="4680" w:hanging="360"/>
      </w:pPr>
    </w:lvl>
    <w:lvl w:ilvl="7" w:tplc="EE6A16BA">
      <w:start w:val="1"/>
      <w:numFmt w:val="lowerLetter"/>
      <w:lvlText w:val="%8."/>
      <w:lvlJc w:val="left"/>
      <w:pPr>
        <w:ind w:left="5400" w:hanging="360"/>
      </w:pPr>
    </w:lvl>
    <w:lvl w:ilvl="8" w:tplc="43BE40D6">
      <w:start w:val="1"/>
      <w:numFmt w:val="lowerRoman"/>
      <w:lvlText w:val="%9."/>
      <w:lvlJc w:val="right"/>
      <w:pPr>
        <w:ind w:left="6120" w:hanging="180"/>
      </w:pPr>
    </w:lvl>
  </w:abstractNum>
  <w:abstractNum w:abstractNumId="23">
    <w:nsid w:val="499642EC"/>
    <w:multiLevelType w:val="hybridMultilevel"/>
    <w:tmpl w:val="1AD4B42A"/>
    <w:lvl w:ilvl="0" w:tplc="3DEE201E">
      <w:start w:val="2"/>
      <w:numFmt w:val="upperLetter"/>
      <w:lvlText w:val="%1."/>
      <w:lvlJc w:val="left"/>
      <w:pPr>
        <w:ind w:left="360" w:hanging="360"/>
      </w:pPr>
    </w:lvl>
    <w:lvl w:ilvl="1" w:tplc="7B169EFE">
      <w:start w:val="1"/>
      <w:numFmt w:val="lowerLetter"/>
      <w:lvlText w:val="%2."/>
      <w:lvlJc w:val="left"/>
      <w:pPr>
        <w:ind w:left="1080" w:hanging="360"/>
      </w:pPr>
    </w:lvl>
    <w:lvl w:ilvl="2" w:tplc="DF44CAFE">
      <w:start w:val="1"/>
      <w:numFmt w:val="lowerRoman"/>
      <w:lvlText w:val="%3."/>
      <w:lvlJc w:val="right"/>
      <w:pPr>
        <w:ind w:left="1800" w:hanging="180"/>
      </w:pPr>
    </w:lvl>
    <w:lvl w:ilvl="3" w:tplc="E536CA84">
      <w:start w:val="1"/>
      <w:numFmt w:val="decimal"/>
      <w:lvlText w:val="%4."/>
      <w:lvlJc w:val="left"/>
      <w:pPr>
        <w:ind w:left="2520" w:hanging="360"/>
      </w:pPr>
    </w:lvl>
    <w:lvl w:ilvl="4" w:tplc="D96ECC36">
      <w:start w:val="1"/>
      <w:numFmt w:val="lowerLetter"/>
      <w:lvlText w:val="%5."/>
      <w:lvlJc w:val="left"/>
      <w:pPr>
        <w:ind w:left="3240" w:hanging="360"/>
      </w:pPr>
    </w:lvl>
    <w:lvl w:ilvl="5" w:tplc="DC542226">
      <w:start w:val="1"/>
      <w:numFmt w:val="lowerRoman"/>
      <w:lvlText w:val="%6."/>
      <w:lvlJc w:val="right"/>
      <w:pPr>
        <w:ind w:left="3960" w:hanging="180"/>
      </w:pPr>
    </w:lvl>
    <w:lvl w:ilvl="6" w:tplc="85FEE12C">
      <w:start w:val="1"/>
      <w:numFmt w:val="decimal"/>
      <w:lvlText w:val="%7."/>
      <w:lvlJc w:val="left"/>
      <w:pPr>
        <w:ind w:left="4680" w:hanging="360"/>
      </w:pPr>
    </w:lvl>
    <w:lvl w:ilvl="7" w:tplc="F6C0D1D6">
      <w:start w:val="1"/>
      <w:numFmt w:val="lowerLetter"/>
      <w:lvlText w:val="%8."/>
      <w:lvlJc w:val="left"/>
      <w:pPr>
        <w:ind w:left="5400" w:hanging="360"/>
      </w:pPr>
    </w:lvl>
    <w:lvl w:ilvl="8" w:tplc="92A0A6F4">
      <w:start w:val="1"/>
      <w:numFmt w:val="lowerRoman"/>
      <w:lvlText w:val="%9."/>
      <w:lvlJc w:val="right"/>
      <w:pPr>
        <w:ind w:left="6120" w:hanging="180"/>
      </w:pPr>
    </w:lvl>
  </w:abstractNum>
  <w:abstractNum w:abstractNumId="24">
    <w:nsid w:val="4ADC1F9F"/>
    <w:multiLevelType w:val="hybridMultilevel"/>
    <w:tmpl w:val="AB520EC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02323C"/>
    <w:multiLevelType w:val="hybridMultilevel"/>
    <w:tmpl w:val="32A2E924"/>
    <w:lvl w:ilvl="0" w:tplc="FFFFFFFF">
      <w:start w:val="1"/>
      <w:numFmt w:val="upperLetter"/>
      <w:lvlText w:val="%1."/>
      <w:lvlJc w:val="left"/>
      <w:pPr>
        <w:ind w:left="360" w:hanging="360"/>
      </w:pPr>
      <w:rPr>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E7B0562"/>
    <w:multiLevelType w:val="hybridMultilevel"/>
    <w:tmpl w:val="6114C16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7">
    <w:nsid w:val="4F983851"/>
    <w:multiLevelType w:val="hybridMultilevel"/>
    <w:tmpl w:val="85F4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22219D0"/>
    <w:multiLevelType w:val="hybridMultilevel"/>
    <w:tmpl w:val="E3B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75E0D"/>
    <w:multiLevelType w:val="hybridMultilevel"/>
    <w:tmpl w:val="A9DA9902"/>
    <w:lvl w:ilvl="0" w:tplc="CFF8120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7B57329"/>
    <w:multiLevelType w:val="hybridMultilevel"/>
    <w:tmpl w:val="8CFE5D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58672872"/>
    <w:multiLevelType w:val="hybridMultilevel"/>
    <w:tmpl w:val="B66830BA"/>
    <w:lvl w:ilvl="0" w:tplc="CFF812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5C2356"/>
    <w:multiLevelType w:val="hybridMultilevel"/>
    <w:tmpl w:val="3A3C896E"/>
    <w:lvl w:ilvl="0" w:tplc="B0D8C2AA">
      <w:start w:val="1"/>
      <w:numFmt w:val="bullet"/>
      <w:lvlText w:val=""/>
      <w:lvlJc w:val="left"/>
      <w:pPr>
        <w:ind w:left="472" w:hanging="360"/>
      </w:pPr>
      <w:rPr>
        <w:rFonts w:ascii="Symbol" w:hAnsi="Symbol" w:cs="Symbol" w:hint="default"/>
        <w:sz w:val="15"/>
        <w:szCs w:val="15"/>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33">
    <w:nsid w:val="6A0179DD"/>
    <w:multiLevelType w:val="hybridMultilevel"/>
    <w:tmpl w:val="F1169560"/>
    <w:lvl w:ilvl="0" w:tplc="0F14F83C">
      <w:start w:val="1"/>
      <w:numFmt w:val="bullet"/>
      <w:lvlText w:val=""/>
      <w:lvlJc w:val="left"/>
      <w:pPr>
        <w:ind w:left="720" w:hanging="360"/>
      </w:pPr>
      <w:rPr>
        <w:rFonts w:ascii="Symbol" w:hAnsi="Symbol" w:hint="default"/>
      </w:rPr>
    </w:lvl>
    <w:lvl w:ilvl="1" w:tplc="D5EA1DB6">
      <w:start w:val="1"/>
      <w:numFmt w:val="bullet"/>
      <w:lvlText w:val="o"/>
      <w:lvlJc w:val="left"/>
      <w:pPr>
        <w:ind w:left="1440" w:hanging="360"/>
      </w:pPr>
      <w:rPr>
        <w:rFonts w:ascii="Courier New" w:hAnsi="Courier New" w:hint="default"/>
      </w:rPr>
    </w:lvl>
    <w:lvl w:ilvl="2" w:tplc="2E363FD2">
      <w:start w:val="1"/>
      <w:numFmt w:val="bullet"/>
      <w:lvlText w:val=""/>
      <w:lvlJc w:val="left"/>
      <w:pPr>
        <w:ind w:left="2160" w:hanging="360"/>
      </w:pPr>
      <w:rPr>
        <w:rFonts w:ascii="Wingdings" w:hAnsi="Wingdings" w:hint="default"/>
      </w:rPr>
    </w:lvl>
    <w:lvl w:ilvl="3" w:tplc="DB4A4E8E">
      <w:start w:val="1"/>
      <w:numFmt w:val="bullet"/>
      <w:lvlText w:val=""/>
      <w:lvlJc w:val="left"/>
      <w:pPr>
        <w:ind w:left="2880" w:hanging="360"/>
      </w:pPr>
      <w:rPr>
        <w:rFonts w:ascii="Symbol" w:hAnsi="Symbol" w:hint="default"/>
      </w:rPr>
    </w:lvl>
    <w:lvl w:ilvl="4" w:tplc="0166EE6C">
      <w:start w:val="1"/>
      <w:numFmt w:val="bullet"/>
      <w:lvlText w:val="o"/>
      <w:lvlJc w:val="left"/>
      <w:pPr>
        <w:ind w:left="3600" w:hanging="360"/>
      </w:pPr>
      <w:rPr>
        <w:rFonts w:ascii="Courier New" w:hAnsi="Courier New" w:hint="default"/>
      </w:rPr>
    </w:lvl>
    <w:lvl w:ilvl="5" w:tplc="6D5851A2">
      <w:start w:val="1"/>
      <w:numFmt w:val="bullet"/>
      <w:lvlText w:val=""/>
      <w:lvlJc w:val="left"/>
      <w:pPr>
        <w:ind w:left="4320" w:hanging="360"/>
      </w:pPr>
      <w:rPr>
        <w:rFonts w:ascii="Wingdings" w:hAnsi="Wingdings" w:hint="default"/>
      </w:rPr>
    </w:lvl>
    <w:lvl w:ilvl="6" w:tplc="30E046BC">
      <w:start w:val="1"/>
      <w:numFmt w:val="bullet"/>
      <w:lvlText w:val=""/>
      <w:lvlJc w:val="left"/>
      <w:pPr>
        <w:ind w:left="5040" w:hanging="360"/>
      </w:pPr>
      <w:rPr>
        <w:rFonts w:ascii="Symbol" w:hAnsi="Symbol" w:hint="default"/>
      </w:rPr>
    </w:lvl>
    <w:lvl w:ilvl="7" w:tplc="0E78758A">
      <w:start w:val="1"/>
      <w:numFmt w:val="bullet"/>
      <w:lvlText w:val="o"/>
      <w:lvlJc w:val="left"/>
      <w:pPr>
        <w:ind w:left="5760" w:hanging="360"/>
      </w:pPr>
      <w:rPr>
        <w:rFonts w:ascii="Courier New" w:hAnsi="Courier New" w:hint="default"/>
      </w:rPr>
    </w:lvl>
    <w:lvl w:ilvl="8" w:tplc="D2743022">
      <w:start w:val="1"/>
      <w:numFmt w:val="bullet"/>
      <w:lvlText w:val=""/>
      <w:lvlJc w:val="left"/>
      <w:pPr>
        <w:ind w:left="6480" w:hanging="360"/>
      </w:pPr>
      <w:rPr>
        <w:rFonts w:ascii="Wingdings" w:hAnsi="Wingdings" w:hint="default"/>
      </w:rPr>
    </w:lvl>
  </w:abstractNum>
  <w:abstractNum w:abstractNumId="34">
    <w:nsid w:val="6BEE5931"/>
    <w:multiLevelType w:val="hybridMultilevel"/>
    <w:tmpl w:val="D1C03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5004B51"/>
    <w:multiLevelType w:val="hybridMultilevel"/>
    <w:tmpl w:val="2EEC8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DC2413"/>
    <w:multiLevelType w:val="hybridMultilevel"/>
    <w:tmpl w:val="AB520EC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CCC6D9B"/>
    <w:multiLevelType w:val="hybridMultilevel"/>
    <w:tmpl w:val="A4D05B9E"/>
    <w:lvl w:ilvl="0" w:tplc="CFF812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3"/>
  </w:num>
  <w:num w:numId="4">
    <w:abstractNumId w:val="22"/>
  </w:num>
  <w:num w:numId="5">
    <w:abstractNumId w:val="33"/>
  </w:num>
  <w:num w:numId="6">
    <w:abstractNumId w:val="1"/>
  </w:num>
  <w:num w:numId="7">
    <w:abstractNumId w:val="10"/>
  </w:num>
  <w:num w:numId="8">
    <w:abstractNumId w:val="9"/>
  </w:num>
  <w:num w:numId="9">
    <w:abstractNumId w:val="18"/>
  </w:num>
  <w:num w:numId="10">
    <w:abstractNumId w:val="2"/>
  </w:num>
  <w:num w:numId="11">
    <w:abstractNumId w:val="7"/>
  </w:num>
  <w:num w:numId="12">
    <w:abstractNumId w:val="30"/>
  </w:num>
  <w:num w:numId="13">
    <w:abstractNumId w:val="28"/>
  </w:num>
  <w:num w:numId="14">
    <w:abstractNumId w:val="14"/>
  </w:num>
  <w:num w:numId="15">
    <w:abstractNumId w:val="17"/>
  </w:num>
  <w:num w:numId="16">
    <w:abstractNumId w:val="32"/>
  </w:num>
  <w:num w:numId="17">
    <w:abstractNumId w:val="26"/>
  </w:num>
  <w:num w:numId="18">
    <w:abstractNumId w:val="25"/>
  </w:num>
  <w:num w:numId="19">
    <w:abstractNumId w:val="6"/>
  </w:num>
  <w:num w:numId="20">
    <w:abstractNumId w:val="15"/>
  </w:num>
  <w:num w:numId="21">
    <w:abstractNumId w:val="4"/>
  </w:num>
  <w:num w:numId="22">
    <w:abstractNumId w:val="35"/>
  </w:num>
  <w:num w:numId="23">
    <w:abstractNumId w:val="21"/>
  </w:num>
  <w:num w:numId="24">
    <w:abstractNumId w:val="19"/>
  </w:num>
  <w:num w:numId="25">
    <w:abstractNumId w:val="16"/>
  </w:num>
  <w:num w:numId="26">
    <w:abstractNumId w:val="11"/>
  </w:num>
  <w:num w:numId="27">
    <w:abstractNumId w:val="5"/>
  </w:num>
  <w:num w:numId="28">
    <w:abstractNumId w:val="24"/>
  </w:num>
  <w:num w:numId="29">
    <w:abstractNumId w:val="0"/>
  </w:num>
  <w:num w:numId="30">
    <w:abstractNumId w:val="13"/>
  </w:num>
  <w:num w:numId="31">
    <w:abstractNumId w:val="37"/>
  </w:num>
  <w:num w:numId="32">
    <w:abstractNumId w:val="29"/>
  </w:num>
  <w:num w:numId="33">
    <w:abstractNumId w:val="31"/>
  </w:num>
  <w:num w:numId="34">
    <w:abstractNumId w:val="20"/>
  </w:num>
  <w:num w:numId="35">
    <w:abstractNumId w:val="34"/>
  </w:num>
  <w:num w:numId="36">
    <w:abstractNumId w:val="27"/>
  </w:num>
  <w:num w:numId="37">
    <w:abstractNumId w:val="36"/>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numFmt w:val="lowerLette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634CB"/>
    <w:rsid w:val="00002D28"/>
    <w:rsid w:val="00003215"/>
    <w:rsid w:val="00004B9E"/>
    <w:rsid w:val="00005634"/>
    <w:rsid w:val="000067D9"/>
    <w:rsid w:val="0000733B"/>
    <w:rsid w:val="00012183"/>
    <w:rsid w:val="000131B6"/>
    <w:rsid w:val="00014E4A"/>
    <w:rsid w:val="0001786D"/>
    <w:rsid w:val="000201F6"/>
    <w:rsid w:val="00023D2A"/>
    <w:rsid w:val="00024874"/>
    <w:rsid w:val="00027762"/>
    <w:rsid w:val="00030D76"/>
    <w:rsid w:val="00030FAC"/>
    <w:rsid w:val="00031433"/>
    <w:rsid w:val="00031F5C"/>
    <w:rsid w:val="00032C3C"/>
    <w:rsid w:val="00033027"/>
    <w:rsid w:val="00033143"/>
    <w:rsid w:val="000336A2"/>
    <w:rsid w:val="000349EA"/>
    <w:rsid w:val="00034BEF"/>
    <w:rsid w:val="000403A1"/>
    <w:rsid w:val="00040A1F"/>
    <w:rsid w:val="00043FC6"/>
    <w:rsid w:val="00044239"/>
    <w:rsid w:val="00044C0D"/>
    <w:rsid w:val="00046FD0"/>
    <w:rsid w:val="00050238"/>
    <w:rsid w:val="000502FB"/>
    <w:rsid w:val="0005501D"/>
    <w:rsid w:val="00055296"/>
    <w:rsid w:val="00057B7E"/>
    <w:rsid w:val="000612CE"/>
    <w:rsid w:val="000619A2"/>
    <w:rsid w:val="000629A2"/>
    <w:rsid w:val="00065667"/>
    <w:rsid w:val="000706AA"/>
    <w:rsid w:val="00071677"/>
    <w:rsid w:val="00075C59"/>
    <w:rsid w:val="00076482"/>
    <w:rsid w:val="00077148"/>
    <w:rsid w:val="0007C0A5"/>
    <w:rsid w:val="000809F3"/>
    <w:rsid w:val="000810AD"/>
    <w:rsid w:val="0008132C"/>
    <w:rsid w:val="00081CE5"/>
    <w:rsid w:val="000828FF"/>
    <w:rsid w:val="000832FC"/>
    <w:rsid w:val="00085684"/>
    <w:rsid w:val="00085E95"/>
    <w:rsid w:val="0008624F"/>
    <w:rsid w:val="00086402"/>
    <w:rsid w:val="00087D7B"/>
    <w:rsid w:val="0009108A"/>
    <w:rsid w:val="0009194C"/>
    <w:rsid w:val="00091A51"/>
    <w:rsid w:val="0009323B"/>
    <w:rsid w:val="00094426"/>
    <w:rsid w:val="00094725"/>
    <w:rsid w:val="000947CC"/>
    <w:rsid w:val="000957BC"/>
    <w:rsid w:val="0009663C"/>
    <w:rsid w:val="00097449"/>
    <w:rsid w:val="000A05FA"/>
    <w:rsid w:val="000A3F9D"/>
    <w:rsid w:val="000A4219"/>
    <w:rsid w:val="000B0E78"/>
    <w:rsid w:val="000B1099"/>
    <w:rsid w:val="000B3A48"/>
    <w:rsid w:val="000B5C97"/>
    <w:rsid w:val="000B6C35"/>
    <w:rsid w:val="000C0E4D"/>
    <w:rsid w:val="000C3127"/>
    <w:rsid w:val="000C3D1F"/>
    <w:rsid w:val="000C5472"/>
    <w:rsid w:val="000C5F9F"/>
    <w:rsid w:val="000D2539"/>
    <w:rsid w:val="000D2720"/>
    <w:rsid w:val="000D3F1A"/>
    <w:rsid w:val="000D5ADD"/>
    <w:rsid w:val="000E012F"/>
    <w:rsid w:val="000E10A2"/>
    <w:rsid w:val="000E2F28"/>
    <w:rsid w:val="000E4D0A"/>
    <w:rsid w:val="000E6BE9"/>
    <w:rsid w:val="000E7B5B"/>
    <w:rsid w:val="000F4CB4"/>
    <w:rsid w:val="000F5B7E"/>
    <w:rsid w:val="000F6CB1"/>
    <w:rsid w:val="000F775E"/>
    <w:rsid w:val="001019F8"/>
    <w:rsid w:val="00101E7B"/>
    <w:rsid w:val="001029E8"/>
    <w:rsid w:val="001030CB"/>
    <w:rsid w:val="001057C4"/>
    <w:rsid w:val="00110812"/>
    <w:rsid w:val="001112A3"/>
    <w:rsid w:val="001125A1"/>
    <w:rsid w:val="00114737"/>
    <w:rsid w:val="0011A70E"/>
    <w:rsid w:val="001200B3"/>
    <w:rsid w:val="00121B91"/>
    <w:rsid w:val="001235B7"/>
    <w:rsid w:val="00123C51"/>
    <w:rsid w:val="0012459D"/>
    <w:rsid w:val="0012751E"/>
    <w:rsid w:val="00131AA4"/>
    <w:rsid w:val="001337F0"/>
    <w:rsid w:val="00133C77"/>
    <w:rsid w:val="001368B9"/>
    <w:rsid w:val="001407D1"/>
    <w:rsid w:val="00140E1A"/>
    <w:rsid w:val="00144B4C"/>
    <w:rsid w:val="001452FA"/>
    <w:rsid w:val="00147253"/>
    <w:rsid w:val="00150631"/>
    <w:rsid w:val="001506EA"/>
    <w:rsid w:val="0015507E"/>
    <w:rsid w:val="001571A5"/>
    <w:rsid w:val="00157BC1"/>
    <w:rsid w:val="0015F2B6"/>
    <w:rsid w:val="00162B22"/>
    <w:rsid w:val="00163BC5"/>
    <w:rsid w:val="001652F1"/>
    <w:rsid w:val="00166E4C"/>
    <w:rsid w:val="00170F9D"/>
    <w:rsid w:val="00171199"/>
    <w:rsid w:val="00172068"/>
    <w:rsid w:val="00172F1F"/>
    <w:rsid w:val="0017314C"/>
    <w:rsid w:val="001742D5"/>
    <w:rsid w:val="00175BC2"/>
    <w:rsid w:val="00177620"/>
    <w:rsid w:val="00177DB8"/>
    <w:rsid w:val="00181E41"/>
    <w:rsid w:val="001824D2"/>
    <w:rsid w:val="00183109"/>
    <w:rsid w:val="00183FB8"/>
    <w:rsid w:val="00184AC8"/>
    <w:rsid w:val="00184C2D"/>
    <w:rsid w:val="0018586E"/>
    <w:rsid w:val="00185E2D"/>
    <w:rsid w:val="00187F69"/>
    <w:rsid w:val="00191579"/>
    <w:rsid w:val="001920BD"/>
    <w:rsid w:val="0019255A"/>
    <w:rsid w:val="00193BDF"/>
    <w:rsid w:val="00196345"/>
    <w:rsid w:val="00196CAD"/>
    <w:rsid w:val="0019728F"/>
    <w:rsid w:val="001A2569"/>
    <w:rsid w:val="001A25D4"/>
    <w:rsid w:val="001A4F75"/>
    <w:rsid w:val="001A576F"/>
    <w:rsid w:val="001A5773"/>
    <w:rsid w:val="001A63C0"/>
    <w:rsid w:val="001A773F"/>
    <w:rsid w:val="001A7B64"/>
    <w:rsid w:val="001B037C"/>
    <w:rsid w:val="001B0655"/>
    <w:rsid w:val="001B35DD"/>
    <w:rsid w:val="001B433E"/>
    <w:rsid w:val="001B6051"/>
    <w:rsid w:val="001B73E3"/>
    <w:rsid w:val="001B76AE"/>
    <w:rsid w:val="001C0973"/>
    <w:rsid w:val="001C4469"/>
    <w:rsid w:val="001C6086"/>
    <w:rsid w:val="001D2503"/>
    <w:rsid w:val="001D4EDE"/>
    <w:rsid w:val="001D4F3B"/>
    <w:rsid w:val="001D59F8"/>
    <w:rsid w:val="001E095F"/>
    <w:rsid w:val="001E229C"/>
    <w:rsid w:val="001E37CD"/>
    <w:rsid w:val="001E4E4D"/>
    <w:rsid w:val="001F0811"/>
    <w:rsid w:val="001F23BC"/>
    <w:rsid w:val="001F3B75"/>
    <w:rsid w:val="001F46BC"/>
    <w:rsid w:val="001F51CA"/>
    <w:rsid w:val="001F641E"/>
    <w:rsid w:val="001F6E8D"/>
    <w:rsid w:val="002050C3"/>
    <w:rsid w:val="00205590"/>
    <w:rsid w:val="00213357"/>
    <w:rsid w:val="00213FF5"/>
    <w:rsid w:val="002153EA"/>
    <w:rsid w:val="00215765"/>
    <w:rsid w:val="00215CAE"/>
    <w:rsid w:val="00216125"/>
    <w:rsid w:val="002170D4"/>
    <w:rsid w:val="002208CC"/>
    <w:rsid w:val="00220A46"/>
    <w:rsid w:val="00221FFA"/>
    <w:rsid w:val="00222AAB"/>
    <w:rsid w:val="00223F4D"/>
    <w:rsid w:val="0022480F"/>
    <w:rsid w:val="00224E72"/>
    <w:rsid w:val="002279F2"/>
    <w:rsid w:val="00227CAB"/>
    <w:rsid w:val="002307EA"/>
    <w:rsid w:val="00231FC4"/>
    <w:rsid w:val="002336AB"/>
    <w:rsid w:val="00233850"/>
    <w:rsid w:val="00235E0E"/>
    <w:rsid w:val="00238525"/>
    <w:rsid w:val="00240456"/>
    <w:rsid w:val="0024053A"/>
    <w:rsid w:val="00241BB7"/>
    <w:rsid w:val="0024550F"/>
    <w:rsid w:val="00246916"/>
    <w:rsid w:val="00247F32"/>
    <w:rsid w:val="002508A4"/>
    <w:rsid w:val="00252699"/>
    <w:rsid w:val="00252CD6"/>
    <w:rsid w:val="00253A28"/>
    <w:rsid w:val="00254F8D"/>
    <w:rsid w:val="00255D65"/>
    <w:rsid w:val="00256925"/>
    <w:rsid w:val="00261582"/>
    <w:rsid w:val="00262021"/>
    <w:rsid w:val="00264FC6"/>
    <w:rsid w:val="00264FFD"/>
    <w:rsid w:val="002705D9"/>
    <w:rsid w:val="00270B4C"/>
    <w:rsid w:val="00274715"/>
    <w:rsid w:val="00274FBF"/>
    <w:rsid w:val="002761D9"/>
    <w:rsid w:val="002774AB"/>
    <w:rsid w:val="002774C3"/>
    <w:rsid w:val="00277745"/>
    <w:rsid w:val="00277CB2"/>
    <w:rsid w:val="00280A9E"/>
    <w:rsid w:val="00280CA6"/>
    <w:rsid w:val="00280D99"/>
    <w:rsid w:val="00281CC8"/>
    <w:rsid w:val="0028306C"/>
    <w:rsid w:val="00283565"/>
    <w:rsid w:val="00285E74"/>
    <w:rsid w:val="002862AA"/>
    <w:rsid w:val="00286DA4"/>
    <w:rsid w:val="002878B6"/>
    <w:rsid w:val="00290188"/>
    <w:rsid w:val="002907A4"/>
    <w:rsid w:val="00292A82"/>
    <w:rsid w:val="00297912"/>
    <w:rsid w:val="002A0B31"/>
    <w:rsid w:val="002A3261"/>
    <w:rsid w:val="002A56F6"/>
    <w:rsid w:val="002A650F"/>
    <w:rsid w:val="002A6A12"/>
    <w:rsid w:val="002B1FA1"/>
    <w:rsid w:val="002B3107"/>
    <w:rsid w:val="002B33F4"/>
    <w:rsid w:val="002B3452"/>
    <w:rsid w:val="002B652B"/>
    <w:rsid w:val="002B6601"/>
    <w:rsid w:val="002B6BCD"/>
    <w:rsid w:val="002B6BDF"/>
    <w:rsid w:val="002C10E4"/>
    <w:rsid w:val="002C1329"/>
    <w:rsid w:val="002C3E9A"/>
    <w:rsid w:val="002D03CF"/>
    <w:rsid w:val="002D0BB0"/>
    <w:rsid w:val="002D4588"/>
    <w:rsid w:val="002D6780"/>
    <w:rsid w:val="002D6C09"/>
    <w:rsid w:val="002D7117"/>
    <w:rsid w:val="002DF3F1"/>
    <w:rsid w:val="002E330C"/>
    <w:rsid w:val="002F1432"/>
    <w:rsid w:val="002F5646"/>
    <w:rsid w:val="0030104E"/>
    <w:rsid w:val="003069CD"/>
    <w:rsid w:val="00311542"/>
    <w:rsid w:val="00311A25"/>
    <w:rsid w:val="0031230B"/>
    <w:rsid w:val="003144EC"/>
    <w:rsid w:val="00315487"/>
    <w:rsid w:val="00316CE6"/>
    <w:rsid w:val="00316EE9"/>
    <w:rsid w:val="003195DD"/>
    <w:rsid w:val="00320EF0"/>
    <w:rsid w:val="00323BA8"/>
    <w:rsid w:val="00324F41"/>
    <w:rsid w:val="0032516E"/>
    <w:rsid w:val="003267E9"/>
    <w:rsid w:val="00327CB1"/>
    <w:rsid w:val="00332141"/>
    <w:rsid w:val="00332E99"/>
    <w:rsid w:val="0033332D"/>
    <w:rsid w:val="00334098"/>
    <w:rsid w:val="00334DD0"/>
    <w:rsid w:val="0033510F"/>
    <w:rsid w:val="00335195"/>
    <w:rsid w:val="003409C0"/>
    <w:rsid w:val="00350B32"/>
    <w:rsid w:val="00352187"/>
    <w:rsid w:val="0035697D"/>
    <w:rsid w:val="0035764E"/>
    <w:rsid w:val="00357B9C"/>
    <w:rsid w:val="003614D4"/>
    <w:rsid w:val="00361523"/>
    <w:rsid w:val="00361DD6"/>
    <w:rsid w:val="003623A6"/>
    <w:rsid w:val="00362AF4"/>
    <w:rsid w:val="00363D8C"/>
    <w:rsid w:val="003641A0"/>
    <w:rsid w:val="003666B9"/>
    <w:rsid w:val="00366D40"/>
    <w:rsid w:val="00367485"/>
    <w:rsid w:val="00370544"/>
    <w:rsid w:val="00370C06"/>
    <w:rsid w:val="00370DED"/>
    <w:rsid w:val="00371984"/>
    <w:rsid w:val="00372BBF"/>
    <w:rsid w:val="003740C0"/>
    <w:rsid w:val="00377DE0"/>
    <w:rsid w:val="003808CE"/>
    <w:rsid w:val="00380A47"/>
    <w:rsid w:val="00381968"/>
    <w:rsid w:val="00384F29"/>
    <w:rsid w:val="00385BEF"/>
    <w:rsid w:val="00390B56"/>
    <w:rsid w:val="00391381"/>
    <w:rsid w:val="0039138D"/>
    <w:rsid w:val="003922D7"/>
    <w:rsid w:val="00393142"/>
    <w:rsid w:val="00393EF7"/>
    <w:rsid w:val="00396972"/>
    <w:rsid w:val="003A36AC"/>
    <w:rsid w:val="003A3A7D"/>
    <w:rsid w:val="003A5E78"/>
    <w:rsid w:val="003A6544"/>
    <w:rsid w:val="003A677F"/>
    <w:rsid w:val="003A6DFA"/>
    <w:rsid w:val="003B04D8"/>
    <w:rsid w:val="003B1824"/>
    <w:rsid w:val="003B1CB2"/>
    <w:rsid w:val="003C1CEB"/>
    <w:rsid w:val="003C1D38"/>
    <w:rsid w:val="003C32EC"/>
    <w:rsid w:val="003C70F7"/>
    <w:rsid w:val="003D0CDC"/>
    <w:rsid w:val="003D0D31"/>
    <w:rsid w:val="003D14F7"/>
    <w:rsid w:val="003D4C6F"/>
    <w:rsid w:val="003D4CFC"/>
    <w:rsid w:val="003D4E70"/>
    <w:rsid w:val="003D4EE7"/>
    <w:rsid w:val="003D61E6"/>
    <w:rsid w:val="003D7728"/>
    <w:rsid w:val="003E013B"/>
    <w:rsid w:val="003E0B45"/>
    <w:rsid w:val="003E3AEB"/>
    <w:rsid w:val="003E4C0B"/>
    <w:rsid w:val="003E5872"/>
    <w:rsid w:val="003E6EC4"/>
    <w:rsid w:val="003F0EA5"/>
    <w:rsid w:val="003F107D"/>
    <w:rsid w:val="003F1B45"/>
    <w:rsid w:val="003F32C1"/>
    <w:rsid w:val="003F6031"/>
    <w:rsid w:val="003F68F8"/>
    <w:rsid w:val="003F6CEC"/>
    <w:rsid w:val="00400833"/>
    <w:rsid w:val="00401BCD"/>
    <w:rsid w:val="00402C9A"/>
    <w:rsid w:val="00402FC4"/>
    <w:rsid w:val="00404CFD"/>
    <w:rsid w:val="004058A6"/>
    <w:rsid w:val="00406B7B"/>
    <w:rsid w:val="00411069"/>
    <w:rsid w:val="004115AC"/>
    <w:rsid w:val="004125D2"/>
    <w:rsid w:val="00421EF6"/>
    <w:rsid w:val="00424190"/>
    <w:rsid w:val="00426EC8"/>
    <w:rsid w:val="004277C9"/>
    <w:rsid w:val="00431670"/>
    <w:rsid w:val="00431DFD"/>
    <w:rsid w:val="00433BAE"/>
    <w:rsid w:val="00433FA2"/>
    <w:rsid w:val="004353C0"/>
    <w:rsid w:val="004353CD"/>
    <w:rsid w:val="00437768"/>
    <w:rsid w:val="00440B39"/>
    <w:rsid w:val="004420B4"/>
    <w:rsid w:val="00443430"/>
    <w:rsid w:val="004439AC"/>
    <w:rsid w:val="00445BEC"/>
    <w:rsid w:val="0044791B"/>
    <w:rsid w:val="00450193"/>
    <w:rsid w:val="00452E36"/>
    <w:rsid w:val="004555AC"/>
    <w:rsid w:val="00455DE5"/>
    <w:rsid w:val="00462344"/>
    <w:rsid w:val="00463E3A"/>
    <w:rsid w:val="00464A44"/>
    <w:rsid w:val="00466B91"/>
    <w:rsid w:val="004708B8"/>
    <w:rsid w:val="00471A9D"/>
    <w:rsid w:val="004721AF"/>
    <w:rsid w:val="004722C2"/>
    <w:rsid w:val="004733FA"/>
    <w:rsid w:val="004742F9"/>
    <w:rsid w:val="00475618"/>
    <w:rsid w:val="00475BB8"/>
    <w:rsid w:val="0047644F"/>
    <w:rsid w:val="00477273"/>
    <w:rsid w:val="0047739C"/>
    <w:rsid w:val="00480712"/>
    <w:rsid w:val="00483806"/>
    <w:rsid w:val="004841FB"/>
    <w:rsid w:val="004847E2"/>
    <w:rsid w:val="0048578D"/>
    <w:rsid w:val="0048784D"/>
    <w:rsid w:val="00492DBA"/>
    <w:rsid w:val="00493AED"/>
    <w:rsid w:val="004947A9"/>
    <w:rsid w:val="00495EFD"/>
    <w:rsid w:val="0049612C"/>
    <w:rsid w:val="00497104"/>
    <w:rsid w:val="00497C23"/>
    <w:rsid w:val="00497D08"/>
    <w:rsid w:val="004A01BA"/>
    <w:rsid w:val="004A0B8F"/>
    <w:rsid w:val="004A0CB9"/>
    <w:rsid w:val="004A19D5"/>
    <w:rsid w:val="004A2227"/>
    <w:rsid w:val="004A2828"/>
    <w:rsid w:val="004A2BC3"/>
    <w:rsid w:val="004A2F6C"/>
    <w:rsid w:val="004A4C8C"/>
    <w:rsid w:val="004B04AD"/>
    <w:rsid w:val="004B12A3"/>
    <w:rsid w:val="004B22D4"/>
    <w:rsid w:val="004B4DD1"/>
    <w:rsid w:val="004B6480"/>
    <w:rsid w:val="004B67A4"/>
    <w:rsid w:val="004B6B43"/>
    <w:rsid w:val="004C01BE"/>
    <w:rsid w:val="004C083A"/>
    <w:rsid w:val="004C5F0F"/>
    <w:rsid w:val="004C66E3"/>
    <w:rsid w:val="004C689B"/>
    <w:rsid w:val="004C6B5B"/>
    <w:rsid w:val="004D26C2"/>
    <w:rsid w:val="004D2926"/>
    <w:rsid w:val="004D42AE"/>
    <w:rsid w:val="004D67C8"/>
    <w:rsid w:val="004D6C77"/>
    <w:rsid w:val="004D6F7B"/>
    <w:rsid w:val="004D7A17"/>
    <w:rsid w:val="004D7ED0"/>
    <w:rsid w:val="004E0BF7"/>
    <w:rsid w:val="004E3FB6"/>
    <w:rsid w:val="004E6447"/>
    <w:rsid w:val="004E7C2D"/>
    <w:rsid w:val="004F025D"/>
    <w:rsid w:val="004F2023"/>
    <w:rsid w:val="004F2A79"/>
    <w:rsid w:val="004F3823"/>
    <w:rsid w:val="004F445B"/>
    <w:rsid w:val="004F45DC"/>
    <w:rsid w:val="004F5E27"/>
    <w:rsid w:val="004F70DD"/>
    <w:rsid w:val="0050205A"/>
    <w:rsid w:val="00502AA7"/>
    <w:rsid w:val="00503A96"/>
    <w:rsid w:val="00504025"/>
    <w:rsid w:val="005042E3"/>
    <w:rsid w:val="0050434E"/>
    <w:rsid w:val="005127E5"/>
    <w:rsid w:val="005136B8"/>
    <w:rsid w:val="005136B9"/>
    <w:rsid w:val="00515187"/>
    <w:rsid w:val="005162F6"/>
    <w:rsid w:val="00521C83"/>
    <w:rsid w:val="0052411B"/>
    <w:rsid w:val="00525830"/>
    <w:rsid w:val="00527A51"/>
    <w:rsid w:val="00527B8E"/>
    <w:rsid w:val="005320A6"/>
    <w:rsid w:val="00532512"/>
    <w:rsid w:val="005333F7"/>
    <w:rsid w:val="00533D13"/>
    <w:rsid w:val="0053522C"/>
    <w:rsid w:val="00535526"/>
    <w:rsid w:val="00536685"/>
    <w:rsid w:val="00542211"/>
    <w:rsid w:val="00542CA8"/>
    <w:rsid w:val="00543D08"/>
    <w:rsid w:val="00546DA2"/>
    <w:rsid w:val="00546F75"/>
    <w:rsid w:val="005471DA"/>
    <w:rsid w:val="00547762"/>
    <w:rsid w:val="00552BCA"/>
    <w:rsid w:val="00553D78"/>
    <w:rsid w:val="00553F68"/>
    <w:rsid w:val="005557BB"/>
    <w:rsid w:val="00557C6F"/>
    <w:rsid w:val="0055F419"/>
    <w:rsid w:val="00560BA1"/>
    <w:rsid w:val="00562EED"/>
    <w:rsid w:val="00564CC7"/>
    <w:rsid w:val="0056635F"/>
    <w:rsid w:val="00567700"/>
    <w:rsid w:val="00567EB4"/>
    <w:rsid w:val="00570A98"/>
    <w:rsid w:val="00571321"/>
    <w:rsid w:val="00575BA4"/>
    <w:rsid w:val="00577096"/>
    <w:rsid w:val="005772E1"/>
    <w:rsid w:val="005774F1"/>
    <w:rsid w:val="00580614"/>
    <w:rsid w:val="00580C80"/>
    <w:rsid w:val="00581657"/>
    <w:rsid w:val="0058498D"/>
    <w:rsid w:val="00584E9A"/>
    <w:rsid w:val="00590A95"/>
    <w:rsid w:val="00590C8D"/>
    <w:rsid w:val="00591982"/>
    <w:rsid w:val="00592EC5"/>
    <w:rsid w:val="005941A0"/>
    <w:rsid w:val="0059726C"/>
    <w:rsid w:val="00597A8C"/>
    <w:rsid w:val="005B0862"/>
    <w:rsid w:val="005B291B"/>
    <w:rsid w:val="005B355F"/>
    <w:rsid w:val="005B4926"/>
    <w:rsid w:val="005B4EB6"/>
    <w:rsid w:val="005B5AC2"/>
    <w:rsid w:val="005C1B8A"/>
    <w:rsid w:val="005C225A"/>
    <w:rsid w:val="005C4635"/>
    <w:rsid w:val="005C5C3B"/>
    <w:rsid w:val="005C71D6"/>
    <w:rsid w:val="005D0074"/>
    <w:rsid w:val="005D0AA4"/>
    <w:rsid w:val="005D2ADB"/>
    <w:rsid w:val="005D3783"/>
    <w:rsid w:val="005D4CDB"/>
    <w:rsid w:val="005D5FDF"/>
    <w:rsid w:val="005D70A6"/>
    <w:rsid w:val="005D7AEB"/>
    <w:rsid w:val="005D7B4E"/>
    <w:rsid w:val="005E105E"/>
    <w:rsid w:val="005E20EF"/>
    <w:rsid w:val="005E20F8"/>
    <w:rsid w:val="005E4834"/>
    <w:rsid w:val="005E79A4"/>
    <w:rsid w:val="005F2B52"/>
    <w:rsid w:val="005F2DA1"/>
    <w:rsid w:val="005F4F03"/>
    <w:rsid w:val="005F54C4"/>
    <w:rsid w:val="005F5E61"/>
    <w:rsid w:val="005F618E"/>
    <w:rsid w:val="005F65A7"/>
    <w:rsid w:val="005F772D"/>
    <w:rsid w:val="00600E64"/>
    <w:rsid w:val="00605EE1"/>
    <w:rsid w:val="00606356"/>
    <w:rsid w:val="006065E8"/>
    <w:rsid w:val="0061004A"/>
    <w:rsid w:val="006104C6"/>
    <w:rsid w:val="00612484"/>
    <w:rsid w:val="006134C0"/>
    <w:rsid w:val="00613B0B"/>
    <w:rsid w:val="006145BD"/>
    <w:rsid w:val="00614D85"/>
    <w:rsid w:val="00615AA3"/>
    <w:rsid w:val="00615B3D"/>
    <w:rsid w:val="00621348"/>
    <w:rsid w:val="00622223"/>
    <w:rsid w:val="00623A2D"/>
    <w:rsid w:val="00623FF7"/>
    <w:rsid w:val="006260AE"/>
    <w:rsid w:val="00626D5B"/>
    <w:rsid w:val="00626F45"/>
    <w:rsid w:val="00626F98"/>
    <w:rsid w:val="00627442"/>
    <w:rsid w:val="00627BCE"/>
    <w:rsid w:val="006308E4"/>
    <w:rsid w:val="006332ED"/>
    <w:rsid w:val="0063475B"/>
    <w:rsid w:val="006347A6"/>
    <w:rsid w:val="00635331"/>
    <w:rsid w:val="006367B2"/>
    <w:rsid w:val="00636806"/>
    <w:rsid w:val="00637B6A"/>
    <w:rsid w:val="00637EFA"/>
    <w:rsid w:val="006401CD"/>
    <w:rsid w:val="0064425F"/>
    <w:rsid w:val="00644F4D"/>
    <w:rsid w:val="00645514"/>
    <w:rsid w:val="00646B87"/>
    <w:rsid w:val="0064741F"/>
    <w:rsid w:val="006477CF"/>
    <w:rsid w:val="006500EA"/>
    <w:rsid w:val="00652EB1"/>
    <w:rsid w:val="00654CB0"/>
    <w:rsid w:val="006564A0"/>
    <w:rsid w:val="00657024"/>
    <w:rsid w:val="00660293"/>
    <w:rsid w:val="00660951"/>
    <w:rsid w:val="00662A49"/>
    <w:rsid w:val="006661C1"/>
    <w:rsid w:val="00670257"/>
    <w:rsid w:val="00671961"/>
    <w:rsid w:val="00671D4C"/>
    <w:rsid w:val="006724F6"/>
    <w:rsid w:val="00674816"/>
    <w:rsid w:val="00680158"/>
    <w:rsid w:val="0068223A"/>
    <w:rsid w:val="006838C7"/>
    <w:rsid w:val="00684D29"/>
    <w:rsid w:val="006855A4"/>
    <w:rsid w:val="00686C45"/>
    <w:rsid w:val="00690DB3"/>
    <w:rsid w:val="00692649"/>
    <w:rsid w:val="00695E22"/>
    <w:rsid w:val="00696086"/>
    <w:rsid w:val="00696760"/>
    <w:rsid w:val="00696A2E"/>
    <w:rsid w:val="0069721B"/>
    <w:rsid w:val="00697FB2"/>
    <w:rsid w:val="006A2B76"/>
    <w:rsid w:val="006A5245"/>
    <w:rsid w:val="006A76D7"/>
    <w:rsid w:val="006A7F4F"/>
    <w:rsid w:val="006B00B3"/>
    <w:rsid w:val="006B0A8C"/>
    <w:rsid w:val="006B3342"/>
    <w:rsid w:val="006B3516"/>
    <w:rsid w:val="006B4CD9"/>
    <w:rsid w:val="006B698F"/>
    <w:rsid w:val="006B72FB"/>
    <w:rsid w:val="006C124C"/>
    <w:rsid w:val="006C2BE8"/>
    <w:rsid w:val="006C31B8"/>
    <w:rsid w:val="006C49D0"/>
    <w:rsid w:val="006C65AD"/>
    <w:rsid w:val="006C6C4A"/>
    <w:rsid w:val="006C79C5"/>
    <w:rsid w:val="006D166B"/>
    <w:rsid w:val="006D2C61"/>
    <w:rsid w:val="006D4B39"/>
    <w:rsid w:val="006D67B7"/>
    <w:rsid w:val="006D7345"/>
    <w:rsid w:val="006DC77D"/>
    <w:rsid w:val="006E0989"/>
    <w:rsid w:val="006E1EEC"/>
    <w:rsid w:val="006E1F7E"/>
    <w:rsid w:val="006E24D8"/>
    <w:rsid w:val="006E3580"/>
    <w:rsid w:val="006E365F"/>
    <w:rsid w:val="006E771F"/>
    <w:rsid w:val="006E7E11"/>
    <w:rsid w:val="006F04C4"/>
    <w:rsid w:val="006F0788"/>
    <w:rsid w:val="006F0966"/>
    <w:rsid w:val="006F3CE4"/>
    <w:rsid w:val="006F40D6"/>
    <w:rsid w:val="006F4BCC"/>
    <w:rsid w:val="00700086"/>
    <w:rsid w:val="00702B02"/>
    <w:rsid w:val="00703802"/>
    <w:rsid w:val="00707121"/>
    <w:rsid w:val="0071227C"/>
    <w:rsid w:val="007126B5"/>
    <w:rsid w:val="00713517"/>
    <w:rsid w:val="00713BA0"/>
    <w:rsid w:val="00714F86"/>
    <w:rsid w:val="007161D0"/>
    <w:rsid w:val="0071756E"/>
    <w:rsid w:val="00717EEA"/>
    <w:rsid w:val="007201F3"/>
    <w:rsid w:val="00720862"/>
    <w:rsid w:val="00720BC0"/>
    <w:rsid w:val="00721014"/>
    <w:rsid w:val="00721145"/>
    <w:rsid w:val="007225AD"/>
    <w:rsid w:val="00724C88"/>
    <w:rsid w:val="00724DAD"/>
    <w:rsid w:val="00724F3E"/>
    <w:rsid w:val="007259FF"/>
    <w:rsid w:val="00731640"/>
    <w:rsid w:val="0073345E"/>
    <w:rsid w:val="00735A21"/>
    <w:rsid w:val="007375D4"/>
    <w:rsid w:val="007402C5"/>
    <w:rsid w:val="00741504"/>
    <w:rsid w:val="0074238E"/>
    <w:rsid w:val="00742798"/>
    <w:rsid w:val="00744483"/>
    <w:rsid w:val="00745252"/>
    <w:rsid w:val="007453CA"/>
    <w:rsid w:val="00746414"/>
    <w:rsid w:val="00747551"/>
    <w:rsid w:val="00747EBB"/>
    <w:rsid w:val="00752825"/>
    <w:rsid w:val="00753A2C"/>
    <w:rsid w:val="007552B0"/>
    <w:rsid w:val="007563AE"/>
    <w:rsid w:val="007579A4"/>
    <w:rsid w:val="00763847"/>
    <w:rsid w:val="00763A0B"/>
    <w:rsid w:val="0076408A"/>
    <w:rsid w:val="0076661D"/>
    <w:rsid w:val="007666D1"/>
    <w:rsid w:val="00767143"/>
    <w:rsid w:val="0076751D"/>
    <w:rsid w:val="0076767B"/>
    <w:rsid w:val="00767D21"/>
    <w:rsid w:val="00771148"/>
    <w:rsid w:val="00771219"/>
    <w:rsid w:val="007727AF"/>
    <w:rsid w:val="007745E7"/>
    <w:rsid w:val="00774F3E"/>
    <w:rsid w:val="007761B1"/>
    <w:rsid w:val="007770DD"/>
    <w:rsid w:val="00777326"/>
    <w:rsid w:val="007817B3"/>
    <w:rsid w:val="00783252"/>
    <w:rsid w:val="007851F1"/>
    <w:rsid w:val="00790425"/>
    <w:rsid w:val="00790447"/>
    <w:rsid w:val="00790A11"/>
    <w:rsid w:val="00790C3B"/>
    <w:rsid w:val="00791298"/>
    <w:rsid w:val="007933C3"/>
    <w:rsid w:val="007943E4"/>
    <w:rsid w:val="00794BFF"/>
    <w:rsid w:val="00795B26"/>
    <w:rsid w:val="007968E9"/>
    <w:rsid w:val="007A2857"/>
    <w:rsid w:val="007A31D9"/>
    <w:rsid w:val="007A5BCA"/>
    <w:rsid w:val="007A6C25"/>
    <w:rsid w:val="007AE821"/>
    <w:rsid w:val="007B0140"/>
    <w:rsid w:val="007B033C"/>
    <w:rsid w:val="007B7912"/>
    <w:rsid w:val="007C12F5"/>
    <w:rsid w:val="007C31D3"/>
    <w:rsid w:val="007D13C6"/>
    <w:rsid w:val="007D1F2E"/>
    <w:rsid w:val="007D2B4A"/>
    <w:rsid w:val="007D3160"/>
    <w:rsid w:val="007D31C6"/>
    <w:rsid w:val="007D33A4"/>
    <w:rsid w:val="007D3470"/>
    <w:rsid w:val="007D529A"/>
    <w:rsid w:val="007D5F7D"/>
    <w:rsid w:val="007D7BBD"/>
    <w:rsid w:val="007D8EB7"/>
    <w:rsid w:val="007E22AB"/>
    <w:rsid w:val="007E37E8"/>
    <w:rsid w:val="007E484D"/>
    <w:rsid w:val="007E5770"/>
    <w:rsid w:val="007E5A31"/>
    <w:rsid w:val="007E71C4"/>
    <w:rsid w:val="007F0A25"/>
    <w:rsid w:val="007F1965"/>
    <w:rsid w:val="007F2343"/>
    <w:rsid w:val="007F3AEB"/>
    <w:rsid w:val="007F3D70"/>
    <w:rsid w:val="007F440B"/>
    <w:rsid w:val="007F449D"/>
    <w:rsid w:val="007F7AC0"/>
    <w:rsid w:val="007F7B16"/>
    <w:rsid w:val="008004DC"/>
    <w:rsid w:val="008009D3"/>
    <w:rsid w:val="0080113C"/>
    <w:rsid w:val="0080172A"/>
    <w:rsid w:val="008051B2"/>
    <w:rsid w:val="00806707"/>
    <w:rsid w:val="0080683D"/>
    <w:rsid w:val="00806878"/>
    <w:rsid w:val="00807555"/>
    <w:rsid w:val="0081127C"/>
    <w:rsid w:val="0081159F"/>
    <w:rsid w:val="00815831"/>
    <w:rsid w:val="00815AE5"/>
    <w:rsid w:val="00815C31"/>
    <w:rsid w:val="00816730"/>
    <w:rsid w:val="00816AB9"/>
    <w:rsid w:val="00816B16"/>
    <w:rsid w:val="008208B1"/>
    <w:rsid w:val="008243B3"/>
    <w:rsid w:val="008245E9"/>
    <w:rsid w:val="008267AD"/>
    <w:rsid w:val="0082718D"/>
    <w:rsid w:val="00831628"/>
    <w:rsid w:val="00832066"/>
    <w:rsid w:val="008323AD"/>
    <w:rsid w:val="00832E7A"/>
    <w:rsid w:val="008333D2"/>
    <w:rsid w:val="00834498"/>
    <w:rsid w:val="00835009"/>
    <w:rsid w:val="00835971"/>
    <w:rsid w:val="0084067D"/>
    <w:rsid w:val="00841972"/>
    <w:rsid w:val="00845693"/>
    <w:rsid w:val="0084569F"/>
    <w:rsid w:val="00846D75"/>
    <w:rsid w:val="00850DBA"/>
    <w:rsid w:val="00851DC2"/>
    <w:rsid w:val="008527BD"/>
    <w:rsid w:val="00855A82"/>
    <w:rsid w:val="00856D38"/>
    <w:rsid w:val="00857754"/>
    <w:rsid w:val="00861CED"/>
    <w:rsid w:val="00863A21"/>
    <w:rsid w:val="00864D56"/>
    <w:rsid w:val="0086787C"/>
    <w:rsid w:val="00872016"/>
    <w:rsid w:val="00872BD2"/>
    <w:rsid w:val="00873484"/>
    <w:rsid w:val="00875728"/>
    <w:rsid w:val="008758B5"/>
    <w:rsid w:val="00882774"/>
    <w:rsid w:val="00882852"/>
    <w:rsid w:val="00890868"/>
    <w:rsid w:val="00890DB5"/>
    <w:rsid w:val="00891B2E"/>
    <w:rsid w:val="0089237E"/>
    <w:rsid w:val="008934A9"/>
    <w:rsid w:val="00893E63"/>
    <w:rsid w:val="0089734B"/>
    <w:rsid w:val="008A03E9"/>
    <w:rsid w:val="008A0AB0"/>
    <w:rsid w:val="008A225B"/>
    <w:rsid w:val="008A2A4D"/>
    <w:rsid w:val="008B100F"/>
    <w:rsid w:val="008C07D3"/>
    <w:rsid w:val="008C1A02"/>
    <w:rsid w:val="008C227A"/>
    <w:rsid w:val="008C2D9C"/>
    <w:rsid w:val="008C30CA"/>
    <w:rsid w:val="008C7C47"/>
    <w:rsid w:val="008D0366"/>
    <w:rsid w:val="008D1461"/>
    <w:rsid w:val="008D2F0E"/>
    <w:rsid w:val="008D3DEC"/>
    <w:rsid w:val="008D5B1E"/>
    <w:rsid w:val="008D63F7"/>
    <w:rsid w:val="008D6474"/>
    <w:rsid w:val="008D6EEB"/>
    <w:rsid w:val="008E34AF"/>
    <w:rsid w:val="008E551F"/>
    <w:rsid w:val="008E57F1"/>
    <w:rsid w:val="008E6473"/>
    <w:rsid w:val="008E7735"/>
    <w:rsid w:val="008F178B"/>
    <w:rsid w:val="008F255B"/>
    <w:rsid w:val="008F6474"/>
    <w:rsid w:val="008F7C0C"/>
    <w:rsid w:val="00900D21"/>
    <w:rsid w:val="009013E7"/>
    <w:rsid w:val="00905E26"/>
    <w:rsid w:val="00905FF0"/>
    <w:rsid w:val="009070C4"/>
    <w:rsid w:val="00910C83"/>
    <w:rsid w:val="00911263"/>
    <w:rsid w:val="009129BD"/>
    <w:rsid w:val="00915178"/>
    <w:rsid w:val="00915A63"/>
    <w:rsid w:val="00917B94"/>
    <w:rsid w:val="009221E1"/>
    <w:rsid w:val="009229E7"/>
    <w:rsid w:val="009259D5"/>
    <w:rsid w:val="00926413"/>
    <w:rsid w:val="00927479"/>
    <w:rsid w:val="00927910"/>
    <w:rsid w:val="00930EC5"/>
    <w:rsid w:val="00931D4E"/>
    <w:rsid w:val="009343AD"/>
    <w:rsid w:val="00935B08"/>
    <w:rsid w:val="0093707D"/>
    <w:rsid w:val="0093CF77"/>
    <w:rsid w:val="0094253C"/>
    <w:rsid w:val="0094281B"/>
    <w:rsid w:val="00943159"/>
    <w:rsid w:val="009455E5"/>
    <w:rsid w:val="009475D2"/>
    <w:rsid w:val="00950A7D"/>
    <w:rsid w:val="00953BE3"/>
    <w:rsid w:val="009545C1"/>
    <w:rsid w:val="00955315"/>
    <w:rsid w:val="00955C2E"/>
    <w:rsid w:val="00955D9C"/>
    <w:rsid w:val="00956858"/>
    <w:rsid w:val="0096021D"/>
    <w:rsid w:val="009623BF"/>
    <w:rsid w:val="009625BD"/>
    <w:rsid w:val="00962E09"/>
    <w:rsid w:val="009634CB"/>
    <w:rsid w:val="00965308"/>
    <w:rsid w:val="00970306"/>
    <w:rsid w:val="0097141C"/>
    <w:rsid w:val="00971CC2"/>
    <w:rsid w:val="00971FEA"/>
    <w:rsid w:val="00973436"/>
    <w:rsid w:val="00973703"/>
    <w:rsid w:val="0097411D"/>
    <w:rsid w:val="00977231"/>
    <w:rsid w:val="00982018"/>
    <w:rsid w:val="00982258"/>
    <w:rsid w:val="0098704E"/>
    <w:rsid w:val="00987F9B"/>
    <w:rsid w:val="00991F70"/>
    <w:rsid w:val="0099201F"/>
    <w:rsid w:val="00992F40"/>
    <w:rsid w:val="00995A7A"/>
    <w:rsid w:val="009969DF"/>
    <w:rsid w:val="009A072D"/>
    <w:rsid w:val="009A1397"/>
    <w:rsid w:val="009A179F"/>
    <w:rsid w:val="009A480B"/>
    <w:rsid w:val="009A4FB6"/>
    <w:rsid w:val="009A6EFE"/>
    <w:rsid w:val="009A796D"/>
    <w:rsid w:val="009A7E35"/>
    <w:rsid w:val="009B0BA0"/>
    <w:rsid w:val="009B2A23"/>
    <w:rsid w:val="009B32B3"/>
    <w:rsid w:val="009B450E"/>
    <w:rsid w:val="009B5C98"/>
    <w:rsid w:val="009B72FA"/>
    <w:rsid w:val="009C013E"/>
    <w:rsid w:val="009C2BAF"/>
    <w:rsid w:val="009C4214"/>
    <w:rsid w:val="009C518C"/>
    <w:rsid w:val="009C6409"/>
    <w:rsid w:val="009C7255"/>
    <w:rsid w:val="009D0ABF"/>
    <w:rsid w:val="009D0DC5"/>
    <w:rsid w:val="009D1399"/>
    <w:rsid w:val="009D1769"/>
    <w:rsid w:val="009D1965"/>
    <w:rsid w:val="009D3007"/>
    <w:rsid w:val="009D4C9A"/>
    <w:rsid w:val="009E1527"/>
    <w:rsid w:val="009E3B5D"/>
    <w:rsid w:val="009E4881"/>
    <w:rsid w:val="009E5E4B"/>
    <w:rsid w:val="009F18BB"/>
    <w:rsid w:val="009F3EBE"/>
    <w:rsid w:val="009F4045"/>
    <w:rsid w:val="009F588C"/>
    <w:rsid w:val="009F7BFA"/>
    <w:rsid w:val="00A00B4B"/>
    <w:rsid w:val="00A02B00"/>
    <w:rsid w:val="00A044ED"/>
    <w:rsid w:val="00A049D6"/>
    <w:rsid w:val="00A05C12"/>
    <w:rsid w:val="00A06017"/>
    <w:rsid w:val="00A10B44"/>
    <w:rsid w:val="00A10DA5"/>
    <w:rsid w:val="00A128DE"/>
    <w:rsid w:val="00A12B0F"/>
    <w:rsid w:val="00A13554"/>
    <w:rsid w:val="00A15C74"/>
    <w:rsid w:val="00A15D62"/>
    <w:rsid w:val="00A15E60"/>
    <w:rsid w:val="00A17968"/>
    <w:rsid w:val="00A1B49A"/>
    <w:rsid w:val="00A20BAB"/>
    <w:rsid w:val="00A20D96"/>
    <w:rsid w:val="00A246D1"/>
    <w:rsid w:val="00A248E5"/>
    <w:rsid w:val="00A24AC1"/>
    <w:rsid w:val="00A26BC5"/>
    <w:rsid w:val="00A2789C"/>
    <w:rsid w:val="00A32CDC"/>
    <w:rsid w:val="00A341BC"/>
    <w:rsid w:val="00A37595"/>
    <w:rsid w:val="00A377BF"/>
    <w:rsid w:val="00A4095C"/>
    <w:rsid w:val="00A45283"/>
    <w:rsid w:val="00A478A4"/>
    <w:rsid w:val="00A50155"/>
    <w:rsid w:val="00A5097E"/>
    <w:rsid w:val="00A51223"/>
    <w:rsid w:val="00A56B91"/>
    <w:rsid w:val="00A63B06"/>
    <w:rsid w:val="00A642AE"/>
    <w:rsid w:val="00A653EF"/>
    <w:rsid w:val="00A70393"/>
    <w:rsid w:val="00A7173A"/>
    <w:rsid w:val="00A719F5"/>
    <w:rsid w:val="00A71CEF"/>
    <w:rsid w:val="00A71DC9"/>
    <w:rsid w:val="00A7243E"/>
    <w:rsid w:val="00A7388D"/>
    <w:rsid w:val="00A74536"/>
    <w:rsid w:val="00A74E96"/>
    <w:rsid w:val="00A75049"/>
    <w:rsid w:val="00A75AF6"/>
    <w:rsid w:val="00A760A1"/>
    <w:rsid w:val="00A767F4"/>
    <w:rsid w:val="00A7794A"/>
    <w:rsid w:val="00A82BBB"/>
    <w:rsid w:val="00A844C9"/>
    <w:rsid w:val="00A8600F"/>
    <w:rsid w:val="00A868CA"/>
    <w:rsid w:val="00A86EC7"/>
    <w:rsid w:val="00A87BAD"/>
    <w:rsid w:val="00A91CF9"/>
    <w:rsid w:val="00A9302D"/>
    <w:rsid w:val="00A945D1"/>
    <w:rsid w:val="00A951D3"/>
    <w:rsid w:val="00A96F87"/>
    <w:rsid w:val="00AA043E"/>
    <w:rsid w:val="00AA19C2"/>
    <w:rsid w:val="00AA24B3"/>
    <w:rsid w:val="00AA2E40"/>
    <w:rsid w:val="00AA3597"/>
    <w:rsid w:val="00AA3ED0"/>
    <w:rsid w:val="00AA49EB"/>
    <w:rsid w:val="00AA5375"/>
    <w:rsid w:val="00AA579C"/>
    <w:rsid w:val="00AA6A7D"/>
    <w:rsid w:val="00AA72EF"/>
    <w:rsid w:val="00AA8800"/>
    <w:rsid w:val="00AB03AC"/>
    <w:rsid w:val="00AB4039"/>
    <w:rsid w:val="00AB46AE"/>
    <w:rsid w:val="00AB474B"/>
    <w:rsid w:val="00AB5647"/>
    <w:rsid w:val="00AB5961"/>
    <w:rsid w:val="00AB704C"/>
    <w:rsid w:val="00AC309C"/>
    <w:rsid w:val="00AC3362"/>
    <w:rsid w:val="00AC512F"/>
    <w:rsid w:val="00AC65C8"/>
    <w:rsid w:val="00AC66E8"/>
    <w:rsid w:val="00AD0913"/>
    <w:rsid w:val="00AD360E"/>
    <w:rsid w:val="00AD3D71"/>
    <w:rsid w:val="00AD3E1E"/>
    <w:rsid w:val="00AD47DB"/>
    <w:rsid w:val="00AD723F"/>
    <w:rsid w:val="00AD7FF9"/>
    <w:rsid w:val="00AE03EF"/>
    <w:rsid w:val="00AE0927"/>
    <w:rsid w:val="00AE14B8"/>
    <w:rsid w:val="00AE2034"/>
    <w:rsid w:val="00AE3BC0"/>
    <w:rsid w:val="00AF1017"/>
    <w:rsid w:val="00AF2A28"/>
    <w:rsid w:val="00AF2C90"/>
    <w:rsid w:val="00AF2D84"/>
    <w:rsid w:val="00AF37CF"/>
    <w:rsid w:val="00AF3E04"/>
    <w:rsid w:val="00AF4E59"/>
    <w:rsid w:val="00B00BB2"/>
    <w:rsid w:val="00B02D33"/>
    <w:rsid w:val="00B07754"/>
    <w:rsid w:val="00B07C51"/>
    <w:rsid w:val="00B2026C"/>
    <w:rsid w:val="00B203E5"/>
    <w:rsid w:val="00B21773"/>
    <w:rsid w:val="00B227A3"/>
    <w:rsid w:val="00B25228"/>
    <w:rsid w:val="00B25B92"/>
    <w:rsid w:val="00B326DD"/>
    <w:rsid w:val="00B32D6E"/>
    <w:rsid w:val="00B37CB3"/>
    <w:rsid w:val="00B4133E"/>
    <w:rsid w:val="00B41D69"/>
    <w:rsid w:val="00B450B7"/>
    <w:rsid w:val="00B451F3"/>
    <w:rsid w:val="00B45BAA"/>
    <w:rsid w:val="00B46F6D"/>
    <w:rsid w:val="00B478E5"/>
    <w:rsid w:val="00B5326F"/>
    <w:rsid w:val="00B55CFB"/>
    <w:rsid w:val="00B55F2F"/>
    <w:rsid w:val="00B607D7"/>
    <w:rsid w:val="00B61D00"/>
    <w:rsid w:val="00B65A6A"/>
    <w:rsid w:val="00B66A0B"/>
    <w:rsid w:val="00B66BDE"/>
    <w:rsid w:val="00B71D92"/>
    <w:rsid w:val="00B725CC"/>
    <w:rsid w:val="00B7409E"/>
    <w:rsid w:val="00B74D3A"/>
    <w:rsid w:val="00B76522"/>
    <w:rsid w:val="00B778F2"/>
    <w:rsid w:val="00B820CA"/>
    <w:rsid w:val="00B828DA"/>
    <w:rsid w:val="00B83570"/>
    <w:rsid w:val="00B836F0"/>
    <w:rsid w:val="00B8550B"/>
    <w:rsid w:val="00B85FA9"/>
    <w:rsid w:val="00B87BD3"/>
    <w:rsid w:val="00B902CA"/>
    <w:rsid w:val="00B927DF"/>
    <w:rsid w:val="00B928FD"/>
    <w:rsid w:val="00B92FEB"/>
    <w:rsid w:val="00B93AA1"/>
    <w:rsid w:val="00B97595"/>
    <w:rsid w:val="00BA0569"/>
    <w:rsid w:val="00BA2769"/>
    <w:rsid w:val="00BA2F66"/>
    <w:rsid w:val="00BA3B4F"/>
    <w:rsid w:val="00BA6779"/>
    <w:rsid w:val="00BA774A"/>
    <w:rsid w:val="00BB040B"/>
    <w:rsid w:val="00BB351D"/>
    <w:rsid w:val="00BB4548"/>
    <w:rsid w:val="00BB6376"/>
    <w:rsid w:val="00BBF88F"/>
    <w:rsid w:val="00BC0C33"/>
    <w:rsid w:val="00BC328A"/>
    <w:rsid w:val="00BC4A7D"/>
    <w:rsid w:val="00BC54EB"/>
    <w:rsid w:val="00BC5730"/>
    <w:rsid w:val="00BC605D"/>
    <w:rsid w:val="00BC6346"/>
    <w:rsid w:val="00BC744A"/>
    <w:rsid w:val="00BD1274"/>
    <w:rsid w:val="00BD697E"/>
    <w:rsid w:val="00BD7A0F"/>
    <w:rsid w:val="00BE001E"/>
    <w:rsid w:val="00BE2A24"/>
    <w:rsid w:val="00BE52D8"/>
    <w:rsid w:val="00BE6767"/>
    <w:rsid w:val="00BF0E3E"/>
    <w:rsid w:val="00BF1CC6"/>
    <w:rsid w:val="00BF281C"/>
    <w:rsid w:val="00BF334A"/>
    <w:rsid w:val="00BF382E"/>
    <w:rsid w:val="00BF6564"/>
    <w:rsid w:val="00BF705E"/>
    <w:rsid w:val="00BF7B05"/>
    <w:rsid w:val="00C0366F"/>
    <w:rsid w:val="00C04580"/>
    <w:rsid w:val="00C06CD5"/>
    <w:rsid w:val="00C10526"/>
    <w:rsid w:val="00C113D2"/>
    <w:rsid w:val="00C11CDC"/>
    <w:rsid w:val="00C12A69"/>
    <w:rsid w:val="00C15403"/>
    <w:rsid w:val="00C167A0"/>
    <w:rsid w:val="00C17A30"/>
    <w:rsid w:val="00C20E3F"/>
    <w:rsid w:val="00C217DB"/>
    <w:rsid w:val="00C24968"/>
    <w:rsid w:val="00C33680"/>
    <w:rsid w:val="00C33CC1"/>
    <w:rsid w:val="00C342E7"/>
    <w:rsid w:val="00C34867"/>
    <w:rsid w:val="00C34D39"/>
    <w:rsid w:val="00C35767"/>
    <w:rsid w:val="00C417A2"/>
    <w:rsid w:val="00C41AD0"/>
    <w:rsid w:val="00C42880"/>
    <w:rsid w:val="00C42B1C"/>
    <w:rsid w:val="00C477C8"/>
    <w:rsid w:val="00C47FD0"/>
    <w:rsid w:val="00C5253D"/>
    <w:rsid w:val="00C54602"/>
    <w:rsid w:val="00C54B96"/>
    <w:rsid w:val="00C60378"/>
    <w:rsid w:val="00C638EF"/>
    <w:rsid w:val="00C63F3A"/>
    <w:rsid w:val="00C6537F"/>
    <w:rsid w:val="00C65499"/>
    <w:rsid w:val="00C71CA8"/>
    <w:rsid w:val="00C73385"/>
    <w:rsid w:val="00C73D04"/>
    <w:rsid w:val="00C755A1"/>
    <w:rsid w:val="00C7765B"/>
    <w:rsid w:val="00C8215D"/>
    <w:rsid w:val="00C8342E"/>
    <w:rsid w:val="00C84B0F"/>
    <w:rsid w:val="00C85A0D"/>
    <w:rsid w:val="00C86FE6"/>
    <w:rsid w:val="00C9035C"/>
    <w:rsid w:val="00C90468"/>
    <w:rsid w:val="00C91DFB"/>
    <w:rsid w:val="00C92ADE"/>
    <w:rsid w:val="00C9303E"/>
    <w:rsid w:val="00C95E9E"/>
    <w:rsid w:val="00C963F5"/>
    <w:rsid w:val="00C9732F"/>
    <w:rsid w:val="00C97A58"/>
    <w:rsid w:val="00CA18B1"/>
    <w:rsid w:val="00CA3A90"/>
    <w:rsid w:val="00CA53E2"/>
    <w:rsid w:val="00CA67BF"/>
    <w:rsid w:val="00CA6A16"/>
    <w:rsid w:val="00CB336D"/>
    <w:rsid w:val="00CB3591"/>
    <w:rsid w:val="00CB362F"/>
    <w:rsid w:val="00CB4032"/>
    <w:rsid w:val="00CB4B56"/>
    <w:rsid w:val="00CB57B5"/>
    <w:rsid w:val="00CB58F7"/>
    <w:rsid w:val="00CC0837"/>
    <w:rsid w:val="00CC23E1"/>
    <w:rsid w:val="00CC246A"/>
    <w:rsid w:val="00CC4B70"/>
    <w:rsid w:val="00CC5E48"/>
    <w:rsid w:val="00CC5F7D"/>
    <w:rsid w:val="00CC7368"/>
    <w:rsid w:val="00CD0D43"/>
    <w:rsid w:val="00CD1AF9"/>
    <w:rsid w:val="00CD2040"/>
    <w:rsid w:val="00CD465C"/>
    <w:rsid w:val="00CD48DF"/>
    <w:rsid w:val="00CD4AE3"/>
    <w:rsid w:val="00CD6B75"/>
    <w:rsid w:val="00CE10E0"/>
    <w:rsid w:val="00CE15FC"/>
    <w:rsid w:val="00CE1A35"/>
    <w:rsid w:val="00CE23E2"/>
    <w:rsid w:val="00CE3520"/>
    <w:rsid w:val="00CE3914"/>
    <w:rsid w:val="00CE4D14"/>
    <w:rsid w:val="00CE71A6"/>
    <w:rsid w:val="00CF14AF"/>
    <w:rsid w:val="00CF3CE1"/>
    <w:rsid w:val="00CF432E"/>
    <w:rsid w:val="00CF49C2"/>
    <w:rsid w:val="00CF5252"/>
    <w:rsid w:val="00CF7FFB"/>
    <w:rsid w:val="00D00C27"/>
    <w:rsid w:val="00D011C9"/>
    <w:rsid w:val="00D02331"/>
    <w:rsid w:val="00D036C4"/>
    <w:rsid w:val="00D04860"/>
    <w:rsid w:val="00D05080"/>
    <w:rsid w:val="00D06A64"/>
    <w:rsid w:val="00D07AA7"/>
    <w:rsid w:val="00D10CDA"/>
    <w:rsid w:val="00D13529"/>
    <w:rsid w:val="00D146B4"/>
    <w:rsid w:val="00D153A7"/>
    <w:rsid w:val="00D177C6"/>
    <w:rsid w:val="00D203BC"/>
    <w:rsid w:val="00D2167B"/>
    <w:rsid w:val="00D2170C"/>
    <w:rsid w:val="00D21D7D"/>
    <w:rsid w:val="00D23F29"/>
    <w:rsid w:val="00D2684D"/>
    <w:rsid w:val="00D26BD8"/>
    <w:rsid w:val="00D277E5"/>
    <w:rsid w:val="00D31D59"/>
    <w:rsid w:val="00D328F5"/>
    <w:rsid w:val="00D32ACB"/>
    <w:rsid w:val="00D368C3"/>
    <w:rsid w:val="00D426B2"/>
    <w:rsid w:val="00D42B5B"/>
    <w:rsid w:val="00D43529"/>
    <w:rsid w:val="00D43FBC"/>
    <w:rsid w:val="00D446F4"/>
    <w:rsid w:val="00D44D4B"/>
    <w:rsid w:val="00D4644A"/>
    <w:rsid w:val="00D46496"/>
    <w:rsid w:val="00D50BBC"/>
    <w:rsid w:val="00D51704"/>
    <w:rsid w:val="00D5498F"/>
    <w:rsid w:val="00D549DF"/>
    <w:rsid w:val="00D55AC8"/>
    <w:rsid w:val="00D55D49"/>
    <w:rsid w:val="00D573F8"/>
    <w:rsid w:val="00D60030"/>
    <w:rsid w:val="00D661B1"/>
    <w:rsid w:val="00D673C8"/>
    <w:rsid w:val="00D70094"/>
    <w:rsid w:val="00D70C66"/>
    <w:rsid w:val="00D7136C"/>
    <w:rsid w:val="00D71D63"/>
    <w:rsid w:val="00D72B30"/>
    <w:rsid w:val="00D73CE0"/>
    <w:rsid w:val="00D75293"/>
    <w:rsid w:val="00D76E8F"/>
    <w:rsid w:val="00D77A3A"/>
    <w:rsid w:val="00D80C73"/>
    <w:rsid w:val="00D84F83"/>
    <w:rsid w:val="00D87A72"/>
    <w:rsid w:val="00D935ED"/>
    <w:rsid w:val="00D9559F"/>
    <w:rsid w:val="00D97E95"/>
    <w:rsid w:val="00DA0844"/>
    <w:rsid w:val="00DA3370"/>
    <w:rsid w:val="00DA3791"/>
    <w:rsid w:val="00DA37D9"/>
    <w:rsid w:val="00DA3B66"/>
    <w:rsid w:val="00DA4062"/>
    <w:rsid w:val="00DA5373"/>
    <w:rsid w:val="00DA6BC9"/>
    <w:rsid w:val="00DA7A74"/>
    <w:rsid w:val="00DB23B9"/>
    <w:rsid w:val="00DB2FA2"/>
    <w:rsid w:val="00DBBCBF"/>
    <w:rsid w:val="00DC0B3A"/>
    <w:rsid w:val="00DC0CD4"/>
    <w:rsid w:val="00DC4236"/>
    <w:rsid w:val="00DC7709"/>
    <w:rsid w:val="00DD0EEF"/>
    <w:rsid w:val="00DD3067"/>
    <w:rsid w:val="00DD31EF"/>
    <w:rsid w:val="00DD3D80"/>
    <w:rsid w:val="00DD3F47"/>
    <w:rsid w:val="00DD53AE"/>
    <w:rsid w:val="00DE0390"/>
    <w:rsid w:val="00DE0C4A"/>
    <w:rsid w:val="00DE1958"/>
    <w:rsid w:val="00DE493B"/>
    <w:rsid w:val="00DE4B46"/>
    <w:rsid w:val="00DE4BD3"/>
    <w:rsid w:val="00DE5116"/>
    <w:rsid w:val="00DE538D"/>
    <w:rsid w:val="00DE5A3F"/>
    <w:rsid w:val="00DE638B"/>
    <w:rsid w:val="00DE7F92"/>
    <w:rsid w:val="00DF28F6"/>
    <w:rsid w:val="00DF420D"/>
    <w:rsid w:val="00DF5041"/>
    <w:rsid w:val="00DF5289"/>
    <w:rsid w:val="00DF59F8"/>
    <w:rsid w:val="00DF5B2F"/>
    <w:rsid w:val="00DF6B91"/>
    <w:rsid w:val="00E0235A"/>
    <w:rsid w:val="00E02F4B"/>
    <w:rsid w:val="00E0406D"/>
    <w:rsid w:val="00E04599"/>
    <w:rsid w:val="00E055AF"/>
    <w:rsid w:val="00E127A8"/>
    <w:rsid w:val="00E13EB8"/>
    <w:rsid w:val="00E14040"/>
    <w:rsid w:val="00E14587"/>
    <w:rsid w:val="00E14EFC"/>
    <w:rsid w:val="00E151F1"/>
    <w:rsid w:val="00E166EF"/>
    <w:rsid w:val="00E16EDF"/>
    <w:rsid w:val="00E203E1"/>
    <w:rsid w:val="00E20AE9"/>
    <w:rsid w:val="00E23304"/>
    <w:rsid w:val="00E23394"/>
    <w:rsid w:val="00E23905"/>
    <w:rsid w:val="00E23AF5"/>
    <w:rsid w:val="00E23B15"/>
    <w:rsid w:val="00E25082"/>
    <w:rsid w:val="00E274DE"/>
    <w:rsid w:val="00E27E80"/>
    <w:rsid w:val="00E3307A"/>
    <w:rsid w:val="00E35367"/>
    <w:rsid w:val="00E40BCF"/>
    <w:rsid w:val="00E40EB0"/>
    <w:rsid w:val="00E47C6C"/>
    <w:rsid w:val="00E503AB"/>
    <w:rsid w:val="00E507C6"/>
    <w:rsid w:val="00E50892"/>
    <w:rsid w:val="00E5133C"/>
    <w:rsid w:val="00E5309D"/>
    <w:rsid w:val="00E546CF"/>
    <w:rsid w:val="00E5586A"/>
    <w:rsid w:val="00E608C7"/>
    <w:rsid w:val="00E62CF2"/>
    <w:rsid w:val="00E72289"/>
    <w:rsid w:val="00E73650"/>
    <w:rsid w:val="00E7679B"/>
    <w:rsid w:val="00E769D8"/>
    <w:rsid w:val="00E80A7C"/>
    <w:rsid w:val="00E8149F"/>
    <w:rsid w:val="00E8186F"/>
    <w:rsid w:val="00E86F3E"/>
    <w:rsid w:val="00E87EA7"/>
    <w:rsid w:val="00E917A4"/>
    <w:rsid w:val="00E93C64"/>
    <w:rsid w:val="00E9609C"/>
    <w:rsid w:val="00E96C6D"/>
    <w:rsid w:val="00EA14DA"/>
    <w:rsid w:val="00EA5FA8"/>
    <w:rsid w:val="00EA6BEA"/>
    <w:rsid w:val="00EB02E3"/>
    <w:rsid w:val="00EB1D5D"/>
    <w:rsid w:val="00EB33E5"/>
    <w:rsid w:val="00EB50B7"/>
    <w:rsid w:val="00EB5484"/>
    <w:rsid w:val="00EB64E4"/>
    <w:rsid w:val="00EC05D9"/>
    <w:rsid w:val="00EC2A24"/>
    <w:rsid w:val="00EC60E3"/>
    <w:rsid w:val="00EC7EAF"/>
    <w:rsid w:val="00ED18D0"/>
    <w:rsid w:val="00ED248E"/>
    <w:rsid w:val="00ED3943"/>
    <w:rsid w:val="00ED6F5D"/>
    <w:rsid w:val="00ED72F5"/>
    <w:rsid w:val="00EE7D18"/>
    <w:rsid w:val="00EF0DB8"/>
    <w:rsid w:val="00EF3A02"/>
    <w:rsid w:val="00EF424B"/>
    <w:rsid w:val="00EF48F2"/>
    <w:rsid w:val="00EF5115"/>
    <w:rsid w:val="00EF5B88"/>
    <w:rsid w:val="00F00019"/>
    <w:rsid w:val="00F01B4B"/>
    <w:rsid w:val="00F02F18"/>
    <w:rsid w:val="00F0322C"/>
    <w:rsid w:val="00F034EC"/>
    <w:rsid w:val="00F0395A"/>
    <w:rsid w:val="00F0459E"/>
    <w:rsid w:val="00F04627"/>
    <w:rsid w:val="00F058F4"/>
    <w:rsid w:val="00F05E88"/>
    <w:rsid w:val="00F10354"/>
    <w:rsid w:val="00F1062F"/>
    <w:rsid w:val="00F10A28"/>
    <w:rsid w:val="00F11837"/>
    <w:rsid w:val="00F12867"/>
    <w:rsid w:val="00F13959"/>
    <w:rsid w:val="00F144B4"/>
    <w:rsid w:val="00F1518A"/>
    <w:rsid w:val="00F15629"/>
    <w:rsid w:val="00F157CE"/>
    <w:rsid w:val="00F2234E"/>
    <w:rsid w:val="00F227EA"/>
    <w:rsid w:val="00F23197"/>
    <w:rsid w:val="00F23E8D"/>
    <w:rsid w:val="00F25361"/>
    <w:rsid w:val="00F26252"/>
    <w:rsid w:val="00F31013"/>
    <w:rsid w:val="00F31448"/>
    <w:rsid w:val="00F314C1"/>
    <w:rsid w:val="00F31DA3"/>
    <w:rsid w:val="00F406A8"/>
    <w:rsid w:val="00F428C1"/>
    <w:rsid w:val="00F46A6B"/>
    <w:rsid w:val="00F47600"/>
    <w:rsid w:val="00F50603"/>
    <w:rsid w:val="00F508F7"/>
    <w:rsid w:val="00F522AB"/>
    <w:rsid w:val="00F523A7"/>
    <w:rsid w:val="00F52654"/>
    <w:rsid w:val="00F55558"/>
    <w:rsid w:val="00F5675D"/>
    <w:rsid w:val="00F56DED"/>
    <w:rsid w:val="00F60549"/>
    <w:rsid w:val="00F60812"/>
    <w:rsid w:val="00F62FE6"/>
    <w:rsid w:val="00F657B8"/>
    <w:rsid w:val="00F670C9"/>
    <w:rsid w:val="00F6756F"/>
    <w:rsid w:val="00F76FDD"/>
    <w:rsid w:val="00F77A1B"/>
    <w:rsid w:val="00F801E4"/>
    <w:rsid w:val="00F81EA9"/>
    <w:rsid w:val="00F82395"/>
    <w:rsid w:val="00F827B0"/>
    <w:rsid w:val="00F82CCC"/>
    <w:rsid w:val="00F8448F"/>
    <w:rsid w:val="00F846AB"/>
    <w:rsid w:val="00F846F7"/>
    <w:rsid w:val="00F85AF9"/>
    <w:rsid w:val="00F87F63"/>
    <w:rsid w:val="00F90E2C"/>
    <w:rsid w:val="00F926AC"/>
    <w:rsid w:val="00F927F8"/>
    <w:rsid w:val="00F92946"/>
    <w:rsid w:val="00F92A57"/>
    <w:rsid w:val="00F94A5A"/>
    <w:rsid w:val="00F95977"/>
    <w:rsid w:val="00FA1178"/>
    <w:rsid w:val="00FA30BE"/>
    <w:rsid w:val="00FA3A49"/>
    <w:rsid w:val="00FA52D2"/>
    <w:rsid w:val="00FA71B0"/>
    <w:rsid w:val="00FB01AB"/>
    <w:rsid w:val="00FB04EB"/>
    <w:rsid w:val="00FB1950"/>
    <w:rsid w:val="00FB2071"/>
    <w:rsid w:val="00FB547D"/>
    <w:rsid w:val="00FB7473"/>
    <w:rsid w:val="00FC2DFB"/>
    <w:rsid w:val="00FC3735"/>
    <w:rsid w:val="00FC44CB"/>
    <w:rsid w:val="00FC4F20"/>
    <w:rsid w:val="00FC5C43"/>
    <w:rsid w:val="00FC733F"/>
    <w:rsid w:val="00FD06AE"/>
    <w:rsid w:val="00FD0B4C"/>
    <w:rsid w:val="00FD0FA8"/>
    <w:rsid w:val="00FD336F"/>
    <w:rsid w:val="00FD3F7A"/>
    <w:rsid w:val="00FD5175"/>
    <w:rsid w:val="00FD7595"/>
    <w:rsid w:val="00FD7821"/>
    <w:rsid w:val="00FE07CD"/>
    <w:rsid w:val="00FE3F9F"/>
    <w:rsid w:val="00FE6458"/>
    <w:rsid w:val="00FE71DA"/>
    <w:rsid w:val="00FF0065"/>
    <w:rsid w:val="00FF070D"/>
    <w:rsid w:val="00FF36B0"/>
    <w:rsid w:val="00FF42F1"/>
    <w:rsid w:val="00FF6179"/>
    <w:rsid w:val="00FF75C1"/>
    <w:rsid w:val="010FD5DD"/>
    <w:rsid w:val="011ED551"/>
    <w:rsid w:val="0121B0A7"/>
    <w:rsid w:val="012A93A0"/>
    <w:rsid w:val="013CA971"/>
    <w:rsid w:val="0142B6AE"/>
    <w:rsid w:val="0142DEB0"/>
    <w:rsid w:val="01436701"/>
    <w:rsid w:val="014532F1"/>
    <w:rsid w:val="0147822B"/>
    <w:rsid w:val="0152033B"/>
    <w:rsid w:val="0157D69B"/>
    <w:rsid w:val="015D8079"/>
    <w:rsid w:val="0162F378"/>
    <w:rsid w:val="016D3174"/>
    <w:rsid w:val="017B6432"/>
    <w:rsid w:val="017BDBD1"/>
    <w:rsid w:val="0188F026"/>
    <w:rsid w:val="0192ADB1"/>
    <w:rsid w:val="01A3138A"/>
    <w:rsid w:val="01A378C6"/>
    <w:rsid w:val="01A46391"/>
    <w:rsid w:val="01A5C09D"/>
    <w:rsid w:val="01A96F6B"/>
    <w:rsid w:val="01AB3537"/>
    <w:rsid w:val="01AC135E"/>
    <w:rsid w:val="01B53C41"/>
    <w:rsid w:val="01BBD95C"/>
    <w:rsid w:val="01C3730C"/>
    <w:rsid w:val="01CD36BA"/>
    <w:rsid w:val="01D380A0"/>
    <w:rsid w:val="01D6BC8E"/>
    <w:rsid w:val="01E3DEC1"/>
    <w:rsid w:val="01E9F197"/>
    <w:rsid w:val="01F18694"/>
    <w:rsid w:val="01F6016F"/>
    <w:rsid w:val="0203E7A9"/>
    <w:rsid w:val="020A6E3B"/>
    <w:rsid w:val="020F3B1F"/>
    <w:rsid w:val="021A220C"/>
    <w:rsid w:val="02204668"/>
    <w:rsid w:val="0223E6D3"/>
    <w:rsid w:val="02242221"/>
    <w:rsid w:val="022D2563"/>
    <w:rsid w:val="0236081C"/>
    <w:rsid w:val="025282B6"/>
    <w:rsid w:val="02647FF8"/>
    <w:rsid w:val="0271814F"/>
    <w:rsid w:val="027D5E42"/>
    <w:rsid w:val="028A52AC"/>
    <w:rsid w:val="0290F8DD"/>
    <w:rsid w:val="02947F7D"/>
    <w:rsid w:val="02A44A57"/>
    <w:rsid w:val="02B07370"/>
    <w:rsid w:val="02BEB3E4"/>
    <w:rsid w:val="02DB5CE5"/>
    <w:rsid w:val="02DFD56B"/>
    <w:rsid w:val="02F27822"/>
    <w:rsid w:val="03073B44"/>
    <w:rsid w:val="030F5D61"/>
    <w:rsid w:val="0313BC42"/>
    <w:rsid w:val="0317408D"/>
    <w:rsid w:val="03174995"/>
    <w:rsid w:val="03198C5F"/>
    <w:rsid w:val="03301973"/>
    <w:rsid w:val="033C566A"/>
    <w:rsid w:val="035C2D64"/>
    <w:rsid w:val="035E1E2A"/>
    <w:rsid w:val="03632119"/>
    <w:rsid w:val="03672C79"/>
    <w:rsid w:val="0369C867"/>
    <w:rsid w:val="036EA28B"/>
    <w:rsid w:val="0371F428"/>
    <w:rsid w:val="03760CB0"/>
    <w:rsid w:val="037ED497"/>
    <w:rsid w:val="03865412"/>
    <w:rsid w:val="0387A018"/>
    <w:rsid w:val="038A10A0"/>
    <w:rsid w:val="038B6B47"/>
    <w:rsid w:val="038F722E"/>
    <w:rsid w:val="039C71D4"/>
    <w:rsid w:val="039F650E"/>
    <w:rsid w:val="03B001AA"/>
    <w:rsid w:val="03B8E6BF"/>
    <w:rsid w:val="03BB3CE9"/>
    <w:rsid w:val="03C66C31"/>
    <w:rsid w:val="03C877AD"/>
    <w:rsid w:val="03CA5FC8"/>
    <w:rsid w:val="03E15225"/>
    <w:rsid w:val="03E58B11"/>
    <w:rsid w:val="03E82BF6"/>
    <w:rsid w:val="03E8D404"/>
    <w:rsid w:val="03FC2670"/>
    <w:rsid w:val="03FDF63A"/>
    <w:rsid w:val="04070288"/>
    <w:rsid w:val="040875AD"/>
    <w:rsid w:val="040B89F9"/>
    <w:rsid w:val="041EA26F"/>
    <w:rsid w:val="042226BD"/>
    <w:rsid w:val="0422A36E"/>
    <w:rsid w:val="0425B12C"/>
    <w:rsid w:val="042F243E"/>
    <w:rsid w:val="044DDE04"/>
    <w:rsid w:val="044EB23E"/>
    <w:rsid w:val="045D0546"/>
    <w:rsid w:val="045F8576"/>
    <w:rsid w:val="0460DF27"/>
    <w:rsid w:val="0465ACF0"/>
    <w:rsid w:val="0466F129"/>
    <w:rsid w:val="04735BF2"/>
    <w:rsid w:val="047668D8"/>
    <w:rsid w:val="047AD3BE"/>
    <w:rsid w:val="047F1719"/>
    <w:rsid w:val="048546BD"/>
    <w:rsid w:val="04925803"/>
    <w:rsid w:val="04973FBB"/>
    <w:rsid w:val="04B0738F"/>
    <w:rsid w:val="04B80E61"/>
    <w:rsid w:val="04BB6C93"/>
    <w:rsid w:val="04BC972F"/>
    <w:rsid w:val="04BCEC55"/>
    <w:rsid w:val="04DB2A11"/>
    <w:rsid w:val="04DBBB4F"/>
    <w:rsid w:val="04E0A819"/>
    <w:rsid w:val="04E477EE"/>
    <w:rsid w:val="04E809D1"/>
    <w:rsid w:val="04E91125"/>
    <w:rsid w:val="04F18299"/>
    <w:rsid w:val="04FA71B8"/>
    <w:rsid w:val="04FC2D4A"/>
    <w:rsid w:val="0501B7F9"/>
    <w:rsid w:val="051AFF28"/>
    <w:rsid w:val="052ACA02"/>
    <w:rsid w:val="052BAD25"/>
    <w:rsid w:val="053617D4"/>
    <w:rsid w:val="053707B1"/>
    <w:rsid w:val="0544A5AD"/>
    <w:rsid w:val="05502D7E"/>
    <w:rsid w:val="05523A2B"/>
    <w:rsid w:val="05626933"/>
    <w:rsid w:val="0562BB4D"/>
    <w:rsid w:val="0573FD4C"/>
    <w:rsid w:val="0574E927"/>
    <w:rsid w:val="057F9E6C"/>
    <w:rsid w:val="05818A80"/>
    <w:rsid w:val="058AC609"/>
    <w:rsid w:val="058E82DE"/>
    <w:rsid w:val="059CB355"/>
    <w:rsid w:val="05A05194"/>
    <w:rsid w:val="05BCF8A1"/>
    <w:rsid w:val="05BDBF7D"/>
    <w:rsid w:val="05C9E107"/>
    <w:rsid w:val="05D278F0"/>
    <w:rsid w:val="05E77E57"/>
    <w:rsid w:val="05EF46FC"/>
    <w:rsid w:val="05F95774"/>
    <w:rsid w:val="05F9C87D"/>
    <w:rsid w:val="05FF9AE2"/>
    <w:rsid w:val="06033D2A"/>
    <w:rsid w:val="0611DA13"/>
    <w:rsid w:val="06177ACE"/>
    <w:rsid w:val="0618DE50"/>
    <w:rsid w:val="061D4191"/>
    <w:rsid w:val="061E028F"/>
    <w:rsid w:val="062342D4"/>
    <w:rsid w:val="064124A4"/>
    <w:rsid w:val="0641FD35"/>
    <w:rsid w:val="06447D08"/>
    <w:rsid w:val="0666F883"/>
    <w:rsid w:val="066786CA"/>
    <w:rsid w:val="066B1F1A"/>
    <w:rsid w:val="067C51A1"/>
    <w:rsid w:val="0680DE75"/>
    <w:rsid w:val="068641B6"/>
    <w:rsid w:val="068E3891"/>
    <w:rsid w:val="069F5409"/>
    <w:rsid w:val="06A3BB41"/>
    <w:rsid w:val="06A94BDA"/>
    <w:rsid w:val="06ABE511"/>
    <w:rsid w:val="06BE8832"/>
    <w:rsid w:val="06BEBBF6"/>
    <w:rsid w:val="06C0C82E"/>
    <w:rsid w:val="06C86828"/>
    <w:rsid w:val="06D2897D"/>
    <w:rsid w:val="06D4B323"/>
    <w:rsid w:val="06DB5EE3"/>
    <w:rsid w:val="06DD0211"/>
    <w:rsid w:val="06E09BAA"/>
    <w:rsid w:val="06E16686"/>
    <w:rsid w:val="06E67B9A"/>
    <w:rsid w:val="06E8CF2D"/>
    <w:rsid w:val="06F71C62"/>
    <w:rsid w:val="06FADD66"/>
    <w:rsid w:val="0700357F"/>
    <w:rsid w:val="0700B58F"/>
    <w:rsid w:val="07088273"/>
    <w:rsid w:val="070C7BF6"/>
    <w:rsid w:val="071E0F02"/>
    <w:rsid w:val="072D0C6B"/>
    <w:rsid w:val="072DE8B4"/>
    <w:rsid w:val="07439692"/>
    <w:rsid w:val="074C854A"/>
    <w:rsid w:val="074EC741"/>
    <w:rsid w:val="07514878"/>
    <w:rsid w:val="0769F267"/>
    <w:rsid w:val="0771D3AA"/>
    <w:rsid w:val="0773B1C6"/>
    <w:rsid w:val="07756762"/>
    <w:rsid w:val="0798AF7D"/>
    <w:rsid w:val="07A3ADE0"/>
    <w:rsid w:val="07AC1084"/>
    <w:rsid w:val="07B0859F"/>
    <w:rsid w:val="07B41C81"/>
    <w:rsid w:val="07BED2BB"/>
    <w:rsid w:val="07C6A706"/>
    <w:rsid w:val="07C8EC86"/>
    <w:rsid w:val="07D50CE3"/>
    <w:rsid w:val="07DA0267"/>
    <w:rsid w:val="07DEED9F"/>
    <w:rsid w:val="07E4F0FD"/>
    <w:rsid w:val="07EFB00E"/>
    <w:rsid w:val="07F2F400"/>
    <w:rsid w:val="07FDE8EA"/>
    <w:rsid w:val="07FE31CA"/>
    <w:rsid w:val="08058739"/>
    <w:rsid w:val="08148132"/>
    <w:rsid w:val="0818155A"/>
    <w:rsid w:val="081C4D3F"/>
    <w:rsid w:val="0823A35C"/>
    <w:rsid w:val="0842B327"/>
    <w:rsid w:val="08675459"/>
    <w:rsid w:val="086AAF69"/>
    <w:rsid w:val="08793007"/>
    <w:rsid w:val="0884942D"/>
    <w:rsid w:val="08906A37"/>
    <w:rsid w:val="0890D25A"/>
    <w:rsid w:val="089B9E7A"/>
    <w:rsid w:val="08A2EE5B"/>
    <w:rsid w:val="08A6C745"/>
    <w:rsid w:val="08A8EA6D"/>
    <w:rsid w:val="08AD17FD"/>
    <w:rsid w:val="08AFD21B"/>
    <w:rsid w:val="08B2CEAD"/>
    <w:rsid w:val="08C8C12C"/>
    <w:rsid w:val="08C8DBF7"/>
    <w:rsid w:val="08C8FB51"/>
    <w:rsid w:val="08D93567"/>
    <w:rsid w:val="08E368D8"/>
    <w:rsid w:val="08EFB26D"/>
    <w:rsid w:val="08F586B1"/>
    <w:rsid w:val="09036550"/>
    <w:rsid w:val="09037E10"/>
    <w:rsid w:val="0904C671"/>
    <w:rsid w:val="090C144E"/>
    <w:rsid w:val="090EE05E"/>
    <w:rsid w:val="09130459"/>
    <w:rsid w:val="0916EE4B"/>
    <w:rsid w:val="092E6E0B"/>
    <w:rsid w:val="09374D51"/>
    <w:rsid w:val="0939327F"/>
    <w:rsid w:val="093CC826"/>
    <w:rsid w:val="093E7602"/>
    <w:rsid w:val="0948F381"/>
    <w:rsid w:val="09532918"/>
    <w:rsid w:val="09586D22"/>
    <w:rsid w:val="09604B6F"/>
    <w:rsid w:val="09671ED4"/>
    <w:rsid w:val="09735008"/>
    <w:rsid w:val="097C57B6"/>
    <w:rsid w:val="0983E25C"/>
    <w:rsid w:val="09A27CE9"/>
    <w:rsid w:val="09AB314E"/>
    <w:rsid w:val="09B5A427"/>
    <w:rsid w:val="09BE7126"/>
    <w:rsid w:val="09C8B28B"/>
    <w:rsid w:val="09C8D3FE"/>
    <w:rsid w:val="09DA420C"/>
    <w:rsid w:val="09E05D00"/>
    <w:rsid w:val="09E7B5B8"/>
    <w:rsid w:val="09EF3839"/>
    <w:rsid w:val="09F09E31"/>
    <w:rsid w:val="09FDBABA"/>
    <w:rsid w:val="0A011B1B"/>
    <w:rsid w:val="0A05C54E"/>
    <w:rsid w:val="0A08B5A2"/>
    <w:rsid w:val="0A1A7D23"/>
    <w:rsid w:val="0A1FDFBA"/>
    <w:rsid w:val="0A267861"/>
    <w:rsid w:val="0A2D7D4B"/>
    <w:rsid w:val="0A307A73"/>
    <w:rsid w:val="0A44991D"/>
    <w:rsid w:val="0A55D8E5"/>
    <w:rsid w:val="0A5C10FC"/>
    <w:rsid w:val="0A5CB4C3"/>
    <w:rsid w:val="0A5DE96C"/>
    <w:rsid w:val="0A649065"/>
    <w:rsid w:val="0A6A79A3"/>
    <w:rsid w:val="0A6E17DA"/>
    <w:rsid w:val="0A788A72"/>
    <w:rsid w:val="0A79F49A"/>
    <w:rsid w:val="0A7AEC65"/>
    <w:rsid w:val="0A7BAA40"/>
    <w:rsid w:val="0A7D5554"/>
    <w:rsid w:val="0A8005A7"/>
    <w:rsid w:val="0A83EF51"/>
    <w:rsid w:val="0A8882DA"/>
    <w:rsid w:val="0A88CBB5"/>
    <w:rsid w:val="0A969AAE"/>
    <w:rsid w:val="0AAB900E"/>
    <w:rsid w:val="0AB1137E"/>
    <w:rsid w:val="0AB38D98"/>
    <w:rsid w:val="0AB83706"/>
    <w:rsid w:val="0ABE0D03"/>
    <w:rsid w:val="0AD6B47E"/>
    <w:rsid w:val="0AD81C20"/>
    <w:rsid w:val="0AD81E0E"/>
    <w:rsid w:val="0B11FD3B"/>
    <w:rsid w:val="0B143B7B"/>
    <w:rsid w:val="0B14EA24"/>
    <w:rsid w:val="0B19EE58"/>
    <w:rsid w:val="0B20D199"/>
    <w:rsid w:val="0B316276"/>
    <w:rsid w:val="0B3E731C"/>
    <w:rsid w:val="0B3F1382"/>
    <w:rsid w:val="0B448DB4"/>
    <w:rsid w:val="0B534CE7"/>
    <w:rsid w:val="0B597430"/>
    <w:rsid w:val="0B5DCAD9"/>
    <w:rsid w:val="0B66431A"/>
    <w:rsid w:val="0B690BEB"/>
    <w:rsid w:val="0B69B196"/>
    <w:rsid w:val="0B7EA805"/>
    <w:rsid w:val="0B839500"/>
    <w:rsid w:val="0B8662B7"/>
    <w:rsid w:val="0B9603BF"/>
    <w:rsid w:val="0B994889"/>
    <w:rsid w:val="0BB743C2"/>
    <w:rsid w:val="0BBC6843"/>
    <w:rsid w:val="0BC12F7B"/>
    <w:rsid w:val="0BCFB752"/>
    <w:rsid w:val="0BD605BC"/>
    <w:rsid w:val="0BE0D7C4"/>
    <w:rsid w:val="0BEBDCC8"/>
    <w:rsid w:val="0BFA9CEC"/>
    <w:rsid w:val="0BFF7A9D"/>
    <w:rsid w:val="0BFF84A1"/>
    <w:rsid w:val="0C033A6E"/>
    <w:rsid w:val="0C071455"/>
    <w:rsid w:val="0C0DFBB8"/>
    <w:rsid w:val="0C15987B"/>
    <w:rsid w:val="0C20280F"/>
    <w:rsid w:val="0C203A24"/>
    <w:rsid w:val="0C243FBF"/>
    <w:rsid w:val="0C342063"/>
    <w:rsid w:val="0C397FEE"/>
    <w:rsid w:val="0C3DE8A0"/>
    <w:rsid w:val="0C59A796"/>
    <w:rsid w:val="0C6F16FB"/>
    <w:rsid w:val="0C760EE2"/>
    <w:rsid w:val="0C7B6477"/>
    <w:rsid w:val="0C94F236"/>
    <w:rsid w:val="0C972D3E"/>
    <w:rsid w:val="0C984DBA"/>
    <w:rsid w:val="0CA76B2D"/>
    <w:rsid w:val="0CAA9B37"/>
    <w:rsid w:val="0CB577D8"/>
    <w:rsid w:val="0CB9B964"/>
    <w:rsid w:val="0CEE6726"/>
    <w:rsid w:val="0CFDF623"/>
    <w:rsid w:val="0CFE7950"/>
    <w:rsid w:val="0D010A23"/>
    <w:rsid w:val="0D0EF287"/>
    <w:rsid w:val="0D245D45"/>
    <w:rsid w:val="0D252827"/>
    <w:rsid w:val="0D377582"/>
    <w:rsid w:val="0D3E2BFC"/>
    <w:rsid w:val="0D4774AC"/>
    <w:rsid w:val="0D4AD107"/>
    <w:rsid w:val="0D4BB871"/>
    <w:rsid w:val="0D66D7BE"/>
    <w:rsid w:val="0D6C8D32"/>
    <w:rsid w:val="0D70C395"/>
    <w:rsid w:val="0D7DA48A"/>
    <w:rsid w:val="0D8315E5"/>
    <w:rsid w:val="0D8DB7AF"/>
    <w:rsid w:val="0DA19FF6"/>
    <w:rsid w:val="0DA3B6C4"/>
    <w:rsid w:val="0DA6C31B"/>
    <w:rsid w:val="0DA777EA"/>
    <w:rsid w:val="0DB1C01A"/>
    <w:rsid w:val="0DB8868D"/>
    <w:rsid w:val="0DCCD23E"/>
    <w:rsid w:val="0DD15EDD"/>
    <w:rsid w:val="0DD4DF10"/>
    <w:rsid w:val="0DD84C1F"/>
    <w:rsid w:val="0DDC6E1D"/>
    <w:rsid w:val="0DE7193F"/>
    <w:rsid w:val="0DEED95F"/>
    <w:rsid w:val="0DF13AAD"/>
    <w:rsid w:val="0E052736"/>
    <w:rsid w:val="0E05EF39"/>
    <w:rsid w:val="0E07B851"/>
    <w:rsid w:val="0E13546A"/>
    <w:rsid w:val="0E196731"/>
    <w:rsid w:val="0E1A6D89"/>
    <w:rsid w:val="0E1B15A1"/>
    <w:rsid w:val="0E25472E"/>
    <w:rsid w:val="0E254E17"/>
    <w:rsid w:val="0E25C324"/>
    <w:rsid w:val="0E28CF1A"/>
    <w:rsid w:val="0E3FC03D"/>
    <w:rsid w:val="0E461CBD"/>
    <w:rsid w:val="0E46A2AD"/>
    <w:rsid w:val="0E4AE0CB"/>
    <w:rsid w:val="0E4BE41B"/>
    <w:rsid w:val="0E4D05BB"/>
    <w:rsid w:val="0E560F81"/>
    <w:rsid w:val="0E637778"/>
    <w:rsid w:val="0E69540A"/>
    <w:rsid w:val="0E8617B8"/>
    <w:rsid w:val="0E88934A"/>
    <w:rsid w:val="0E9320A7"/>
    <w:rsid w:val="0E9FA0EF"/>
    <w:rsid w:val="0EA90543"/>
    <w:rsid w:val="0EAF1E59"/>
    <w:rsid w:val="0EBB5042"/>
    <w:rsid w:val="0EBDD51B"/>
    <w:rsid w:val="0ED0A524"/>
    <w:rsid w:val="0ED2AD4B"/>
    <w:rsid w:val="0ED8882A"/>
    <w:rsid w:val="0EDAB763"/>
    <w:rsid w:val="0EDD9B91"/>
    <w:rsid w:val="0EE1F500"/>
    <w:rsid w:val="0EE417EA"/>
    <w:rsid w:val="0EEB92A4"/>
    <w:rsid w:val="0F03C968"/>
    <w:rsid w:val="0F167E5A"/>
    <w:rsid w:val="0F1EBA59"/>
    <w:rsid w:val="0F1FA0C1"/>
    <w:rsid w:val="0F2BF7FE"/>
    <w:rsid w:val="0F2CB268"/>
    <w:rsid w:val="0F34E97D"/>
    <w:rsid w:val="0F3B58A3"/>
    <w:rsid w:val="0F48341B"/>
    <w:rsid w:val="0F4A1440"/>
    <w:rsid w:val="0F4B6584"/>
    <w:rsid w:val="0F4C8A07"/>
    <w:rsid w:val="0F4D8290"/>
    <w:rsid w:val="0F6469DF"/>
    <w:rsid w:val="0F6A7E60"/>
    <w:rsid w:val="0F6BD722"/>
    <w:rsid w:val="0F6CDFC2"/>
    <w:rsid w:val="0F6EDC86"/>
    <w:rsid w:val="0F71711D"/>
    <w:rsid w:val="0F71C9D7"/>
    <w:rsid w:val="0F7B3446"/>
    <w:rsid w:val="0FA109E8"/>
    <w:rsid w:val="0FBBF06B"/>
    <w:rsid w:val="0FBD7739"/>
    <w:rsid w:val="0FC06EC7"/>
    <w:rsid w:val="0FC26FBC"/>
    <w:rsid w:val="0FCC6141"/>
    <w:rsid w:val="0FD6D55B"/>
    <w:rsid w:val="0FD72FDB"/>
    <w:rsid w:val="0FE77E4B"/>
    <w:rsid w:val="0FEBC1E8"/>
    <w:rsid w:val="0FF2D4CA"/>
    <w:rsid w:val="0FFF2BFA"/>
    <w:rsid w:val="10087AA2"/>
    <w:rsid w:val="100B9D6D"/>
    <w:rsid w:val="1034E057"/>
    <w:rsid w:val="10387870"/>
    <w:rsid w:val="103BD83F"/>
    <w:rsid w:val="1045B598"/>
    <w:rsid w:val="1046C222"/>
    <w:rsid w:val="10618FC8"/>
    <w:rsid w:val="108911E1"/>
    <w:rsid w:val="10917ABC"/>
    <w:rsid w:val="10943C1C"/>
    <w:rsid w:val="1095CE34"/>
    <w:rsid w:val="10986106"/>
    <w:rsid w:val="109A04B4"/>
    <w:rsid w:val="10A5B358"/>
    <w:rsid w:val="10AC7FEA"/>
    <w:rsid w:val="10AC8CE3"/>
    <w:rsid w:val="10AE24A4"/>
    <w:rsid w:val="10B3C936"/>
    <w:rsid w:val="10C2417C"/>
    <w:rsid w:val="10CA0079"/>
    <w:rsid w:val="10E99510"/>
    <w:rsid w:val="10F03B1D"/>
    <w:rsid w:val="10F0C4F1"/>
    <w:rsid w:val="11042173"/>
    <w:rsid w:val="11283059"/>
    <w:rsid w:val="1130416B"/>
    <w:rsid w:val="113172E0"/>
    <w:rsid w:val="113683F3"/>
    <w:rsid w:val="113924BC"/>
    <w:rsid w:val="11392898"/>
    <w:rsid w:val="113C6986"/>
    <w:rsid w:val="11402095"/>
    <w:rsid w:val="1144C0F5"/>
    <w:rsid w:val="11544F3C"/>
    <w:rsid w:val="11591685"/>
    <w:rsid w:val="115FF703"/>
    <w:rsid w:val="11605572"/>
    <w:rsid w:val="116710E1"/>
    <w:rsid w:val="116C73C4"/>
    <w:rsid w:val="1175DF0C"/>
    <w:rsid w:val="117C4285"/>
    <w:rsid w:val="117F5EAB"/>
    <w:rsid w:val="1180EC34"/>
    <w:rsid w:val="118B98F0"/>
    <w:rsid w:val="11A2CD89"/>
    <w:rsid w:val="11B64F70"/>
    <w:rsid w:val="11D7B009"/>
    <w:rsid w:val="11DBC20E"/>
    <w:rsid w:val="11E06791"/>
    <w:rsid w:val="11EB7589"/>
    <w:rsid w:val="11F3A1E9"/>
    <w:rsid w:val="11F75CCB"/>
    <w:rsid w:val="11FA3B83"/>
    <w:rsid w:val="11FBF0D7"/>
    <w:rsid w:val="11FECE7D"/>
    <w:rsid w:val="120994F7"/>
    <w:rsid w:val="1209E1B7"/>
    <w:rsid w:val="122A7D1C"/>
    <w:rsid w:val="122F8190"/>
    <w:rsid w:val="1234D344"/>
    <w:rsid w:val="1237D4E4"/>
    <w:rsid w:val="124CFCCB"/>
    <w:rsid w:val="125312BD"/>
    <w:rsid w:val="125F0997"/>
    <w:rsid w:val="12639C71"/>
    <w:rsid w:val="126575A5"/>
    <w:rsid w:val="1279574E"/>
    <w:rsid w:val="1279E882"/>
    <w:rsid w:val="129EF5C9"/>
    <w:rsid w:val="12AF5FFC"/>
    <w:rsid w:val="12B51209"/>
    <w:rsid w:val="12B8EC8C"/>
    <w:rsid w:val="12B932B5"/>
    <w:rsid w:val="12BB448B"/>
    <w:rsid w:val="12BE0097"/>
    <w:rsid w:val="12C27B2C"/>
    <w:rsid w:val="12C8F1F8"/>
    <w:rsid w:val="12CDA2D2"/>
    <w:rsid w:val="12CE01CB"/>
    <w:rsid w:val="12D27422"/>
    <w:rsid w:val="12D3B828"/>
    <w:rsid w:val="12D57091"/>
    <w:rsid w:val="12DBCE3E"/>
    <w:rsid w:val="12DCF164"/>
    <w:rsid w:val="12E36BB4"/>
    <w:rsid w:val="13023967"/>
    <w:rsid w:val="131DDB95"/>
    <w:rsid w:val="1327CCFD"/>
    <w:rsid w:val="133A74F6"/>
    <w:rsid w:val="133E29E1"/>
    <w:rsid w:val="13411FF8"/>
    <w:rsid w:val="13442CFE"/>
    <w:rsid w:val="1347B2E0"/>
    <w:rsid w:val="1347F4FF"/>
    <w:rsid w:val="134AC62C"/>
    <w:rsid w:val="134C5E8A"/>
    <w:rsid w:val="13546797"/>
    <w:rsid w:val="13562FD7"/>
    <w:rsid w:val="13573BA6"/>
    <w:rsid w:val="135AA5B2"/>
    <w:rsid w:val="1360E0AB"/>
    <w:rsid w:val="1363BDD0"/>
    <w:rsid w:val="137428F2"/>
    <w:rsid w:val="13778AAD"/>
    <w:rsid w:val="137B6192"/>
    <w:rsid w:val="137F2F32"/>
    <w:rsid w:val="1386B26C"/>
    <w:rsid w:val="138762E1"/>
    <w:rsid w:val="138C6D2E"/>
    <w:rsid w:val="1392D96E"/>
    <w:rsid w:val="13ACDB37"/>
    <w:rsid w:val="13B01DCC"/>
    <w:rsid w:val="13C50660"/>
    <w:rsid w:val="13ED5CEA"/>
    <w:rsid w:val="13F02730"/>
    <w:rsid w:val="13F69BD7"/>
    <w:rsid w:val="13F9E891"/>
    <w:rsid w:val="140E6A0A"/>
    <w:rsid w:val="14124805"/>
    <w:rsid w:val="141F23AC"/>
    <w:rsid w:val="14217092"/>
    <w:rsid w:val="142F5D8E"/>
    <w:rsid w:val="14587C50"/>
    <w:rsid w:val="146D8B09"/>
    <w:rsid w:val="14741C21"/>
    <w:rsid w:val="1475A0CB"/>
    <w:rsid w:val="147B0D00"/>
    <w:rsid w:val="147B9A34"/>
    <w:rsid w:val="147CCCED"/>
    <w:rsid w:val="1480BCF1"/>
    <w:rsid w:val="14980DE9"/>
    <w:rsid w:val="149EB37B"/>
    <w:rsid w:val="14A0E813"/>
    <w:rsid w:val="14A0F999"/>
    <w:rsid w:val="14BB6C23"/>
    <w:rsid w:val="14D975C5"/>
    <w:rsid w:val="14DF9C50"/>
    <w:rsid w:val="14FC208E"/>
    <w:rsid w:val="14FF50CB"/>
    <w:rsid w:val="15164190"/>
    <w:rsid w:val="15190B09"/>
    <w:rsid w:val="15197072"/>
    <w:rsid w:val="153396E7"/>
    <w:rsid w:val="1533CB96"/>
    <w:rsid w:val="1543D671"/>
    <w:rsid w:val="15604EE7"/>
    <w:rsid w:val="157800D5"/>
    <w:rsid w:val="158B0D9C"/>
    <w:rsid w:val="159602E2"/>
    <w:rsid w:val="159F1B82"/>
    <w:rsid w:val="15AC7B8A"/>
    <w:rsid w:val="15C1EFFF"/>
    <w:rsid w:val="15C8A598"/>
    <w:rsid w:val="15CEB564"/>
    <w:rsid w:val="15CF6C50"/>
    <w:rsid w:val="15DB776E"/>
    <w:rsid w:val="15DC3F85"/>
    <w:rsid w:val="15DE0459"/>
    <w:rsid w:val="15E29862"/>
    <w:rsid w:val="15E7BDA7"/>
    <w:rsid w:val="15ECCD14"/>
    <w:rsid w:val="15F09DB1"/>
    <w:rsid w:val="15F2105C"/>
    <w:rsid w:val="15F76A10"/>
    <w:rsid w:val="15F87C7D"/>
    <w:rsid w:val="15FBD1E7"/>
    <w:rsid w:val="15FC5334"/>
    <w:rsid w:val="1603F9F2"/>
    <w:rsid w:val="160AF6E7"/>
    <w:rsid w:val="160BCCBB"/>
    <w:rsid w:val="160E9787"/>
    <w:rsid w:val="161B3C1B"/>
    <w:rsid w:val="16249D31"/>
    <w:rsid w:val="162A908F"/>
    <w:rsid w:val="162DC45C"/>
    <w:rsid w:val="1633C8D3"/>
    <w:rsid w:val="163C02EE"/>
    <w:rsid w:val="163E8B92"/>
    <w:rsid w:val="16449F7F"/>
    <w:rsid w:val="164F3E99"/>
    <w:rsid w:val="165766EF"/>
    <w:rsid w:val="1658B9B9"/>
    <w:rsid w:val="16631031"/>
    <w:rsid w:val="16631260"/>
    <w:rsid w:val="1666BA32"/>
    <w:rsid w:val="1679E2D2"/>
    <w:rsid w:val="16890C60"/>
    <w:rsid w:val="168FBC91"/>
    <w:rsid w:val="16916AB3"/>
    <w:rsid w:val="16B277D1"/>
    <w:rsid w:val="16B2F045"/>
    <w:rsid w:val="16D3DDEF"/>
    <w:rsid w:val="16DB1FA0"/>
    <w:rsid w:val="16E0909D"/>
    <w:rsid w:val="16E74ABD"/>
    <w:rsid w:val="16E79D5E"/>
    <w:rsid w:val="16ED653F"/>
    <w:rsid w:val="16EEA018"/>
    <w:rsid w:val="16F6272F"/>
    <w:rsid w:val="16FE62A0"/>
    <w:rsid w:val="170757A2"/>
    <w:rsid w:val="170D72C4"/>
    <w:rsid w:val="17156097"/>
    <w:rsid w:val="171CD7E1"/>
    <w:rsid w:val="171E4287"/>
    <w:rsid w:val="17241A9D"/>
    <w:rsid w:val="1729BA44"/>
    <w:rsid w:val="1732A76F"/>
    <w:rsid w:val="173732C0"/>
    <w:rsid w:val="173C7D40"/>
    <w:rsid w:val="174758D2"/>
    <w:rsid w:val="174D5479"/>
    <w:rsid w:val="1759DCD7"/>
    <w:rsid w:val="1763CE05"/>
    <w:rsid w:val="176AEE08"/>
    <w:rsid w:val="177AE556"/>
    <w:rsid w:val="1781C5E8"/>
    <w:rsid w:val="179236EE"/>
    <w:rsid w:val="179DFC37"/>
    <w:rsid w:val="17A8C821"/>
    <w:rsid w:val="17A9D5F0"/>
    <w:rsid w:val="17ABE03C"/>
    <w:rsid w:val="17B43842"/>
    <w:rsid w:val="17D817BD"/>
    <w:rsid w:val="17E1B4E2"/>
    <w:rsid w:val="17E308A0"/>
    <w:rsid w:val="17EE0127"/>
    <w:rsid w:val="17F6E877"/>
    <w:rsid w:val="17FD9837"/>
    <w:rsid w:val="180EDC00"/>
    <w:rsid w:val="1812A431"/>
    <w:rsid w:val="18133625"/>
    <w:rsid w:val="181D8CBD"/>
    <w:rsid w:val="1825A531"/>
    <w:rsid w:val="182F7AD2"/>
    <w:rsid w:val="183DB388"/>
    <w:rsid w:val="1842B339"/>
    <w:rsid w:val="1843A3D9"/>
    <w:rsid w:val="184C9EE3"/>
    <w:rsid w:val="18518060"/>
    <w:rsid w:val="185238F4"/>
    <w:rsid w:val="18706844"/>
    <w:rsid w:val="1875630E"/>
    <w:rsid w:val="1876751F"/>
    <w:rsid w:val="18874AD6"/>
    <w:rsid w:val="1888051D"/>
    <w:rsid w:val="189419E5"/>
    <w:rsid w:val="189470DF"/>
    <w:rsid w:val="18A7A477"/>
    <w:rsid w:val="18A8119D"/>
    <w:rsid w:val="18B7BD41"/>
    <w:rsid w:val="18D0084D"/>
    <w:rsid w:val="18D353DE"/>
    <w:rsid w:val="18D6CCE1"/>
    <w:rsid w:val="18D7F0C4"/>
    <w:rsid w:val="18DBDEA7"/>
    <w:rsid w:val="18E416CA"/>
    <w:rsid w:val="18E6C4B5"/>
    <w:rsid w:val="18F6FAB0"/>
    <w:rsid w:val="18F9A578"/>
    <w:rsid w:val="18FD44A9"/>
    <w:rsid w:val="190B595E"/>
    <w:rsid w:val="190C121F"/>
    <w:rsid w:val="1910376C"/>
    <w:rsid w:val="19164F9A"/>
    <w:rsid w:val="19222620"/>
    <w:rsid w:val="1927F5BA"/>
    <w:rsid w:val="192A7919"/>
    <w:rsid w:val="19410ECA"/>
    <w:rsid w:val="194235FA"/>
    <w:rsid w:val="19474351"/>
    <w:rsid w:val="194848A9"/>
    <w:rsid w:val="19677F48"/>
    <w:rsid w:val="196BB953"/>
    <w:rsid w:val="196DFD5F"/>
    <w:rsid w:val="1972193A"/>
    <w:rsid w:val="19731692"/>
    <w:rsid w:val="19842CF9"/>
    <w:rsid w:val="19859535"/>
    <w:rsid w:val="19892F01"/>
    <w:rsid w:val="1989EB7D"/>
    <w:rsid w:val="198B508F"/>
    <w:rsid w:val="198C29BA"/>
    <w:rsid w:val="198C7CAE"/>
    <w:rsid w:val="1996FEE5"/>
    <w:rsid w:val="199709E6"/>
    <w:rsid w:val="19BB19FD"/>
    <w:rsid w:val="19BC529A"/>
    <w:rsid w:val="19BEC325"/>
    <w:rsid w:val="19C2CD39"/>
    <w:rsid w:val="19CC9E78"/>
    <w:rsid w:val="19CF85E4"/>
    <w:rsid w:val="19E0B6D6"/>
    <w:rsid w:val="19E0FDEB"/>
    <w:rsid w:val="19E4A7AE"/>
    <w:rsid w:val="19E763A9"/>
    <w:rsid w:val="1A08B191"/>
    <w:rsid w:val="1A0CB576"/>
    <w:rsid w:val="1A2C8D05"/>
    <w:rsid w:val="1A4AC354"/>
    <w:rsid w:val="1A4AECA2"/>
    <w:rsid w:val="1A4CBDE2"/>
    <w:rsid w:val="1A592376"/>
    <w:rsid w:val="1A5F7763"/>
    <w:rsid w:val="1A6045DD"/>
    <w:rsid w:val="1A639592"/>
    <w:rsid w:val="1A6E0D76"/>
    <w:rsid w:val="1A6E6341"/>
    <w:rsid w:val="1A71E82B"/>
    <w:rsid w:val="1A752C9C"/>
    <w:rsid w:val="1A82182B"/>
    <w:rsid w:val="1A8A7064"/>
    <w:rsid w:val="1A979FD8"/>
    <w:rsid w:val="1A9F3918"/>
    <w:rsid w:val="1AB0F9B2"/>
    <w:rsid w:val="1ABC12F3"/>
    <w:rsid w:val="1ABED8F5"/>
    <w:rsid w:val="1AC190E4"/>
    <w:rsid w:val="1AC4EBD1"/>
    <w:rsid w:val="1AC8051A"/>
    <w:rsid w:val="1ACE602A"/>
    <w:rsid w:val="1AD35512"/>
    <w:rsid w:val="1AD65CE8"/>
    <w:rsid w:val="1AE1A519"/>
    <w:rsid w:val="1AE7E2BD"/>
    <w:rsid w:val="1AE94A17"/>
    <w:rsid w:val="1AEDD0D2"/>
    <w:rsid w:val="1AEF2E47"/>
    <w:rsid w:val="1AEF3FAF"/>
    <w:rsid w:val="1AF0B0C4"/>
    <w:rsid w:val="1AF203CB"/>
    <w:rsid w:val="1B019838"/>
    <w:rsid w:val="1B09EBCD"/>
    <w:rsid w:val="1B0BFC65"/>
    <w:rsid w:val="1B110BE3"/>
    <w:rsid w:val="1B152BAD"/>
    <w:rsid w:val="1B193157"/>
    <w:rsid w:val="1B1E407F"/>
    <w:rsid w:val="1B31201A"/>
    <w:rsid w:val="1B33DDE5"/>
    <w:rsid w:val="1B37A485"/>
    <w:rsid w:val="1B3B6421"/>
    <w:rsid w:val="1B3C893F"/>
    <w:rsid w:val="1B3E1985"/>
    <w:rsid w:val="1B6E1B2A"/>
    <w:rsid w:val="1B7AD45F"/>
    <w:rsid w:val="1B8C00F1"/>
    <w:rsid w:val="1B95C95D"/>
    <w:rsid w:val="1BA040C1"/>
    <w:rsid w:val="1BA2834E"/>
    <w:rsid w:val="1BA58CB3"/>
    <w:rsid w:val="1BB0105D"/>
    <w:rsid w:val="1BB125DA"/>
    <w:rsid w:val="1BB50ADD"/>
    <w:rsid w:val="1BCE04E0"/>
    <w:rsid w:val="1BD4920A"/>
    <w:rsid w:val="1BD9714A"/>
    <w:rsid w:val="1BDB539F"/>
    <w:rsid w:val="1BE15DA6"/>
    <w:rsid w:val="1BE923FF"/>
    <w:rsid w:val="1C0B9ED6"/>
    <w:rsid w:val="1C0E9F74"/>
    <w:rsid w:val="1C0EC134"/>
    <w:rsid w:val="1C1580B1"/>
    <w:rsid w:val="1C266F60"/>
    <w:rsid w:val="1C37919E"/>
    <w:rsid w:val="1C41E211"/>
    <w:rsid w:val="1C4446E5"/>
    <w:rsid w:val="1C504DD9"/>
    <w:rsid w:val="1C5271AF"/>
    <w:rsid w:val="1C572AA6"/>
    <w:rsid w:val="1C625EF5"/>
    <w:rsid w:val="1C6943F6"/>
    <w:rsid w:val="1C6955B5"/>
    <w:rsid w:val="1C763437"/>
    <w:rsid w:val="1C79F7B1"/>
    <w:rsid w:val="1C7C7007"/>
    <w:rsid w:val="1C81CDCB"/>
    <w:rsid w:val="1C85112B"/>
    <w:rsid w:val="1C97EF31"/>
    <w:rsid w:val="1CABFD68"/>
    <w:rsid w:val="1CAE44F1"/>
    <w:rsid w:val="1CBDB526"/>
    <w:rsid w:val="1CC3E305"/>
    <w:rsid w:val="1CD5B695"/>
    <w:rsid w:val="1CDA800C"/>
    <w:rsid w:val="1CE4DED4"/>
    <w:rsid w:val="1CEACC43"/>
    <w:rsid w:val="1CEEA0FB"/>
    <w:rsid w:val="1CFCB7F8"/>
    <w:rsid w:val="1CFD3EAF"/>
    <w:rsid w:val="1D00FD8A"/>
    <w:rsid w:val="1D03718C"/>
    <w:rsid w:val="1D0D2E08"/>
    <w:rsid w:val="1D0DA737"/>
    <w:rsid w:val="1D0FDC98"/>
    <w:rsid w:val="1D169BA3"/>
    <w:rsid w:val="1D391BBA"/>
    <w:rsid w:val="1D3DEC00"/>
    <w:rsid w:val="1D52E986"/>
    <w:rsid w:val="1D5D9387"/>
    <w:rsid w:val="1D5E0F38"/>
    <w:rsid w:val="1D5F6E16"/>
    <w:rsid w:val="1D641728"/>
    <w:rsid w:val="1D64AA0A"/>
    <w:rsid w:val="1D71697E"/>
    <w:rsid w:val="1D868E59"/>
    <w:rsid w:val="1D8BFF97"/>
    <w:rsid w:val="1D8C94CA"/>
    <w:rsid w:val="1D92534C"/>
    <w:rsid w:val="1D96AA84"/>
    <w:rsid w:val="1D97FC5E"/>
    <w:rsid w:val="1D9A026A"/>
    <w:rsid w:val="1D9D8853"/>
    <w:rsid w:val="1DA68B8B"/>
    <w:rsid w:val="1DA91BF5"/>
    <w:rsid w:val="1DAA4E21"/>
    <w:rsid w:val="1DAAD7DA"/>
    <w:rsid w:val="1DB4EE0C"/>
    <w:rsid w:val="1DBF721B"/>
    <w:rsid w:val="1DEDCEA5"/>
    <w:rsid w:val="1DF936BB"/>
    <w:rsid w:val="1DFD73FA"/>
    <w:rsid w:val="1E034D5B"/>
    <w:rsid w:val="1E06C328"/>
    <w:rsid w:val="1E06ED47"/>
    <w:rsid w:val="1E0E9042"/>
    <w:rsid w:val="1E16DE86"/>
    <w:rsid w:val="1E26C73C"/>
    <w:rsid w:val="1E2960D7"/>
    <w:rsid w:val="1E35E223"/>
    <w:rsid w:val="1E3880DB"/>
    <w:rsid w:val="1E3EFFA7"/>
    <w:rsid w:val="1E452DC2"/>
    <w:rsid w:val="1E4BFEEE"/>
    <w:rsid w:val="1E50E633"/>
    <w:rsid w:val="1E5900E8"/>
    <w:rsid w:val="1E781AC7"/>
    <w:rsid w:val="1E7F1BBD"/>
    <w:rsid w:val="1E830DE8"/>
    <w:rsid w:val="1E8AEADC"/>
    <w:rsid w:val="1EA83BEE"/>
    <w:rsid w:val="1EB4DCE0"/>
    <w:rsid w:val="1EB63855"/>
    <w:rsid w:val="1EBC4104"/>
    <w:rsid w:val="1EC239B7"/>
    <w:rsid w:val="1ECFF94B"/>
    <w:rsid w:val="1EDAC175"/>
    <w:rsid w:val="1EDB0DE0"/>
    <w:rsid w:val="1EDDB94B"/>
    <w:rsid w:val="1EDFB93B"/>
    <w:rsid w:val="1EE666C7"/>
    <w:rsid w:val="1EE8CFAA"/>
    <w:rsid w:val="1EEEBCF2"/>
    <w:rsid w:val="1EFE7E0E"/>
    <w:rsid w:val="1F141B56"/>
    <w:rsid w:val="1F16BDDC"/>
    <w:rsid w:val="1F1743C0"/>
    <w:rsid w:val="1F1FDE6E"/>
    <w:rsid w:val="1F271606"/>
    <w:rsid w:val="1F2DCE6D"/>
    <w:rsid w:val="1F303460"/>
    <w:rsid w:val="1F359051"/>
    <w:rsid w:val="1F390AE3"/>
    <w:rsid w:val="1F399CC2"/>
    <w:rsid w:val="1F47325E"/>
    <w:rsid w:val="1F4F9AAB"/>
    <w:rsid w:val="1F5D9FC9"/>
    <w:rsid w:val="1F5E7B5D"/>
    <w:rsid w:val="1F65659B"/>
    <w:rsid w:val="1F68EE82"/>
    <w:rsid w:val="1F69E42A"/>
    <w:rsid w:val="1F76BBB2"/>
    <w:rsid w:val="1F7C0136"/>
    <w:rsid w:val="1F8F9353"/>
    <w:rsid w:val="1FC37E5A"/>
    <w:rsid w:val="1FC9D14D"/>
    <w:rsid w:val="1FD2603F"/>
    <w:rsid w:val="1FD4D399"/>
    <w:rsid w:val="1FDBE7EB"/>
    <w:rsid w:val="1FE1D76B"/>
    <w:rsid w:val="1FE82127"/>
    <w:rsid w:val="1FE865F8"/>
    <w:rsid w:val="1FEBC7C7"/>
    <w:rsid w:val="1FF16559"/>
    <w:rsid w:val="1FFD6A0D"/>
    <w:rsid w:val="2001B50D"/>
    <w:rsid w:val="2016C96A"/>
    <w:rsid w:val="2020C6C3"/>
    <w:rsid w:val="20223EB9"/>
    <w:rsid w:val="2023DD78"/>
    <w:rsid w:val="2032C4F6"/>
    <w:rsid w:val="2036B7D0"/>
    <w:rsid w:val="203ED901"/>
    <w:rsid w:val="204234BF"/>
    <w:rsid w:val="2051AA7C"/>
    <w:rsid w:val="205CEA37"/>
    <w:rsid w:val="205E0ECE"/>
    <w:rsid w:val="205FA188"/>
    <w:rsid w:val="20647828"/>
    <w:rsid w:val="206843F3"/>
    <w:rsid w:val="2069D14D"/>
    <w:rsid w:val="2072743D"/>
    <w:rsid w:val="207A36BF"/>
    <w:rsid w:val="2085B937"/>
    <w:rsid w:val="208FF7CB"/>
    <w:rsid w:val="2091A758"/>
    <w:rsid w:val="2092AED8"/>
    <w:rsid w:val="20939909"/>
    <w:rsid w:val="2093FC05"/>
    <w:rsid w:val="20AAD3EC"/>
    <w:rsid w:val="20B802A8"/>
    <w:rsid w:val="20C19809"/>
    <w:rsid w:val="20C78967"/>
    <w:rsid w:val="20C97224"/>
    <w:rsid w:val="20CCFA47"/>
    <w:rsid w:val="20D546CC"/>
    <w:rsid w:val="20D5F154"/>
    <w:rsid w:val="20D69B91"/>
    <w:rsid w:val="20DD120E"/>
    <w:rsid w:val="20E0B356"/>
    <w:rsid w:val="20F61D0A"/>
    <w:rsid w:val="20F7B636"/>
    <w:rsid w:val="210C2FF4"/>
    <w:rsid w:val="210E5C02"/>
    <w:rsid w:val="210F8397"/>
    <w:rsid w:val="21136D0B"/>
    <w:rsid w:val="2115E781"/>
    <w:rsid w:val="2124B799"/>
    <w:rsid w:val="212DD2AD"/>
    <w:rsid w:val="2136EC3B"/>
    <w:rsid w:val="214637E5"/>
    <w:rsid w:val="214C5624"/>
    <w:rsid w:val="214E9230"/>
    <w:rsid w:val="214F581D"/>
    <w:rsid w:val="2152F77C"/>
    <w:rsid w:val="2156CD59"/>
    <w:rsid w:val="21587F5A"/>
    <w:rsid w:val="215B5189"/>
    <w:rsid w:val="216A2DC7"/>
    <w:rsid w:val="216D0F2C"/>
    <w:rsid w:val="2175E170"/>
    <w:rsid w:val="217F801A"/>
    <w:rsid w:val="218123EE"/>
    <w:rsid w:val="218267D7"/>
    <w:rsid w:val="21912649"/>
    <w:rsid w:val="2197ADC7"/>
    <w:rsid w:val="219A5A66"/>
    <w:rsid w:val="21ACD1AC"/>
    <w:rsid w:val="21ADE08C"/>
    <w:rsid w:val="21B31D24"/>
    <w:rsid w:val="220E1A5F"/>
    <w:rsid w:val="221DDA2F"/>
    <w:rsid w:val="22333936"/>
    <w:rsid w:val="22348D27"/>
    <w:rsid w:val="22395D42"/>
    <w:rsid w:val="2244E0D9"/>
    <w:rsid w:val="22475DD1"/>
    <w:rsid w:val="2248CA33"/>
    <w:rsid w:val="22501146"/>
    <w:rsid w:val="2251D02F"/>
    <w:rsid w:val="2256878D"/>
    <w:rsid w:val="2258401B"/>
    <w:rsid w:val="225C3605"/>
    <w:rsid w:val="2266E0F7"/>
    <w:rsid w:val="2273B9C9"/>
    <w:rsid w:val="227FA12A"/>
    <w:rsid w:val="2283D9D9"/>
    <w:rsid w:val="22983E3F"/>
    <w:rsid w:val="22A2F7F2"/>
    <w:rsid w:val="22A61C36"/>
    <w:rsid w:val="22A8907E"/>
    <w:rsid w:val="22B04EC6"/>
    <w:rsid w:val="22B126FF"/>
    <w:rsid w:val="22B73B7C"/>
    <w:rsid w:val="22BA223B"/>
    <w:rsid w:val="22BBFD4F"/>
    <w:rsid w:val="22C0AFD7"/>
    <w:rsid w:val="22D6DDA4"/>
    <w:rsid w:val="22DDB378"/>
    <w:rsid w:val="2304B95C"/>
    <w:rsid w:val="2310BA3C"/>
    <w:rsid w:val="231DD9EF"/>
    <w:rsid w:val="232384EE"/>
    <w:rsid w:val="232B49DA"/>
    <w:rsid w:val="232BDC6C"/>
    <w:rsid w:val="23375CAF"/>
    <w:rsid w:val="234024B5"/>
    <w:rsid w:val="23430C00"/>
    <w:rsid w:val="23457BA8"/>
    <w:rsid w:val="23520979"/>
    <w:rsid w:val="2352DA68"/>
    <w:rsid w:val="236C3728"/>
    <w:rsid w:val="236ECB97"/>
    <w:rsid w:val="239FBF76"/>
    <w:rsid w:val="23A27AE3"/>
    <w:rsid w:val="23A8BB40"/>
    <w:rsid w:val="23C48DF4"/>
    <w:rsid w:val="23CF4C2B"/>
    <w:rsid w:val="23D998D3"/>
    <w:rsid w:val="23DCEF70"/>
    <w:rsid w:val="23E239F9"/>
    <w:rsid w:val="23EDC249"/>
    <w:rsid w:val="24191F06"/>
    <w:rsid w:val="24317D3C"/>
    <w:rsid w:val="243C1B51"/>
    <w:rsid w:val="243CB143"/>
    <w:rsid w:val="243F3AB2"/>
    <w:rsid w:val="2440C644"/>
    <w:rsid w:val="24425424"/>
    <w:rsid w:val="245AC9F0"/>
    <w:rsid w:val="24612C34"/>
    <w:rsid w:val="247992C0"/>
    <w:rsid w:val="247FA74D"/>
    <w:rsid w:val="24849DD2"/>
    <w:rsid w:val="248B448B"/>
    <w:rsid w:val="24917F37"/>
    <w:rsid w:val="249881B9"/>
    <w:rsid w:val="249F5779"/>
    <w:rsid w:val="24A46646"/>
    <w:rsid w:val="24AB61BE"/>
    <w:rsid w:val="24B9106C"/>
    <w:rsid w:val="24C20F95"/>
    <w:rsid w:val="24C4134A"/>
    <w:rsid w:val="24C834D8"/>
    <w:rsid w:val="24D023C0"/>
    <w:rsid w:val="24DE1964"/>
    <w:rsid w:val="24E295E6"/>
    <w:rsid w:val="24E82301"/>
    <w:rsid w:val="24F2ED1B"/>
    <w:rsid w:val="24F57707"/>
    <w:rsid w:val="2503F6A3"/>
    <w:rsid w:val="250918DA"/>
    <w:rsid w:val="250D2B8B"/>
    <w:rsid w:val="250D5F8E"/>
    <w:rsid w:val="251537EF"/>
    <w:rsid w:val="252D7923"/>
    <w:rsid w:val="252FB4E2"/>
    <w:rsid w:val="253717EA"/>
    <w:rsid w:val="2537BE4F"/>
    <w:rsid w:val="253AB4E9"/>
    <w:rsid w:val="254465DA"/>
    <w:rsid w:val="2550EDC4"/>
    <w:rsid w:val="25652735"/>
    <w:rsid w:val="257426AF"/>
    <w:rsid w:val="25794524"/>
    <w:rsid w:val="257997F2"/>
    <w:rsid w:val="257A2417"/>
    <w:rsid w:val="2582FC85"/>
    <w:rsid w:val="25924C09"/>
    <w:rsid w:val="25A5A053"/>
    <w:rsid w:val="25AC2EFC"/>
    <w:rsid w:val="25AF1E33"/>
    <w:rsid w:val="25BFC4B6"/>
    <w:rsid w:val="25C1CD93"/>
    <w:rsid w:val="25C3B981"/>
    <w:rsid w:val="25C46DEA"/>
    <w:rsid w:val="25C781F6"/>
    <w:rsid w:val="25C78E7C"/>
    <w:rsid w:val="25C9D31A"/>
    <w:rsid w:val="25CC7D49"/>
    <w:rsid w:val="25CE4CE6"/>
    <w:rsid w:val="25DE00FC"/>
    <w:rsid w:val="25EA467C"/>
    <w:rsid w:val="25F370DB"/>
    <w:rsid w:val="25F9C7E7"/>
    <w:rsid w:val="25FA8DC1"/>
    <w:rsid w:val="260E5F71"/>
    <w:rsid w:val="2612F864"/>
    <w:rsid w:val="26197978"/>
    <w:rsid w:val="261EBC95"/>
    <w:rsid w:val="26383274"/>
    <w:rsid w:val="263D9AE4"/>
    <w:rsid w:val="263DC419"/>
    <w:rsid w:val="263E18E9"/>
    <w:rsid w:val="264036B8"/>
    <w:rsid w:val="264702F2"/>
    <w:rsid w:val="26478C9B"/>
    <w:rsid w:val="2648D18F"/>
    <w:rsid w:val="264D43DB"/>
    <w:rsid w:val="26519995"/>
    <w:rsid w:val="265A4AC2"/>
    <w:rsid w:val="2668EE40"/>
    <w:rsid w:val="26694015"/>
    <w:rsid w:val="266C357B"/>
    <w:rsid w:val="267224A5"/>
    <w:rsid w:val="2679A332"/>
    <w:rsid w:val="267C438A"/>
    <w:rsid w:val="26848E69"/>
    <w:rsid w:val="26899873"/>
    <w:rsid w:val="268DA4BB"/>
    <w:rsid w:val="268E6E1C"/>
    <w:rsid w:val="269983B1"/>
    <w:rsid w:val="269987CA"/>
    <w:rsid w:val="26A3D033"/>
    <w:rsid w:val="26A85633"/>
    <w:rsid w:val="26A9C499"/>
    <w:rsid w:val="26B435E6"/>
    <w:rsid w:val="26BC28C2"/>
    <w:rsid w:val="26BD360D"/>
    <w:rsid w:val="26C31CB4"/>
    <w:rsid w:val="26C523D6"/>
    <w:rsid w:val="26CA4587"/>
    <w:rsid w:val="26D4A205"/>
    <w:rsid w:val="26D614DA"/>
    <w:rsid w:val="26D63AED"/>
    <w:rsid w:val="26E32B82"/>
    <w:rsid w:val="26E9238F"/>
    <w:rsid w:val="26EBFA4E"/>
    <w:rsid w:val="26F036D9"/>
    <w:rsid w:val="270425C4"/>
    <w:rsid w:val="270BB2BC"/>
    <w:rsid w:val="270C09D2"/>
    <w:rsid w:val="271A3423"/>
    <w:rsid w:val="271D27B0"/>
    <w:rsid w:val="271F9E0F"/>
    <w:rsid w:val="2726F24A"/>
    <w:rsid w:val="27365826"/>
    <w:rsid w:val="273CB596"/>
    <w:rsid w:val="274541DD"/>
    <w:rsid w:val="27493EE8"/>
    <w:rsid w:val="2752BB50"/>
    <w:rsid w:val="27530716"/>
    <w:rsid w:val="27589CBD"/>
    <w:rsid w:val="2758A2E9"/>
    <w:rsid w:val="275F154B"/>
    <w:rsid w:val="27623F41"/>
    <w:rsid w:val="2766193E"/>
    <w:rsid w:val="276959A5"/>
    <w:rsid w:val="2774E2ED"/>
    <w:rsid w:val="27940F32"/>
    <w:rsid w:val="2795BBEA"/>
    <w:rsid w:val="27A0338F"/>
    <w:rsid w:val="27A1154A"/>
    <w:rsid w:val="27A4D75B"/>
    <w:rsid w:val="27C005AE"/>
    <w:rsid w:val="27C8B696"/>
    <w:rsid w:val="27CB7246"/>
    <w:rsid w:val="27CCD88E"/>
    <w:rsid w:val="27D2E995"/>
    <w:rsid w:val="27D451EA"/>
    <w:rsid w:val="27D45501"/>
    <w:rsid w:val="27D727BB"/>
    <w:rsid w:val="27DE3083"/>
    <w:rsid w:val="27EB312D"/>
    <w:rsid w:val="27F41DA5"/>
    <w:rsid w:val="28079643"/>
    <w:rsid w:val="2808BA7F"/>
    <w:rsid w:val="28106D13"/>
    <w:rsid w:val="28129B91"/>
    <w:rsid w:val="2820AA63"/>
    <w:rsid w:val="28278CB8"/>
    <w:rsid w:val="28294618"/>
    <w:rsid w:val="282A3B6F"/>
    <w:rsid w:val="284BF469"/>
    <w:rsid w:val="284F5FE5"/>
    <w:rsid w:val="285F344B"/>
    <w:rsid w:val="286576ED"/>
    <w:rsid w:val="28682620"/>
    <w:rsid w:val="286D7B4A"/>
    <w:rsid w:val="286E8042"/>
    <w:rsid w:val="2871ED2B"/>
    <w:rsid w:val="28723ECF"/>
    <w:rsid w:val="28729E9D"/>
    <w:rsid w:val="288A420E"/>
    <w:rsid w:val="28950EA8"/>
    <w:rsid w:val="2898093C"/>
    <w:rsid w:val="28A38F05"/>
    <w:rsid w:val="28A47B75"/>
    <w:rsid w:val="28ABC265"/>
    <w:rsid w:val="28CA681B"/>
    <w:rsid w:val="28CB7DF8"/>
    <w:rsid w:val="28E463EE"/>
    <w:rsid w:val="28E7BFD0"/>
    <w:rsid w:val="28E960E0"/>
    <w:rsid w:val="28EC3936"/>
    <w:rsid w:val="28EE1BA5"/>
    <w:rsid w:val="28F0060B"/>
    <w:rsid w:val="28F7421C"/>
    <w:rsid w:val="28FBA0D2"/>
    <w:rsid w:val="28FF1558"/>
    <w:rsid w:val="29009AB1"/>
    <w:rsid w:val="2900C828"/>
    <w:rsid w:val="2904C1B5"/>
    <w:rsid w:val="29073AFA"/>
    <w:rsid w:val="29083A88"/>
    <w:rsid w:val="2910A86E"/>
    <w:rsid w:val="29249358"/>
    <w:rsid w:val="292EB819"/>
    <w:rsid w:val="292EEAD1"/>
    <w:rsid w:val="29334A08"/>
    <w:rsid w:val="2938E850"/>
    <w:rsid w:val="293BDA2F"/>
    <w:rsid w:val="293EF4E0"/>
    <w:rsid w:val="293F8F5D"/>
    <w:rsid w:val="29402B14"/>
    <w:rsid w:val="29438E2F"/>
    <w:rsid w:val="29576AF6"/>
    <w:rsid w:val="295DCE72"/>
    <w:rsid w:val="295F872E"/>
    <w:rsid w:val="2969386A"/>
    <w:rsid w:val="2974E4E0"/>
    <w:rsid w:val="29788A83"/>
    <w:rsid w:val="297D71B5"/>
    <w:rsid w:val="297DA3AB"/>
    <w:rsid w:val="2991C5D8"/>
    <w:rsid w:val="2996CBFC"/>
    <w:rsid w:val="299D9403"/>
    <w:rsid w:val="29A12D39"/>
    <w:rsid w:val="29A5195F"/>
    <w:rsid w:val="29AC1BCB"/>
    <w:rsid w:val="29B14C00"/>
    <w:rsid w:val="29B69B4C"/>
    <w:rsid w:val="29B9B9BD"/>
    <w:rsid w:val="29C06CC6"/>
    <w:rsid w:val="29C2A34B"/>
    <w:rsid w:val="29D901EC"/>
    <w:rsid w:val="29E09BDB"/>
    <w:rsid w:val="29FED4CA"/>
    <w:rsid w:val="2A33DEF5"/>
    <w:rsid w:val="2A47D624"/>
    <w:rsid w:val="2A4A2E23"/>
    <w:rsid w:val="2A555713"/>
    <w:rsid w:val="2A5D6F4B"/>
    <w:rsid w:val="2A5E4DCE"/>
    <w:rsid w:val="2A68C5BE"/>
    <w:rsid w:val="2A6BF156"/>
    <w:rsid w:val="2A719EF8"/>
    <w:rsid w:val="2A835C3B"/>
    <w:rsid w:val="2A87E9DC"/>
    <w:rsid w:val="2AB42813"/>
    <w:rsid w:val="2ABEF8AE"/>
    <w:rsid w:val="2ABFB0EB"/>
    <w:rsid w:val="2ADBCA25"/>
    <w:rsid w:val="2AEB8879"/>
    <w:rsid w:val="2AF454D0"/>
    <w:rsid w:val="2AFFD186"/>
    <w:rsid w:val="2B069FC2"/>
    <w:rsid w:val="2B09C0C9"/>
    <w:rsid w:val="2B14AD97"/>
    <w:rsid w:val="2B17CF8F"/>
    <w:rsid w:val="2B1F5F29"/>
    <w:rsid w:val="2B216F7E"/>
    <w:rsid w:val="2B3535C4"/>
    <w:rsid w:val="2B37DA0D"/>
    <w:rsid w:val="2B3BDF7E"/>
    <w:rsid w:val="2B3DC323"/>
    <w:rsid w:val="2B429A31"/>
    <w:rsid w:val="2B50BA37"/>
    <w:rsid w:val="2B5F7354"/>
    <w:rsid w:val="2B60EE57"/>
    <w:rsid w:val="2B6307A1"/>
    <w:rsid w:val="2B6BC1F7"/>
    <w:rsid w:val="2B6C136C"/>
    <w:rsid w:val="2B78B0D6"/>
    <w:rsid w:val="2B8CD4AC"/>
    <w:rsid w:val="2B8EE60A"/>
    <w:rsid w:val="2B9DAA53"/>
    <w:rsid w:val="2BAA31A9"/>
    <w:rsid w:val="2BB28364"/>
    <w:rsid w:val="2BB4308B"/>
    <w:rsid w:val="2BBC1B34"/>
    <w:rsid w:val="2BC1905E"/>
    <w:rsid w:val="2BD91091"/>
    <w:rsid w:val="2BE09526"/>
    <w:rsid w:val="2BE46543"/>
    <w:rsid w:val="2BE65A4D"/>
    <w:rsid w:val="2BE6B1E5"/>
    <w:rsid w:val="2BE7794A"/>
    <w:rsid w:val="2C0E1A3D"/>
    <w:rsid w:val="2C0E5493"/>
    <w:rsid w:val="2C10CFB9"/>
    <w:rsid w:val="2C112160"/>
    <w:rsid w:val="2C12D9AF"/>
    <w:rsid w:val="2C142D33"/>
    <w:rsid w:val="2C18067F"/>
    <w:rsid w:val="2C201ACF"/>
    <w:rsid w:val="2C23C42C"/>
    <w:rsid w:val="2C26F71F"/>
    <w:rsid w:val="2C2B62D2"/>
    <w:rsid w:val="2C39A94F"/>
    <w:rsid w:val="2C4C3839"/>
    <w:rsid w:val="2C5058CD"/>
    <w:rsid w:val="2C52FDA3"/>
    <w:rsid w:val="2C78C041"/>
    <w:rsid w:val="2C81BE19"/>
    <w:rsid w:val="2C839C98"/>
    <w:rsid w:val="2C84F84C"/>
    <w:rsid w:val="2C931657"/>
    <w:rsid w:val="2C9B6E0A"/>
    <w:rsid w:val="2CB72D46"/>
    <w:rsid w:val="2CC14564"/>
    <w:rsid w:val="2CC1F85F"/>
    <w:rsid w:val="2CCEC36F"/>
    <w:rsid w:val="2CE67C73"/>
    <w:rsid w:val="2CE9E4FA"/>
    <w:rsid w:val="2D010930"/>
    <w:rsid w:val="2D0496C6"/>
    <w:rsid w:val="2D0FC0DC"/>
    <w:rsid w:val="2D10A88F"/>
    <w:rsid w:val="2D292F66"/>
    <w:rsid w:val="2D2F025C"/>
    <w:rsid w:val="2D3126F2"/>
    <w:rsid w:val="2D332E1A"/>
    <w:rsid w:val="2D39384F"/>
    <w:rsid w:val="2D3B51B8"/>
    <w:rsid w:val="2D3B66CE"/>
    <w:rsid w:val="2D494019"/>
    <w:rsid w:val="2D4DE797"/>
    <w:rsid w:val="2D5D3990"/>
    <w:rsid w:val="2D64334C"/>
    <w:rsid w:val="2D6A0EEB"/>
    <w:rsid w:val="2D7CBF12"/>
    <w:rsid w:val="2D8D1BF9"/>
    <w:rsid w:val="2D9AE063"/>
    <w:rsid w:val="2DA30BCF"/>
    <w:rsid w:val="2DB1D5B1"/>
    <w:rsid w:val="2DB50E4B"/>
    <w:rsid w:val="2DC476D0"/>
    <w:rsid w:val="2DC6E940"/>
    <w:rsid w:val="2DCC8F29"/>
    <w:rsid w:val="2DD55FC4"/>
    <w:rsid w:val="2DD57577"/>
    <w:rsid w:val="2DDA641B"/>
    <w:rsid w:val="2DE2610A"/>
    <w:rsid w:val="2DF09E03"/>
    <w:rsid w:val="2DF8609D"/>
    <w:rsid w:val="2E0167D5"/>
    <w:rsid w:val="2E0A5221"/>
    <w:rsid w:val="2E0A78B2"/>
    <w:rsid w:val="2E0E2022"/>
    <w:rsid w:val="2E19223B"/>
    <w:rsid w:val="2E1A7192"/>
    <w:rsid w:val="2E1DFB62"/>
    <w:rsid w:val="2E234B50"/>
    <w:rsid w:val="2E2492A4"/>
    <w:rsid w:val="2E2A3777"/>
    <w:rsid w:val="2E3F2D63"/>
    <w:rsid w:val="2E3F8F8C"/>
    <w:rsid w:val="2E456FDB"/>
    <w:rsid w:val="2E469725"/>
    <w:rsid w:val="2E46B71F"/>
    <w:rsid w:val="2E62F402"/>
    <w:rsid w:val="2E65807F"/>
    <w:rsid w:val="2E6767FE"/>
    <w:rsid w:val="2E6BD214"/>
    <w:rsid w:val="2E7092F5"/>
    <w:rsid w:val="2E7A3F09"/>
    <w:rsid w:val="2E7EA04F"/>
    <w:rsid w:val="2E80A962"/>
    <w:rsid w:val="2E8217EE"/>
    <w:rsid w:val="2E84D9DD"/>
    <w:rsid w:val="2E9A6CCF"/>
    <w:rsid w:val="2EA94F91"/>
    <w:rsid w:val="2EAAEF04"/>
    <w:rsid w:val="2EB5D393"/>
    <w:rsid w:val="2EC47177"/>
    <w:rsid w:val="2EE0A2F5"/>
    <w:rsid w:val="2EE9B2B6"/>
    <w:rsid w:val="2F01F1C6"/>
    <w:rsid w:val="2F09E353"/>
    <w:rsid w:val="2F1F7633"/>
    <w:rsid w:val="2F259945"/>
    <w:rsid w:val="2F30C449"/>
    <w:rsid w:val="2F353C63"/>
    <w:rsid w:val="2F3B73BC"/>
    <w:rsid w:val="2F3D4C08"/>
    <w:rsid w:val="2F413CD5"/>
    <w:rsid w:val="2F43DACE"/>
    <w:rsid w:val="2F50F47E"/>
    <w:rsid w:val="2F624100"/>
    <w:rsid w:val="2F70EA4D"/>
    <w:rsid w:val="2F741002"/>
    <w:rsid w:val="2F7EB731"/>
    <w:rsid w:val="2F7F26C1"/>
    <w:rsid w:val="2F82ECF6"/>
    <w:rsid w:val="2F914C3F"/>
    <w:rsid w:val="2FA54280"/>
    <w:rsid w:val="2FA56ECD"/>
    <w:rsid w:val="2FA89695"/>
    <w:rsid w:val="2FBFC762"/>
    <w:rsid w:val="2FC0437B"/>
    <w:rsid w:val="2FC42D69"/>
    <w:rsid w:val="2FC43C7C"/>
    <w:rsid w:val="2FC4CA36"/>
    <w:rsid w:val="2FD2F039"/>
    <w:rsid w:val="2FDB6710"/>
    <w:rsid w:val="2FE101C1"/>
    <w:rsid w:val="2FE1DF0F"/>
    <w:rsid w:val="2FF52F3B"/>
    <w:rsid w:val="2FFCD2C7"/>
    <w:rsid w:val="30039595"/>
    <w:rsid w:val="300F25AA"/>
    <w:rsid w:val="301670F7"/>
    <w:rsid w:val="301E3113"/>
    <w:rsid w:val="3021E42E"/>
    <w:rsid w:val="302B7F3E"/>
    <w:rsid w:val="302F1A79"/>
    <w:rsid w:val="3036DDC4"/>
    <w:rsid w:val="303A5BD4"/>
    <w:rsid w:val="303AD3DB"/>
    <w:rsid w:val="303F47C5"/>
    <w:rsid w:val="3048A922"/>
    <w:rsid w:val="3049AD2C"/>
    <w:rsid w:val="304E7578"/>
    <w:rsid w:val="30564713"/>
    <w:rsid w:val="305DD2D0"/>
    <w:rsid w:val="3068D50E"/>
    <w:rsid w:val="308746B1"/>
    <w:rsid w:val="3090289E"/>
    <w:rsid w:val="30A4F966"/>
    <w:rsid w:val="30AB79B3"/>
    <w:rsid w:val="30B3D1F7"/>
    <w:rsid w:val="30BBC2C2"/>
    <w:rsid w:val="30D38389"/>
    <w:rsid w:val="30DB2EE4"/>
    <w:rsid w:val="30DD6C83"/>
    <w:rsid w:val="3108898C"/>
    <w:rsid w:val="310CB7CA"/>
    <w:rsid w:val="310FB279"/>
    <w:rsid w:val="311D8415"/>
    <w:rsid w:val="31286E4B"/>
    <w:rsid w:val="31338E59"/>
    <w:rsid w:val="314A2936"/>
    <w:rsid w:val="314B2FAA"/>
    <w:rsid w:val="3158B37C"/>
    <w:rsid w:val="315AC3D0"/>
    <w:rsid w:val="315D205D"/>
    <w:rsid w:val="31643A84"/>
    <w:rsid w:val="316D49E3"/>
    <w:rsid w:val="318534C1"/>
    <w:rsid w:val="31864A8B"/>
    <w:rsid w:val="318B5252"/>
    <w:rsid w:val="318D354A"/>
    <w:rsid w:val="318EC229"/>
    <w:rsid w:val="31937E7A"/>
    <w:rsid w:val="319C03CF"/>
    <w:rsid w:val="31AA1D16"/>
    <w:rsid w:val="31AFC9EE"/>
    <w:rsid w:val="31B949B6"/>
    <w:rsid w:val="31C09640"/>
    <w:rsid w:val="31C2667B"/>
    <w:rsid w:val="31C30C72"/>
    <w:rsid w:val="31CB36A1"/>
    <w:rsid w:val="31EF1390"/>
    <w:rsid w:val="31F346B1"/>
    <w:rsid w:val="31FE937C"/>
    <w:rsid w:val="3202EF1F"/>
    <w:rsid w:val="320D4812"/>
    <w:rsid w:val="320DBAD0"/>
    <w:rsid w:val="321BFE00"/>
    <w:rsid w:val="321DA614"/>
    <w:rsid w:val="3223340C"/>
    <w:rsid w:val="322CE39D"/>
    <w:rsid w:val="32440D63"/>
    <w:rsid w:val="32471F72"/>
    <w:rsid w:val="32476C77"/>
    <w:rsid w:val="326272C5"/>
    <w:rsid w:val="326D0EB0"/>
    <w:rsid w:val="326F4644"/>
    <w:rsid w:val="32859DDB"/>
    <w:rsid w:val="328D9B32"/>
    <w:rsid w:val="328ED7C8"/>
    <w:rsid w:val="329D461D"/>
    <w:rsid w:val="32A673A4"/>
    <w:rsid w:val="32AEE9A1"/>
    <w:rsid w:val="32BBA853"/>
    <w:rsid w:val="32D1470C"/>
    <w:rsid w:val="32D4A2BC"/>
    <w:rsid w:val="32DB827D"/>
    <w:rsid w:val="32F10FC0"/>
    <w:rsid w:val="32F365B8"/>
    <w:rsid w:val="32F3942D"/>
    <w:rsid w:val="32F859E3"/>
    <w:rsid w:val="3302EBB9"/>
    <w:rsid w:val="331013F0"/>
    <w:rsid w:val="33143990"/>
    <w:rsid w:val="3316D4F5"/>
    <w:rsid w:val="331D2022"/>
    <w:rsid w:val="3329A7BB"/>
    <w:rsid w:val="332DDB41"/>
    <w:rsid w:val="332F54D5"/>
    <w:rsid w:val="334A72CD"/>
    <w:rsid w:val="3358B0DB"/>
    <w:rsid w:val="335C269B"/>
    <w:rsid w:val="335FE1AD"/>
    <w:rsid w:val="33693F74"/>
    <w:rsid w:val="336DD7B7"/>
    <w:rsid w:val="336E8EA3"/>
    <w:rsid w:val="3372A540"/>
    <w:rsid w:val="339EE086"/>
    <w:rsid w:val="33AA62E7"/>
    <w:rsid w:val="33B4F209"/>
    <w:rsid w:val="33BF2E3B"/>
    <w:rsid w:val="33CC5D2A"/>
    <w:rsid w:val="33E817FB"/>
    <w:rsid w:val="33E89482"/>
    <w:rsid w:val="33E8E27D"/>
    <w:rsid w:val="33F6BCAD"/>
    <w:rsid w:val="3406760C"/>
    <w:rsid w:val="340976E6"/>
    <w:rsid w:val="34103171"/>
    <w:rsid w:val="3415F6BA"/>
    <w:rsid w:val="341771BB"/>
    <w:rsid w:val="342DB986"/>
    <w:rsid w:val="342F606A"/>
    <w:rsid w:val="343791A1"/>
    <w:rsid w:val="34398035"/>
    <w:rsid w:val="343C48E0"/>
    <w:rsid w:val="343EDB04"/>
    <w:rsid w:val="344E3319"/>
    <w:rsid w:val="344F2230"/>
    <w:rsid w:val="3452F6FB"/>
    <w:rsid w:val="34541815"/>
    <w:rsid w:val="34557607"/>
    <w:rsid w:val="3461E0BA"/>
    <w:rsid w:val="3466B2B9"/>
    <w:rsid w:val="346783F3"/>
    <w:rsid w:val="34744AA8"/>
    <w:rsid w:val="347C5A06"/>
    <w:rsid w:val="347CA653"/>
    <w:rsid w:val="34862E18"/>
    <w:rsid w:val="348BC04E"/>
    <w:rsid w:val="3499DEFC"/>
    <w:rsid w:val="34A7A6BF"/>
    <w:rsid w:val="34AFF9D4"/>
    <w:rsid w:val="34B046D7"/>
    <w:rsid w:val="34CC9393"/>
    <w:rsid w:val="34DE52F0"/>
    <w:rsid w:val="34DE747F"/>
    <w:rsid w:val="34DEFE1A"/>
    <w:rsid w:val="34EDD054"/>
    <w:rsid w:val="34F4A01B"/>
    <w:rsid w:val="34F6C6EF"/>
    <w:rsid w:val="34F92BF7"/>
    <w:rsid w:val="35028E9E"/>
    <w:rsid w:val="350B8346"/>
    <w:rsid w:val="35128831"/>
    <w:rsid w:val="35253A69"/>
    <w:rsid w:val="35362A72"/>
    <w:rsid w:val="3536FECD"/>
    <w:rsid w:val="35386EFA"/>
    <w:rsid w:val="353A6229"/>
    <w:rsid w:val="353A8284"/>
    <w:rsid w:val="353EA272"/>
    <w:rsid w:val="354B9B6A"/>
    <w:rsid w:val="354F3002"/>
    <w:rsid w:val="35556D21"/>
    <w:rsid w:val="3565F1BC"/>
    <w:rsid w:val="356AA5C1"/>
    <w:rsid w:val="3575676C"/>
    <w:rsid w:val="3578E4DD"/>
    <w:rsid w:val="35864C91"/>
    <w:rsid w:val="35874E7B"/>
    <w:rsid w:val="3589039E"/>
    <w:rsid w:val="35A81E2A"/>
    <w:rsid w:val="35B22DD3"/>
    <w:rsid w:val="35B37669"/>
    <w:rsid w:val="35BF35ED"/>
    <w:rsid w:val="35CD4611"/>
    <w:rsid w:val="35DBC838"/>
    <w:rsid w:val="35E2AB40"/>
    <w:rsid w:val="360C442B"/>
    <w:rsid w:val="360E2709"/>
    <w:rsid w:val="361D8F1F"/>
    <w:rsid w:val="362E62AD"/>
    <w:rsid w:val="3632E7ED"/>
    <w:rsid w:val="363B4F63"/>
    <w:rsid w:val="364DB07A"/>
    <w:rsid w:val="366428FC"/>
    <w:rsid w:val="36695DF4"/>
    <w:rsid w:val="366AE5A1"/>
    <w:rsid w:val="367B1192"/>
    <w:rsid w:val="369ECA89"/>
    <w:rsid w:val="36B17866"/>
    <w:rsid w:val="36B480BD"/>
    <w:rsid w:val="36BBE686"/>
    <w:rsid w:val="36BC8B3D"/>
    <w:rsid w:val="36C23E04"/>
    <w:rsid w:val="36D11806"/>
    <w:rsid w:val="36D4EFBA"/>
    <w:rsid w:val="36D7DE77"/>
    <w:rsid w:val="36DCD694"/>
    <w:rsid w:val="36E5CBB9"/>
    <w:rsid w:val="36F17C4F"/>
    <w:rsid w:val="371D55EA"/>
    <w:rsid w:val="371E44D0"/>
    <w:rsid w:val="372429B5"/>
    <w:rsid w:val="373A1048"/>
    <w:rsid w:val="373B4F15"/>
    <w:rsid w:val="3745E8BD"/>
    <w:rsid w:val="3749B07D"/>
    <w:rsid w:val="3759ED6E"/>
    <w:rsid w:val="375A7B03"/>
    <w:rsid w:val="375C1706"/>
    <w:rsid w:val="375DD502"/>
    <w:rsid w:val="3765D7BB"/>
    <w:rsid w:val="3767BFEF"/>
    <w:rsid w:val="3768460B"/>
    <w:rsid w:val="377237A6"/>
    <w:rsid w:val="377DA515"/>
    <w:rsid w:val="378BB17A"/>
    <w:rsid w:val="378F1DE2"/>
    <w:rsid w:val="3795AC80"/>
    <w:rsid w:val="37978E71"/>
    <w:rsid w:val="37987037"/>
    <w:rsid w:val="37A318A4"/>
    <w:rsid w:val="37A505CF"/>
    <w:rsid w:val="37A9DF11"/>
    <w:rsid w:val="37BCF51A"/>
    <w:rsid w:val="37C4B03A"/>
    <w:rsid w:val="37DBD504"/>
    <w:rsid w:val="37E55FEA"/>
    <w:rsid w:val="37E7A7FC"/>
    <w:rsid w:val="37E9F68B"/>
    <w:rsid w:val="37EF45F7"/>
    <w:rsid w:val="37F28F21"/>
    <w:rsid w:val="37F534E6"/>
    <w:rsid w:val="37FDB59B"/>
    <w:rsid w:val="37FE05BF"/>
    <w:rsid w:val="3812B45A"/>
    <w:rsid w:val="381A676C"/>
    <w:rsid w:val="381E1F9A"/>
    <w:rsid w:val="382468BF"/>
    <w:rsid w:val="38247784"/>
    <w:rsid w:val="382FD150"/>
    <w:rsid w:val="3853E67F"/>
    <w:rsid w:val="385C0F66"/>
    <w:rsid w:val="38613515"/>
    <w:rsid w:val="386235E8"/>
    <w:rsid w:val="386518BC"/>
    <w:rsid w:val="3879F3D8"/>
    <w:rsid w:val="388C9B2A"/>
    <w:rsid w:val="388F440C"/>
    <w:rsid w:val="38956B2E"/>
    <w:rsid w:val="389633BF"/>
    <w:rsid w:val="38A5C094"/>
    <w:rsid w:val="38AAD1A5"/>
    <w:rsid w:val="38AEAAD3"/>
    <w:rsid w:val="38B387B6"/>
    <w:rsid w:val="38B7E6DC"/>
    <w:rsid w:val="38C2B62C"/>
    <w:rsid w:val="38CC756C"/>
    <w:rsid w:val="38CEE1EB"/>
    <w:rsid w:val="38E20F64"/>
    <w:rsid w:val="38E4D832"/>
    <w:rsid w:val="38E5FF94"/>
    <w:rsid w:val="38EBF389"/>
    <w:rsid w:val="38ED879C"/>
    <w:rsid w:val="38F03C4B"/>
    <w:rsid w:val="38FA1478"/>
    <w:rsid w:val="38FC44C2"/>
    <w:rsid w:val="39000F83"/>
    <w:rsid w:val="39117739"/>
    <w:rsid w:val="3913E3F7"/>
    <w:rsid w:val="392967EF"/>
    <w:rsid w:val="392B6372"/>
    <w:rsid w:val="392EB767"/>
    <w:rsid w:val="393004A5"/>
    <w:rsid w:val="394113DB"/>
    <w:rsid w:val="3944EBAA"/>
    <w:rsid w:val="39573C8B"/>
    <w:rsid w:val="395B55DD"/>
    <w:rsid w:val="39611EB6"/>
    <w:rsid w:val="396221C2"/>
    <w:rsid w:val="3977FDDF"/>
    <w:rsid w:val="3983C9B2"/>
    <w:rsid w:val="3984BA21"/>
    <w:rsid w:val="399023B0"/>
    <w:rsid w:val="39958EC9"/>
    <w:rsid w:val="3998D97B"/>
    <w:rsid w:val="399C558F"/>
    <w:rsid w:val="39A05906"/>
    <w:rsid w:val="39A3C9A6"/>
    <w:rsid w:val="39AAB956"/>
    <w:rsid w:val="39AB2DB9"/>
    <w:rsid w:val="39ACB43E"/>
    <w:rsid w:val="39AE4D2B"/>
    <w:rsid w:val="39B76439"/>
    <w:rsid w:val="39B93BE1"/>
    <w:rsid w:val="39C7615E"/>
    <w:rsid w:val="39CF102A"/>
    <w:rsid w:val="39D0F95A"/>
    <w:rsid w:val="39D5B57F"/>
    <w:rsid w:val="39D920DC"/>
    <w:rsid w:val="39DBB6F4"/>
    <w:rsid w:val="39DE85C1"/>
    <w:rsid w:val="39DEE7A6"/>
    <w:rsid w:val="39E69AF5"/>
    <w:rsid w:val="39E71892"/>
    <w:rsid w:val="39EB626D"/>
    <w:rsid w:val="39F89FCC"/>
    <w:rsid w:val="39FA0DE7"/>
    <w:rsid w:val="39FACEFB"/>
    <w:rsid w:val="3A0B3911"/>
    <w:rsid w:val="3A0C70F0"/>
    <w:rsid w:val="3A0D0B6D"/>
    <w:rsid w:val="3A12E07C"/>
    <w:rsid w:val="3A140D27"/>
    <w:rsid w:val="3A164A9B"/>
    <w:rsid w:val="3A16F517"/>
    <w:rsid w:val="3A1A8CDB"/>
    <w:rsid w:val="3A1AD0FA"/>
    <w:rsid w:val="3A31AA31"/>
    <w:rsid w:val="3A3298B3"/>
    <w:rsid w:val="3A409F9F"/>
    <w:rsid w:val="3A4D17AC"/>
    <w:rsid w:val="3A5AFC38"/>
    <w:rsid w:val="3A5D91D0"/>
    <w:rsid w:val="3A5DA5F6"/>
    <w:rsid w:val="3A6341DB"/>
    <w:rsid w:val="3A6488BF"/>
    <w:rsid w:val="3A64ABFE"/>
    <w:rsid w:val="3A64B661"/>
    <w:rsid w:val="3A706460"/>
    <w:rsid w:val="3A8399A9"/>
    <w:rsid w:val="3A8FD86C"/>
    <w:rsid w:val="3A9010C9"/>
    <w:rsid w:val="3A929888"/>
    <w:rsid w:val="3A9967D5"/>
    <w:rsid w:val="3AA0E9EE"/>
    <w:rsid w:val="3AAFE308"/>
    <w:rsid w:val="3AB17CD1"/>
    <w:rsid w:val="3AB4CCAA"/>
    <w:rsid w:val="3ABA1264"/>
    <w:rsid w:val="3ABD83F4"/>
    <w:rsid w:val="3AC362BD"/>
    <w:rsid w:val="3AC791DF"/>
    <w:rsid w:val="3AC93C1D"/>
    <w:rsid w:val="3ADE320D"/>
    <w:rsid w:val="3AE43793"/>
    <w:rsid w:val="3AE8A162"/>
    <w:rsid w:val="3AF0FFD5"/>
    <w:rsid w:val="3AF69CFA"/>
    <w:rsid w:val="3B010B60"/>
    <w:rsid w:val="3B02159A"/>
    <w:rsid w:val="3B04620C"/>
    <w:rsid w:val="3B213C99"/>
    <w:rsid w:val="3B213FD8"/>
    <w:rsid w:val="3B2B8492"/>
    <w:rsid w:val="3B3196FD"/>
    <w:rsid w:val="3B330CCD"/>
    <w:rsid w:val="3B46E3F9"/>
    <w:rsid w:val="3B4B5138"/>
    <w:rsid w:val="3B5008AD"/>
    <w:rsid w:val="3B56578E"/>
    <w:rsid w:val="3B6609B4"/>
    <w:rsid w:val="3B669674"/>
    <w:rsid w:val="3B6F45E7"/>
    <w:rsid w:val="3B74463B"/>
    <w:rsid w:val="3B85705A"/>
    <w:rsid w:val="3B8A32B9"/>
    <w:rsid w:val="3B8A4D5F"/>
    <w:rsid w:val="3B9C9B76"/>
    <w:rsid w:val="3BA3103C"/>
    <w:rsid w:val="3BACA386"/>
    <w:rsid w:val="3BC1A973"/>
    <w:rsid w:val="3BC50EEA"/>
    <w:rsid w:val="3BDE2756"/>
    <w:rsid w:val="3BE83F41"/>
    <w:rsid w:val="3BFF4F48"/>
    <w:rsid w:val="3C000573"/>
    <w:rsid w:val="3C02F0DC"/>
    <w:rsid w:val="3C0A551D"/>
    <w:rsid w:val="3C0DAD05"/>
    <w:rsid w:val="3C0DFA43"/>
    <w:rsid w:val="3C0EB1EA"/>
    <w:rsid w:val="3C16C320"/>
    <w:rsid w:val="3C1B9CA4"/>
    <w:rsid w:val="3C1CB4D2"/>
    <w:rsid w:val="3C1CC5A2"/>
    <w:rsid w:val="3C20CB94"/>
    <w:rsid w:val="3C23D18C"/>
    <w:rsid w:val="3C382AA6"/>
    <w:rsid w:val="3C3874E1"/>
    <w:rsid w:val="3C3AA67D"/>
    <w:rsid w:val="3C50762A"/>
    <w:rsid w:val="3C660B12"/>
    <w:rsid w:val="3C699DD4"/>
    <w:rsid w:val="3C6DF80E"/>
    <w:rsid w:val="3C6FBB73"/>
    <w:rsid w:val="3C96A8D5"/>
    <w:rsid w:val="3C99871B"/>
    <w:rsid w:val="3C9A5FF5"/>
    <w:rsid w:val="3CA509BA"/>
    <w:rsid w:val="3CB84B07"/>
    <w:rsid w:val="3CBE4A2C"/>
    <w:rsid w:val="3CBE8787"/>
    <w:rsid w:val="3CD9253F"/>
    <w:rsid w:val="3CDA5014"/>
    <w:rsid w:val="3CDF933A"/>
    <w:rsid w:val="3CE561D9"/>
    <w:rsid w:val="3CE6FA07"/>
    <w:rsid w:val="3CE751B0"/>
    <w:rsid w:val="3CEE9A87"/>
    <w:rsid w:val="3CF0682F"/>
    <w:rsid w:val="3CF4DF53"/>
    <w:rsid w:val="3CFEA186"/>
    <w:rsid w:val="3D0A5438"/>
    <w:rsid w:val="3D0B9834"/>
    <w:rsid w:val="3D13C96C"/>
    <w:rsid w:val="3D1713D7"/>
    <w:rsid w:val="3D2E7352"/>
    <w:rsid w:val="3D30BA9D"/>
    <w:rsid w:val="3D3C42AD"/>
    <w:rsid w:val="3D454557"/>
    <w:rsid w:val="3D469BE7"/>
    <w:rsid w:val="3D47E8A9"/>
    <w:rsid w:val="3D5E50E3"/>
    <w:rsid w:val="3D6C2CA2"/>
    <w:rsid w:val="3D6F8CDF"/>
    <w:rsid w:val="3D76F768"/>
    <w:rsid w:val="3D81C052"/>
    <w:rsid w:val="3D842D03"/>
    <w:rsid w:val="3D883229"/>
    <w:rsid w:val="3D908416"/>
    <w:rsid w:val="3DA5F34C"/>
    <w:rsid w:val="3DA9ED6D"/>
    <w:rsid w:val="3DAC59EE"/>
    <w:rsid w:val="3DAE8BB6"/>
    <w:rsid w:val="3DB11874"/>
    <w:rsid w:val="3DED2E43"/>
    <w:rsid w:val="3DF33FE6"/>
    <w:rsid w:val="3DFBC6A6"/>
    <w:rsid w:val="3E03D50A"/>
    <w:rsid w:val="3E0D4B15"/>
    <w:rsid w:val="3E0F6E95"/>
    <w:rsid w:val="3E155C1B"/>
    <w:rsid w:val="3E166A0E"/>
    <w:rsid w:val="3E1B41BC"/>
    <w:rsid w:val="3E25BF4A"/>
    <w:rsid w:val="3E281937"/>
    <w:rsid w:val="3E28A26F"/>
    <w:rsid w:val="3E3206BC"/>
    <w:rsid w:val="3E3990B3"/>
    <w:rsid w:val="3E3A8306"/>
    <w:rsid w:val="3E4ACE55"/>
    <w:rsid w:val="3E6822A6"/>
    <w:rsid w:val="3E84593B"/>
    <w:rsid w:val="3E8A8B23"/>
    <w:rsid w:val="3E900399"/>
    <w:rsid w:val="3E97971A"/>
    <w:rsid w:val="3EAA1D17"/>
    <w:rsid w:val="3EABC019"/>
    <w:rsid w:val="3EAC4EB6"/>
    <w:rsid w:val="3EACD9BD"/>
    <w:rsid w:val="3EC017C6"/>
    <w:rsid w:val="3EC38A22"/>
    <w:rsid w:val="3ECBB7F2"/>
    <w:rsid w:val="3ECE691E"/>
    <w:rsid w:val="3ED02624"/>
    <w:rsid w:val="3EDBC0C8"/>
    <w:rsid w:val="3EFA5D88"/>
    <w:rsid w:val="3EFCFB88"/>
    <w:rsid w:val="3F09DB33"/>
    <w:rsid w:val="3F0A19B0"/>
    <w:rsid w:val="3F0A5928"/>
    <w:rsid w:val="3F11CE34"/>
    <w:rsid w:val="3F205512"/>
    <w:rsid w:val="3F25BC7F"/>
    <w:rsid w:val="3F2C455D"/>
    <w:rsid w:val="3F2EE228"/>
    <w:rsid w:val="3F47456F"/>
    <w:rsid w:val="3F5349F2"/>
    <w:rsid w:val="3F64CD35"/>
    <w:rsid w:val="3F7805CD"/>
    <w:rsid w:val="3F782F48"/>
    <w:rsid w:val="3F7E2B1F"/>
    <w:rsid w:val="3F881920"/>
    <w:rsid w:val="3F916B24"/>
    <w:rsid w:val="3F98FDC5"/>
    <w:rsid w:val="3F9CDAFC"/>
    <w:rsid w:val="3FA3F736"/>
    <w:rsid w:val="3FAC129F"/>
    <w:rsid w:val="3FB34554"/>
    <w:rsid w:val="3FB5C15E"/>
    <w:rsid w:val="3FB9B7D7"/>
    <w:rsid w:val="3FBED579"/>
    <w:rsid w:val="3FC31C5E"/>
    <w:rsid w:val="3FC5C8D8"/>
    <w:rsid w:val="3FC6C348"/>
    <w:rsid w:val="3FC76805"/>
    <w:rsid w:val="3FCAFE4C"/>
    <w:rsid w:val="3FDA60F6"/>
    <w:rsid w:val="3FE28392"/>
    <w:rsid w:val="400586DE"/>
    <w:rsid w:val="40124825"/>
    <w:rsid w:val="40169CAE"/>
    <w:rsid w:val="4018E2B2"/>
    <w:rsid w:val="401A4159"/>
    <w:rsid w:val="4027B023"/>
    <w:rsid w:val="402B9EDA"/>
    <w:rsid w:val="402E1139"/>
    <w:rsid w:val="40331F1E"/>
    <w:rsid w:val="404F390C"/>
    <w:rsid w:val="40530E4A"/>
    <w:rsid w:val="4053806F"/>
    <w:rsid w:val="4055F17A"/>
    <w:rsid w:val="405F16F5"/>
    <w:rsid w:val="4063451D"/>
    <w:rsid w:val="40656A00"/>
    <w:rsid w:val="4067A5AC"/>
    <w:rsid w:val="40754E63"/>
    <w:rsid w:val="407AECA0"/>
    <w:rsid w:val="407B50F2"/>
    <w:rsid w:val="407DB485"/>
    <w:rsid w:val="408C034E"/>
    <w:rsid w:val="4090ACAF"/>
    <w:rsid w:val="40A5B816"/>
    <w:rsid w:val="40A6F42B"/>
    <w:rsid w:val="40A7F1A7"/>
    <w:rsid w:val="40A8EFCA"/>
    <w:rsid w:val="40B33AC2"/>
    <w:rsid w:val="40C387DB"/>
    <w:rsid w:val="40D95D01"/>
    <w:rsid w:val="40DAB0E0"/>
    <w:rsid w:val="40E82A05"/>
    <w:rsid w:val="40F51DC7"/>
    <w:rsid w:val="40FA5E46"/>
    <w:rsid w:val="40FBA98C"/>
    <w:rsid w:val="4100E0C5"/>
    <w:rsid w:val="41060A22"/>
    <w:rsid w:val="410D73E7"/>
    <w:rsid w:val="4116BD55"/>
    <w:rsid w:val="411B7DD2"/>
    <w:rsid w:val="4127F9AC"/>
    <w:rsid w:val="4132688F"/>
    <w:rsid w:val="4136E5EB"/>
    <w:rsid w:val="413A4069"/>
    <w:rsid w:val="4154F7E8"/>
    <w:rsid w:val="4163E8AC"/>
    <w:rsid w:val="416F337D"/>
    <w:rsid w:val="41887DF1"/>
    <w:rsid w:val="41D141CF"/>
    <w:rsid w:val="41D8DE46"/>
    <w:rsid w:val="41DF012E"/>
    <w:rsid w:val="41F241B1"/>
    <w:rsid w:val="41F54ED9"/>
    <w:rsid w:val="41FA45CF"/>
    <w:rsid w:val="42045E0C"/>
    <w:rsid w:val="4209A4F5"/>
    <w:rsid w:val="4228404A"/>
    <w:rsid w:val="422CBFF6"/>
    <w:rsid w:val="42368C4F"/>
    <w:rsid w:val="424FF88D"/>
    <w:rsid w:val="4254677E"/>
    <w:rsid w:val="42614166"/>
    <w:rsid w:val="42650019"/>
    <w:rsid w:val="427E3781"/>
    <w:rsid w:val="427F7456"/>
    <w:rsid w:val="4290A495"/>
    <w:rsid w:val="4291A7FB"/>
    <w:rsid w:val="429E5C2D"/>
    <w:rsid w:val="42A2247F"/>
    <w:rsid w:val="42A724D7"/>
    <w:rsid w:val="42B0F60B"/>
    <w:rsid w:val="42B3F53E"/>
    <w:rsid w:val="42BA54CB"/>
    <w:rsid w:val="42C2C212"/>
    <w:rsid w:val="42CAC20A"/>
    <w:rsid w:val="42D14B2E"/>
    <w:rsid w:val="42D6BBB7"/>
    <w:rsid w:val="42DA9665"/>
    <w:rsid w:val="42F155C6"/>
    <w:rsid w:val="42F28F54"/>
    <w:rsid w:val="42FA1305"/>
    <w:rsid w:val="4302C2FA"/>
    <w:rsid w:val="430762F2"/>
    <w:rsid w:val="4310E66A"/>
    <w:rsid w:val="431582D4"/>
    <w:rsid w:val="431E094D"/>
    <w:rsid w:val="431E62F5"/>
    <w:rsid w:val="432C16E0"/>
    <w:rsid w:val="432C7A0B"/>
    <w:rsid w:val="436BD3C4"/>
    <w:rsid w:val="437C40CC"/>
    <w:rsid w:val="438EE0FB"/>
    <w:rsid w:val="438F94EB"/>
    <w:rsid w:val="43A4F3F0"/>
    <w:rsid w:val="43A58424"/>
    <w:rsid w:val="43B5F769"/>
    <w:rsid w:val="43CC4B2B"/>
    <w:rsid w:val="43CE9F32"/>
    <w:rsid w:val="43E36443"/>
    <w:rsid w:val="43E8DF1B"/>
    <w:rsid w:val="43F8E5FD"/>
    <w:rsid w:val="440DB6DA"/>
    <w:rsid w:val="440FB507"/>
    <w:rsid w:val="4419E86A"/>
    <w:rsid w:val="441D698F"/>
    <w:rsid w:val="441E3E39"/>
    <w:rsid w:val="4430ECE6"/>
    <w:rsid w:val="443C3778"/>
    <w:rsid w:val="443EDF86"/>
    <w:rsid w:val="4440DD33"/>
    <w:rsid w:val="4442F025"/>
    <w:rsid w:val="4445C981"/>
    <w:rsid w:val="445EDE77"/>
    <w:rsid w:val="44636B08"/>
    <w:rsid w:val="446383B0"/>
    <w:rsid w:val="446D6026"/>
    <w:rsid w:val="446EE9F1"/>
    <w:rsid w:val="44724D60"/>
    <w:rsid w:val="44770398"/>
    <w:rsid w:val="4479FD1F"/>
    <w:rsid w:val="447D4A54"/>
    <w:rsid w:val="448FC2E5"/>
    <w:rsid w:val="449E2D7A"/>
    <w:rsid w:val="44A0FD96"/>
    <w:rsid w:val="44AB9A41"/>
    <w:rsid w:val="44B325BF"/>
    <w:rsid w:val="44B4C7DF"/>
    <w:rsid w:val="44BFA699"/>
    <w:rsid w:val="44C404F1"/>
    <w:rsid w:val="44CC7328"/>
    <w:rsid w:val="44CDADFF"/>
    <w:rsid w:val="44D0716E"/>
    <w:rsid w:val="44D13ACB"/>
    <w:rsid w:val="44D22B2E"/>
    <w:rsid w:val="44F2B34F"/>
    <w:rsid w:val="44F7B04D"/>
    <w:rsid w:val="45029C9B"/>
    <w:rsid w:val="45095F29"/>
    <w:rsid w:val="451F3B12"/>
    <w:rsid w:val="45214640"/>
    <w:rsid w:val="452CCCBB"/>
    <w:rsid w:val="453A570D"/>
    <w:rsid w:val="45426A66"/>
    <w:rsid w:val="454780C0"/>
    <w:rsid w:val="4547D7F7"/>
    <w:rsid w:val="4553C93B"/>
    <w:rsid w:val="4555AE0A"/>
    <w:rsid w:val="455B4A4A"/>
    <w:rsid w:val="45675C6F"/>
    <w:rsid w:val="456D94CA"/>
    <w:rsid w:val="458733B7"/>
    <w:rsid w:val="458CDE08"/>
    <w:rsid w:val="459AEB6B"/>
    <w:rsid w:val="45A2D49A"/>
    <w:rsid w:val="45B8FED6"/>
    <w:rsid w:val="45BCA9A4"/>
    <w:rsid w:val="45C3D802"/>
    <w:rsid w:val="45C805F2"/>
    <w:rsid w:val="45C96E7C"/>
    <w:rsid w:val="45CD9ACB"/>
    <w:rsid w:val="45DC4B45"/>
    <w:rsid w:val="45EDCE21"/>
    <w:rsid w:val="46076443"/>
    <w:rsid w:val="4610517C"/>
    <w:rsid w:val="4614674D"/>
    <w:rsid w:val="461ACEBD"/>
    <w:rsid w:val="462A9867"/>
    <w:rsid w:val="462C25DC"/>
    <w:rsid w:val="462FF528"/>
    <w:rsid w:val="4637F26F"/>
    <w:rsid w:val="463ABD17"/>
    <w:rsid w:val="464180EA"/>
    <w:rsid w:val="46472B9C"/>
    <w:rsid w:val="464A4040"/>
    <w:rsid w:val="464AF270"/>
    <w:rsid w:val="4651F437"/>
    <w:rsid w:val="46582826"/>
    <w:rsid w:val="465B6CB9"/>
    <w:rsid w:val="465DD239"/>
    <w:rsid w:val="466046D1"/>
    <w:rsid w:val="4661A276"/>
    <w:rsid w:val="467377CD"/>
    <w:rsid w:val="46941AC5"/>
    <w:rsid w:val="46975DE4"/>
    <w:rsid w:val="46A6DAD0"/>
    <w:rsid w:val="46AD5960"/>
    <w:rsid w:val="46D0D356"/>
    <w:rsid w:val="46D7FE33"/>
    <w:rsid w:val="46DD3F01"/>
    <w:rsid w:val="46DE8938"/>
    <w:rsid w:val="46F12528"/>
    <w:rsid w:val="47029CD3"/>
    <w:rsid w:val="47135EC3"/>
    <w:rsid w:val="4717A663"/>
    <w:rsid w:val="47181C92"/>
    <w:rsid w:val="471E2C98"/>
    <w:rsid w:val="473AB524"/>
    <w:rsid w:val="47591C71"/>
    <w:rsid w:val="475FEB7E"/>
    <w:rsid w:val="4769E595"/>
    <w:rsid w:val="476C3D24"/>
    <w:rsid w:val="476CA56B"/>
    <w:rsid w:val="476F06AC"/>
    <w:rsid w:val="47790051"/>
    <w:rsid w:val="4787DAB3"/>
    <w:rsid w:val="47975B45"/>
    <w:rsid w:val="4798C328"/>
    <w:rsid w:val="4799A717"/>
    <w:rsid w:val="47AAA1BA"/>
    <w:rsid w:val="47B087F8"/>
    <w:rsid w:val="47B9C915"/>
    <w:rsid w:val="47BBF9D6"/>
    <w:rsid w:val="47C1CB02"/>
    <w:rsid w:val="47C27A08"/>
    <w:rsid w:val="47C516FA"/>
    <w:rsid w:val="47C88D5C"/>
    <w:rsid w:val="47D3224A"/>
    <w:rsid w:val="47D5F1FC"/>
    <w:rsid w:val="47D7664C"/>
    <w:rsid w:val="47DDC9EE"/>
    <w:rsid w:val="47E11050"/>
    <w:rsid w:val="47E216B9"/>
    <w:rsid w:val="47E655D8"/>
    <w:rsid w:val="47FACB2C"/>
    <w:rsid w:val="47FB8576"/>
    <w:rsid w:val="48008B66"/>
    <w:rsid w:val="480C730A"/>
    <w:rsid w:val="480E8F74"/>
    <w:rsid w:val="48108B23"/>
    <w:rsid w:val="481C8B93"/>
    <w:rsid w:val="481EB755"/>
    <w:rsid w:val="48211BD7"/>
    <w:rsid w:val="48232781"/>
    <w:rsid w:val="4828AB05"/>
    <w:rsid w:val="4834AB2F"/>
    <w:rsid w:val="48365295"/>
    <w:rsid w:val="4864EB0B"/>
    <w:rsid w:val="486F0EFF"/>
    <w:rsid w:val="487AAEC0"/>
    <w:rsid w:val="487AF7F0"/>
    <w:rsid w:val="4880BA04"/>
    <w:rsid w:val="48814E2C"/>
    <w:rsid w:val="4883D3E7"/>
    <w:rsid w:val="4884B61A"/>
    <w:rsid w:val="488FBEC5"/>
    <w:rsid w:val="48ADDE1E"/>
    <w:rsid w:val="48BB2A1E"/>
    <w:rsid w:val="48C126A8"/>
    <w:rsid w:val="48C64BDF"/>
    <w:rsid w:val="48C66285"/>
    <w:rsid w:val="48C70DBF"/>
    <w:rsid w:val="48DE9ACC"/>
    <w:rsid w:val="48EACCFB"/>
    <w:rsid w:val="48EB1E5E"/>
    <w:rsid w:val="48EC0E3A"/>
    <w:rsid w:val="48F012E6"/>
    <w:rsid w:val="48FDA323"/>
    <w:rsid w:val="48FE00CD"/>
    <w:rsid w:val="49136EF8"/>
    <w:rsid w:val="491EDBF2"/>
    <w:rsid w:val="492B79F3"/>
    <w:rsid w:val="492D9C19"/>
    <w:rsid w:val="493E405A"/>
    <w:rsid w:val="4941F7AD"/>
    <w:rsid w:val="4942961F"/>
    <w:rsid w:val="494531FB"/>
    <w:rsid w:val="49490AC0"/>
    <w:rsid w:val="495699A8"/>
    <w:rsid w:val="495CF0E7"/>
    <w:rsid w:val="495FCE4B"/>
    <w:rsid w:val="4960688C"/>
    <w:rsid w:val="49617FF5"/>
    <w:rsid w:val="49625C47"/>
    <w:rsid w:val="49870557"/>
    <w:rsid w:val="4989247E"/>
    <w:rsid w:val="49935217"/>
    <w:rsid w:val="499BC967"/>
    <w:rsid w:val="49A389A1"/>
    <w:rsid w:val="49A47BAC"/>
    <w:rsid w:val="49A53E7D"/>
    <w:rsid w:val="49A79F2A"/>
    <w:rsid w:val="49A9A4C5"/>
    <w:rsid w:val="49B7FF44"/>
    <w:rsid w:val="49B8DA17"/>
    <w:rsid w:val="49BCE3E8"/>
    <w:rsid w:val="49C5943B"/>
    <w:rsid w:val="49D0E52B"/>
    <w:rsid w:val="49DA407B"/>
    <w:rsid w:val="49DDAFFB"/>
    <w:rsid w:val="49F500F9"/>
    <w:rsid w:val="4A02C855"/>
    <w:rsid w:val="4A08F522"/>
    <w:rsid w:val="4A095EA7"/>
    <w:rsid w:val="4A09EFD9"/>
    <w:rsid w:val="4A0F3A0E"/>
    <w:rsid w:val="4A121C7B"/>
    <w:rsid w:val="4A1535C6"/>
    <w:rsid w:val="4A190CB2"/>
    <w:rsid w:val="4A19C09B"/>
    <w:rsid w:val="4A223728"/>
    <w:rsid w:val="4A235DDE"/>
    <w:rsid w:val="4A2D8D12"/>
    <w:rsid w:val="4A441A99"/>
    <w:rsid w:val="4A4E9292"/>
    <w:rsid w:val="4A5389AE"/>
    <w:rsid w:val="4A5A6247"/>
    <w:rsid w:val="4A5FDD03"/>
    <w:rsid w:val="4A6227AB"/>
    <w:rsid w:val="4A65D35C"/>
    <w:rsid w:val="4A6CAFBA"/>
    <w:rsid w:val="4A75C086"/>
    <w:rsid w:val="4A79199F"/>
    <w:rsid w:val="4A7C8BA7"/>
    <w:rsid w:val="4A8BC3D2"/>
    <w:rsid w:val="4A90DED8"/>
    <w:rsid w:val="4A970C4C"/>
    <w:rsid w:val="4AA1ADD5"/>
    <w:rsid w:val="4AAFDF49"/>
    <w:rsid w:val="4AB33A35"/>
    <w:rsid w:val="4ABB763C"/>
    <w:rsid w:val="4ACDEF40"/>
    <w:rsid w:val="4AD12E3A"/>
    <w:rsid w:val="4ADB0E26"/>
    <w:rsid w:val="4ADB5773"/>
    <w:rsid w:val="4AECECEB"/>
    <w:rsid w:val="4AEF5738"/>
    <w:rsid w:val="4AF0F0C0"/>
    <w:rsid w:val="4AF5B86E"/>
    <w:rsid w:val="4AF6C3DE"/>
    <w:rsid w:val="4B089824"/>
    <w:rsid w:val="4B0C48AD"/>
    <w:rsid w:val="4B0D4B15"/>
    <w:rsid w:val="4B258059"/>
    <w:rsid w:val="4B28FF80"/>
    <w:rsid w:val="4B3175AE"/>
    <w:rsid w:val="4B38F313"/>
    <w:rsid w:val="4B3BA068"/>
    <w:rsid w:val="4B457AFF"/>
    <w:rsid w:val="4B51F2FE"/>
    <w:rsid w:val="4B67C186"/>
    <w:rsid w:val="4B6FF463"/>
    <w:rsid w:val="4B71BF53"/>
    <w:rsid w:val="4B7EC103"/>
    <w:rsid w:val="4B7FBF80"/>
    <w:rsid w:val="4B830C89"/>
    <w:rsid w:val="4B8CEFE8"/>
    <w:rsid w:val="4B9E6426"/>
    <w:rsid w:val="4BA7E9A0"/>
    <w:rsid w:val="4BB03A25"/>
    <w:rsid w:val="4BB2AAB5"/>
    <w:rsid w:val="4BB355E4"/>
    <w:rsid w:val="4BB9134B"/>
    <w:rsid w:val="4BB9F403"/>
    <w:rsid w:val="4BC75D96"/>
    <w:rsid w:val="4BC86BB8"/>
    <w:rsid w:val="4BD7C8A2"/>
    <w:rsid w:val="4BD807EE"/>
    <w:rsid w:val="4BD8B1AE"/>
    <w:rsid w:val="4BDAE922"/>
    <w:rsid w:val="4BE6B494"/>
    <w:rsid w:val="4BE7B3B8"/>
    <w:rsid w:val="4BEB8AF4"/>
    <w:rsid w:val="4C0881DC"/>
    <w:rsid w:val="4C08C69E"/>
    <w:rsid w:val="4C0E0D7B"/>
    <w:rsid w:val="4C15F056"/>
    <w:rsid w:val="4C195E5B"/>
    <w:rsid w:val="4C24666C"/>
    <w:rsid w:val="4C2784ED"/>
    <w:rsid w:val="4C393BEE"/>
    <w:rsid w:val="4C3C579C"/>
    <w:rsid w:val="4C3F9B00"/>
    <w:rsid w:val="4C439105"/>
    <w:rsid w:val="4C559FAA"/>
    <w:rsid w:val="4C56C6D3"/>
    <w:rsid w:val="4C66221E"/>
    <w:rsid w:val="4C67847A"/>
    <w:rsid w:val="4C6BEACB"/>
    <w:rsid w:val="4C754749"/>
    <w:rsid w:val="4C789207"/>
    <w:rsid w:val="4C7A6953"/>
    <w:rsid w:val="4C8113D3"/>
    <w:rsid w:val="4C82D3F0"/>
    <w:rsid w:val="4C85EDC3"/>
    <w:rsid w:val="4C8A6C95"/>
    <w:rsid w:val="4C9398DB"/>
    <w:rsid w:val="4C97D99A"/>
    <w:rsid w:val="4CA52D11"/>
    <w:rsid w:val="4CAFEA98"/>
    <w:rsid w:val="4CBA4BF4"/>
    <w:rsid w:val="4CC26C69"/>
    <w:rsid w:val="4CCFE86B"/>
    <w:rsid w:val="4CD60126"/>
    <w:rsid w:val="4CF36724"/>
    <w:rsid w:val="4CFF71EE"/>
    <w:rsid w:val="4D1A2CAC"/>
    <w:rsid w:val="4D1F6796"/>
    <w:rsid w:val="4D2568CB"/>
    <w:rsid w:val="4D2B9361"/>
    <w:rsid w:val="4D39F1A2"/>
    <w:rsid w:val="4D3ED2A6"/>
    <w:rsid w:val="4D4B66C4"/>
    <w:rsid w:val="4D4DA0E8"/>
    <w:rsid w:val="4D586922"/>
    <w:rsid w:val="4D5BC0B6"/>
    <w:rsid w:val="4D5FBC5D"/>
    <w:rsid w:val="4D703530"/>
    <w:rsid w:val="4D752292"/>
    <w:rsid w:val="4D7C61F5"/>
    <w:rsid w:val="4D8636BF"/>
    <w:rsid w:val="4D8B23BD"/>
    <w:rsid w:val="4DA50D2E"/>
    <w:rsid w:val="4DA57450"/>
    <w:rsid w:val="4DA5FD50"/>
    <w:rsid w:val="4DA70536"/>
    <w:rsid w:val="4DA970C8"/>
    <w:rsid w:val="4DB638D8"/>
    <w:rsid w:val="4DBD5884"/>
    <w:rsid w:val="4DC71B97"/>
    <w:rsid w:val="4DE8A673"/>
    <w:rsid w:val="4DFED455"/>
    <w:rsid w:val="4E0491CA"/>
    <w:rsid w:val="4E0A3851"/>
    <w:rsid w:val="4E0C3CE8"/>
    <w:rsid w:val="4E379A50"/>
    <w:rsid w:val="4E3E09C0"/>
    <w:rsid w:val="4E431B16"/>
    <w:rsid w:val="4E44075B"/>
    <w:rsid w:val="4E4A4702"/>
    <w:rsid w:val="4E5EC286"/>
    <w:rsid w:val="4E5F0E5A"/>
    <w:rsid w:val="4E6E2F41"/>
    <w:rsid w:val="4E74E4E8"/>
    <w:rsid w:val="4E789695"/>
    <w:rsid w:val="4E7B0E3F"/>
    <w:rsid w:val="4E7B5E7A"/>
    <w:rsid w:val="4E7E1395"/>
    <w:rsid w:val="4E824E23"/>
    <w:rsid w:val="4E871427"/>
    <w:rsid w:val="4E8A6E0D"/>
    <w:rsid w:val="4E8AE7A9"/>
    <w:rsid w:val="4E98F13B"/>
    <w:rsid w:val="4E9B15CF"/>
    <w:rsid w:val="4EA83D76"/>
    <w:rsid w:val="4EABFC5F"/>
    <w:rsid w:val="4ED5D055"/>
    <w:rsid w:val="4ED65D62"/>
    <w:rsid w:val="4EDF6D6D"/>
    <w:rsid w:val="4EDF89DC"/>
    <w:rsid w:val="4EEEAB4A"/>
    <w:rsid w:val="4EF11602"/>
    <w:rsid w:val="4EF60DBE"/>
    <w:rsid w:val="4EF637CF"/>
    <w:rsid w:val="4EF8F03C"/>
    <w:rsid w:val="4EF9554D"/>
    <w:rsid w:val="4F026C70"/>
    <w:rsid w:val="4F08F5AC"/>
    <w:rsid w:val="4F0CD3F1"/>
    <w:rsid w:val="4F11AF09"/>
    <w:rsid w:val="4F1813BF"/>
    <w:rsid w:val="4F1F5A35"/>
    <w:rsid w:val="4F1F7120"/>
    <w:rsid w:val="4F2B989E"/>
    <w:rsid w:val="4F2BD7A8"/>
    <w:rsid w:val="4F2F0A77"/>
    <w:rsid w:val="4F374A4D"/>
    <w:rsid w:val="4F3B4EDF"/>
    <w:rsid w:val="4F42DAF6"/>
    <w:rsid w:val="4F501CDB"/>
    <w:rsid w:val="4F57FE64"/>
    <w:rsid w:val="4F595671"/>
    <w:rsid w:val="4F59C5A4"/>
    <w:rsid w:val="4F7BAE2A"/>
    <w:rsid w:val="4F90BB43"/>
    <w:rsid w:val="4F969893"/>
    <w:rsid w:val="4FA4607D"/>
    <w:rsid w:val="4FB0D000"/>
    <w:rsid w:val="4FC0377E"/>
    <w:rsid w:val="4FF040C6"/>
    <w:rsid w:val="4FF0F22C"/>
    <w:rsid w:val="4FFC4F0B"/>
    <w:rsid w:val="5004DAAD"/>
    <w:rsid w:val="500AFCFA"/>
    <w:rsid w:val="502089EB"/>
    <w:rsid w:val="502569AF"/>
    <w:rsid w:val="502A981C"/>
    <w:rsid w:val="502F2919"/>
    <w:rsid w:val="5031DD5C"/>
    <w:rsid w:val="5036FA9C"/>
    <w:rsid w:val="50392F50"/>
    <w:rsid w:val="503DA3E1"/>
    <w:rsid w:val="5042BDB7"/>
    <w:rsid w:val="504E4931"/>
    <w:rsid w:val="504EE994"/>
    <w:rsid w:val="505FAAA9"/>
    <w:rsid w:val="5060C91D"/>
    <w:rsid w:val="5079C5C7"/>
    <w:rsid w:val="507B3961"/>
    <w:rsid w:val="507B52CC"/>
    <w:rsid w:val="5084573E"/>
    <w:rsid w:val="508D8692"/>
    <w:rsid w:val="50901337"/>
    <w:rsid w:val="50A1D968"/>
    <w:rsid w:val="50AE6BD9"/>
    <w:rsid w:val="50B08D2D"/>
    <w:rsid w:val="50B4C790"/>
    <w:rsid w:val="50BA6819"/>
    <w:rsid w:val="50D7F08A"/>
    <w:rsid w:val="50DA43DE"/>
    <w:rsid w:val="50DCF7B4"/>
    <w:rsid w:val="50E21E4F"/>
    <w:rsid w:val="50F9CD04"/>
    <w:rsid w:val="50FD5285"/>
    <w:rsid w:val="51042A70"/>
    <w:rsid w:val="51075CDC"/>
    <w:rsid w:val="511AF018"/>
    <w:rsid w:val="512356DE"/>
    <w:rsid w:val="51283EE4"/>
    <w:rsid w:val="51382636"/>
    <w:rsid w:val="5154F375"/>
    <w:rsid w:val="51625CD1"/>
    <w:rsid w:val="5163F1F1"/>
    <w:rsid w:val="5170D2DC"/>
    <w:rsid w:val="5175D8E2"/>
    <w:rsid w:val="51898B42"/>
    <w:rsid w:val="51A0A677"/>
    <w:rsid w:val="51A519E6"/>
    <w:rsid w:val="51AC1768"/>
    <w:rsid w:val="51B2D87C"/>
    <w:rsid w:val="51B3FA34"/>
    <w:rsid w:val="51B720C5"/>
    <w:rsid w:val="51B82F00"/>
    <w:rsid w:val="51C2EB80"/>
    <w:rsid w:val="51C3B48C"/>
    <w:rsid w:val="51C48159"/>
    <w:rsid w:val="51C52EE3"/>
    <w:rsid w:val="51C83B43"/>
    <w:rsid w:val="51D1999D"/>
    <w:rsid w:val="51ED6B6D"/>
    <w:rsid w:val="51F2CBAD"/>
    <w:rsid w:val="51F98FF2"/>
    <w:rsid w:val="51FD9CA4"/>
    <w:rsid w:val="5200DD97"/>
    <w:rsid w:val="5206EF0D"/>
    <w:rsid w:val="520DC5D0"/>
    <w:rsid w:val="5210B5B6"/>
    <w:rsid w:val="5213B8D1"/>
    <w:rsid w:val="521BD262"/>
    <w:rsid w:val="521D47BE"/>
    <w:rsid w:val="52209716"/>
    <w:rsid w:val="5226EC23"/>
    <w:rsid w:val="52393364"/>
    <w:rsid w:val="523EC930"/>
    <w:rsid w:val="5240E3FC"/>
    <w:rsid w:val="5242FF20"/>
    <w:rsid w:val="525AAC31"/>
    <w:rsid w:val="525D7022"/>
    <w:rsid w:val="527768E7"/>
    <w:rsid w:val="5280CEFE"/>
    <w:rsid w:val="52938420"/>
    <w:rsid w:val="5295DC7A"/>
    <w:rsid w:val="52AD8CD1"/>
    <w:rsid w:val="52D2465A"/>
    <w:rsid w:val="52DDAA53"/>
    <w:rsid w:val="52DF6815"/>
    <w:rsid w:val="52EAD70D"/>
    <w:rsid w:val="52EF1C2A"/>
    <w:rsid w:val="52EFF625"/>
    <w:rsid w:val="52F7BA0F"/>
    <w:rsid w:val="530D7C88"/>
    <w:rsid w:val="530DE964"/>
    <w:rsid w:val="5324FE90"/>
    <w:rsid w:val="532972ED"/>
    <w:rsid w:val="533C8B34"/>
    <w:rsid w:val="5343BD7F"/>
    <w:rsid w:val="5347C769"/>
    <w:rsid w:val="534F00D4"/>
    <w:rsid w:val="5354FFA2"/>
    <w:rsid w:val="535812BC"/>
    <w:rsid w:val="53593307"/>
    <w:rsid w:val="53693D91"/>
    <w:rsid w:val="536E17FB"/>
    <w:rsid w:val="537BC818"/>
    <w:rsid w:val="537F4497"/>
    <w:rsid w:val="5382F089"/>
    <w:rsid w:val="53838E71"/>
    <w:rsid w:val="5384C858"/>
    <w:rsid w:val="538B24F9"/>
    <w:rsid w:val="538F5C6F"/>
    <w:rsid w:val="53933C30"/>
    <w:rsid w:val="53A35FD2"/>
    <w:rsid w:val="53AAB1E1"/>
    <w:rsid w:val="53ABB441"/>
    <w:rsid w:val="53ADDE34"/>
    <w:rsid w:val="53ADFC8F"/>
    <w:rsid w:val="53BA50FF"/>
    <w:rsid w:val="53C65D0E"/>
    <w:rsid w:val="53C90346"/>
    <w:rsid w:val="53CAE0E5"/>
    <w:rsid w:val="53D5C7F9"/>
    <w:rsid w:val="53D7D981"/>
    <w:rsid w:val="53D9F554"/>
    <w:rsid w:val="53DA3BA8"/>
    <w:rsid w:val="53DF1BA3"/>
    <w:rsid w:val="53E02680"/>
    <w:rsid w:val="53EB408A"/>
    <w:rsid w:val="53ECB559"/>
    <w:rsid w:val="5402C703"/>
    <w:rsid w:val="54036339"/>
    <w:rsid w:val="54050D57"/>
    <w:rsid w:val="541315C7"/>
    <w:rsid w:val="54148B2D"/>
    <w:rsid w:val="5419A2B1"/>
    <w:rsid w:val="541F7288"/>
    <w:rsid w:val="542B3D92"/>
    <w:rsid w:val="542F7061"/>
    <w:rsid w:val="543FD2D5"/>
    <w:rsid w:val="544D24C4"/>
    <w:rsid w:val="545B01C8"/>
    <w:rsid w:val="546639D6"/>
    <w:rsid w:val="5475FF53"/>
    <w:rsid w:val="54833CC7"/>
    <w:rsid w:val="548661E3"/>
    <w:rsid w:val="54877617"/>
    <w:rsid w:val="548AAECD"/>
    <w:rsid w:val="5490FFDE"/>
    <w:rsid w:val="549C0FD6"/>
    <w:rsid w:val="54A28A39"/>
    <w:rsid w:val="54A5CB46"/>
    <w:rsid w:val="54BB988D"/>
    <w:rsid w:val="54D67942"/>
    <w:rsid w:val="54E2C0EA"/>
    <w:rsid w:val="54FFDB60"/>
    <w:rsid w:val="55017D5E"/>
    <w:rsid w:val="5504F238"/>
    <w:rsid w:val="5516B17C"/>
    <w:rsid w:val="551BE750"/>
    <w:rsid w:val="552793A9"/>
    <w:rsid w:val="553FDC02"/>
    <w:rsid w:val="5541197D"/>
    <w:rsid w:val="554CFAFF"/>
    <w:rsid w:val="554D1032"/>
    <w:rsid w:val="55518EF6"/>
    <w:rsid w:val="5564E9E9"/>
    <w:rsid w:val="556CCF2B"/>
    <w:rsid w:val="556F21F4"/>
    <w:rsid w:val="55716128"/>
    <w:rsid w:val="5572D898"/>
    <w:rsid w:val="557897A5"/>
    <w:rsid w:val="5584E6FE"/>
    <w:rsid w:val="558A88C6"/>
    <w:rsid w:val="558A9849"/>
    <w:rsid w:val="5590092E"/>
    <w:rsid w:val="559B18CA"/>
    <w:rsid w:val="55B8767F"/>
    <w:rsid w:val="55BF9D3D"/>
    <w:rsid w:val="55C37F8A"/>
    <w:rsid w:val="55CF6F04"/>
    <w:rsid w:val="55D7FB11"/>
    <w:rsid w:val="55D8C108"/>
    <w:rsid w:val="55DA74FF"/>
    <w:rsid w:val="55DB3B38"/>
    <w:rsid w:val="55E49D54"/>
    <w:rsid w:val="55E9A5C3"/>
    <w:rsid w:val="55F684E3"/>
    <w:rsid w:val="55F6B30C"/>
    <w:rsid w:val="56045A01"/>
    <w:rsid w:val="560D8B71"/>
    <w:rsid w:val="56128AAC"/>
    <w:rsid w:val="56136F23"/>
    <w:rsid w:val="5614D245"/>
    <w:rsid w:val="561C8F54"/>
    <w:rsid w:val="56266609"/>
    <w:rsid w:val="563BABA6"/>
    <w:rsid w:val="563F9104"/>
    <w:rsid w:val="5640C4BC"/>
    <w:rsid w:val="56442EF9"/>
    <w:rsid w:val="565AE6A6"/>
    <w:rsid w:val="566BEC08"/>
    <w:rsid w:val="567058B0"/>
    <w:rsid w:val="5670CC7A"/>
    <w:rsid w:val="567791A4"/>
    <w:rsid w:val="5677D19D"/>
    <w:rsid w:val="5683C54A"/>
    <w:rsid w:val="5683F5BD"/>
    <w:rsid w:val="56890290"/>
    <w:rsid w:val="568EB63E"/>
    <w:rsid w:val="569035B8"/>
    <w:rsid w:val="569F0933"/>
    <w:rsid w:val="56B98528"/>
    <w:rsid w:val="56C40C57"/>
    <w:rsid w:val="56C4A838"/>
    <w:rsid w:val="56C9DF29"/>
    <w:rsid w:val="56D33678"/>
    <w:rsid w:val="56E2B7D9"/>
    <w:rsid w:val="56E683F1"/>
    <w:rsid w:val="56E7F0A4"/>
    <w:rsid w:val="56ED60E9"/>
    <w:rsid w:val="56FF20AB"/>
    <w:rsid w:val="570988E1"/>
    <w:rsid w:val="570C7E30"/>
    <w:rsid w:val="57116614"/>
    <w:rsid w:val="57125E79"/>
    <w:rsid w:val="571A4B51"/>
    <w:rsid w:val="571A92A4"/>
    <w:rsid w:val="571CAB6D"/>
    <w:rsid w:val="5720EF80"/>
    <w:rsid w:val="5725FFFA"/>
    <w:rsid w:val="5728EAF8"/>
    <w:rsid w:val="573951E9"/>
    <w:rsid w:val="573C9686"/>
    <w:rsid w:val="57473238"/>
    <w:rsid w:val="5751E3EB"/>
    <w:rsid w:val="5754B94A"/>
    <w:rsid w:val="5760589D"/>
    <w:rsid w:val="57630D1B"/>
    <w:rsid w:val="576DA0C2"/>
    <w:rsid w:val="5775E202"/>
    <w:rsid w:val="577F1B85"/>
    <w:rsid w:val="577FE9EE"/>
    <w:rsid w:val="578261BF"/>
    <w:rsid w:val="5786FBA3"/>
    <w:rsid w:val="5794E398"/>
    <w:rsid w:val="5795679B"/>
    <w:rsid w:val="579C9CCE"/>
    <w:rsid w:val="579F5200"/>
    <w:rsid w:val="57B6C625"/>
    <w:rsid w:val="57CC3B19"/>
    <w:rsid w:val="57CD9B72"/>
    <w:rsid w:val="57D1EE09"/>
    <w:rsid w:val="57E852F4"/>
    <w:rsid w:val="57F773C7"/>
    <w:rsid w:val="580FEDCC"/>
    <w:rsid w:val="58133EF3"/>
    <w:rsid w:val="58181287"/>
    <w:rsid w:val="581E0336"/>
    <w:rsid w:val="583099F0"/>
    <w:rsid w:val="583282C1"/>
    <w:rsid w:val="5846FF9A"/>
    <w:rsid w:val="584D9127"/>
    <w:rsid w:val="5858EB46"/>
    <w:rsid w:val="58651F13"/>
    <w:rsid w:val="5867CFA8"/>
    <w:rsid w:val="5872F9F5"/>
    <w:rsid w:val="5881A6C5"/>
    <w:rsid w:val="58904EEE"/>
    <w:rsid w:val="5898F845"/>
    <w:rsid w:val="58A7C8C4"/>
    <w:rsid w:val="58B1592E"/>
    <w:rsid w:val="58B6354D"/>
    <w:rsid w:val="58B68C59"/>
    <w:rsid w:val="58C212E9"/>
    <w:rsid w:val="58C73C94"/>
    <w:rsid w:val="58D77520"/>
    <w:rsid w:val="58DAAA7A"/>
    <w:rsid w:val="58DBDD17"/>
    <w:rsid w:val="58F15B4B"/>
    <w:rsid w:val="58FBB96F"/>
    <w:rsid w:val="58FCD119"/>
    <w:rsid w:val="58FF3BFC"/>
    <w:rsid w:val="591698C5"/>
    <w:rsid w:val="59172F5B"/>
    <w:rsid w:val="591D88F7"/>
    <w:rsid w:val="5922FB4B"/>
    <w:rsid w:val="5923ADAE"/>
    <w:rsid w:val="59273CC0"/>
    <w:rsid w:val="59290349"/>
    <w:rsid w:val="592CA710"/>
    <w:rsid w:val="592E2ABB"/>
    <w:rsid w:val="59314244"/>
    <w:rsid w:val="5932D60D"/>
    <w:rsid w:val="59383F41"/>
    <w:rsid w:val="594F5435"/>
    <w:rsid w:val="596C909A"/>
    <w:rsid w:val="5970B0BF"/>
    <w:rsid w:val="59987AA2"/>
    <w:rsid w:val="599A79B1"/>
    <w:rsid w:val="59A0F37D"/>
    <w:rsid w:val="59AA5388"/>
    <w:rsid w:val="59B0ECC3"/>
    <w:rsid w:val="59B79091"/>
    <w:rsid w:val="59C49FC5"/>
    <w:rsid w:val="59C4D281"/>
    <w:rsid w:val="59CFEB24"/>
    <w:rsid w:val="59DA259F"/>
    <w:rsid w:val="59DB350D"/>
    <w:rsid w:val="59DD4591"/>
    <w:rsid w:val="59E2DCF1"/>
    <w:rsid w:val="59E69416"/>
    <w:rsid w:val="59E78633"/>
    <w:rsid w:val="59EE0D97"/>
    <w:rsid w:val="59EE93FA"/>
    <w:rsid w:val="59F57784"/>
    <w:rsid w:val="59FED2DB"/>
    <w:rsid w:val="5A124F87"/>
    <w:rsid w:val="5A151757"/>
    <w:rsid w:val="5A158ACF"/>
    <w:rsid w:val="5A25F2EB"/>
    <w:rsid w:val="5A4C26B0"/>
    <w:rsid w:val="5A526C27"/>
    <w:rsid w:val="5A58D838"/>
    <w:rsid w:val="5A5B06DB"/>
    <w:rsid w:val="5A660415"/>
    <w:rsid w:val="5A689BE2"/>
    <w:rsid w:val="5A7558DE"/>
    <w:rsid w:val="5A7791E5"/>
    <w:rsid w:val="5A7FB994"/>
    <w:rsid w:val="5A84044A"/>
    <w:rsid w:val="5A87ECB9"/>
    <w:rsid w:val="5A93A29B"/>
    <w:rsid w:val="5A95E625"/>
    <w:rsid w:val="5A9C5FC1"/>
    <w:rsid w:val="5AA18452"/>
    <w:rsid w:val="5ABA8EDC"/>
    <w:rsid w:val="5AC31B80"/>
    <w:rsid w:val="5AC6AF83"/>
    <w:rsid w:val="5AE15F03"/>
    <w:rsid w:val="5AF0B2C1"/>
    <w:rsid w:val="5AF12CED"/>
    <w:rsid w:val="5AF6B7B7"/>
    <w:rsid w:val="5B0020D0"/>
    <w:rsid w:val="5B2004DB"/>
    <w:rsid w:val="5B23C7E1"/>
    <w:rsid w:val="5B28E813"/>
    <w:rsid w:val="5B2A76F3"/>
    <w:rsid w:val="5B2AC5B4"/>
    <w:rsid w:val="5B30F8F0"/>
    <w:rsid w:val="5B3995CC"/>
    <w:rsid w:val="5B3B77F8"/>
    <w:rsid w:val="5B44A098"/>
    <w:rsid w:val="5B47ADD5"/>
    <w:rsid w:val="5B498401"/>
    <w:rsid w:val="5B56CFF1"/>
    <w:rsid w:val="5B7057B0"/>
    <w:rsid w:val="5B73BEBC"/>
    <w:rsid w:val="5B77A7C3"/>
    <w:rsid w:val="5B7D4F14"/>
    <w:rsid w:val="5B823305"/>
    <w:rsid w:val="5B8749DB"/>
    <w:rsid w:val="5B9066BE"/>
    <w:rsid w:val="5B929D74"/>
    <w:rsid w:val="5BA18456"/>
    <w:rsid w:val="5BA58A22"/>
    <w:rsid w:val="5BAF10DE"/>
    <w:rsid w:val="5BB3451F"/>
    <w:rsid w:val="5BB86B06"/>
    <w:rsid w:val="5BBFA712"/>
    <w:rsid w:val="5BC6A606"/>
    <w:rsid w:val="5BC7B34E"/>
    <w:rsid w:val="5BD52393"/>
    <w:rsid w:val="5BDEAC24"/>
    <w:rsid w:val="5BE34317"/>
    <w:rsid w:val="5BEADB47"/>
    <w:rsid w:val="5BF38EAF"/>
    <w:rsid w:val="5BFB2534"/>
    <w:rsid w:val="5C00F426"/>
    <w:rsid w:val="5C16664C"/>
    <w:rsid w:val="5C1EC813"/>
    <w:rsid w:val="5C35EB20"/>
    <w:rsid w:val="5C399FB2"/>
    <w:rsid w:val="5C3A680A"/>
    <w:rsid w:val="5C3B957E"/>
    <w:rsid w:val="5C4CFFE6"/>
    <w:rsid w:val="5C520E6B"/>
    <w:rsid w:val="5C58C93C"/>
    <w:rsid w:val="5C5A50FF"/>
    <w:rsid w:val="5C717969"/>
    <w:rsid w:val="5C756FA9"/>
    <w:rsid w:val="5C773FFA"/>
    <w:rsid w:val="5C800042"/>
    <w:rsid w:val="5C887C30"/>
    <w:rsid w:val="5C9137D0"/>
    <w:rsid w:val="5C93F4BA"/>
    <w:rsid w:val="5C9F9B67"/>
    <w:rsid w:val="5CB7BFFE"/>
    <w:rsid w:val="5CC77DE2"/>
    <w:rsid w:val="5CCA183D"/>
    <w:rsid w:val="5CD4DA94"/>
    <w:rsid w:val="5CD5AA81"/>
    <w:rsid w:val="5CD84E31"/>
    <w:rsid w:val="5CE6222C"/>
    <w:rsid w:val="5CEB9919"/>
    <w:rsid w:val="5CFCCBD2"/>
    <w:rsid w:val="5D02785C"/>
    <w:rsid w:val="5D155569"/>
    <w:rsid w:val="5D1969CA"/>
    <w:rsid w:val="5D1989A5"/>
    <w:rsid w:val="5D1A39E6"/>
    <w:rsid w:val="5D1ED5F7"/>
    <w:rsid w:val="5D32613D"/>
    <w:rsid w:val="5D33941E"/>
    <w:rsid w:val="5D35336C"/>
    <w:rsid w:val="5D3F4C8D"/>
    <w:rsid w:val="5D46ABF2"/>
    <w:rsid w:val="5D60AF12"/>
    <w:rsid w:val="5D6A9EB2"/>
    <w:rsid w:val="5D6AD9C5"/>
    <w:rsid w:val="5D92ABDC"/>
    <w:rsid w:val="5D99BEC8"/>
    <w:rsid w:val="5D99E2C7"/>
    <w:rsid w:val="5DA58F47"/>
    <w:rsid w:val="5DA98A6D"/>
    <w:rsid w:val="5DAB3C0A"/>
    <w:rsid w:val="5DAF3C5F"/>
    <w:rsid w:val="5DB24197"/>
    <w:rsid w:val="5DB7E2B7"/>
    <w:rsid w:val="5DE4E4B1"/>
    <w:rsid w:val="5E0A0B34"/>
    <w:rsid w:val="5E12EE57"/>
    <w:rsid w:val="5E18BA7A"/>
    <w:rsid w:val="5E1D77F5"/>
    <w:rsid w:val="5E34CA4D"/>
    <w:rsid w:val="5E3621A1"/>
    <w:rsid w:val="5E39DDCD"/>
    <w:rsid w:val="5E3EEA4D"/>
    <w:rsid w:val="5E48450C"/>
    <w:rsid w:val="5E4BD6D3"/>
    <w:rsid w:val="5E587FCA"/>
    <w:rsid w:val="5E5B5859"/>
    <w:rsid w:val="5E69B236"/>
    <w:rsid w:val="5E911288"/>
    <w:rsid w:val="5EA91A56"/>
    <w:rsid w:val="5EBB7FB0"/>
    <w:rsid w:val="5EC02858"/>
    <w:rsid w:val="5EC2FFA2"/>
    <w:rsid w:val="5EDA467A"/>
    <w:rsid w:val="5EE347D2"/>
    <w:rsid w:val="5EE66ED5"/>
    <w:rsid w:val="5EE7C571"/>
    <w:rsid w:val="5EEC7624"/>
    <w:rsid w:val="5EEC7D52"/>
    <w:rsid w:val="5EEFC796"/>
    <w:rsid w:val="5EF5964F"/>
    <w:rsid w:val="5EF84385"/>
    <w:rsid w:val="5F082B74"/>
    <w:rsid w:val="5F0F46F1"/>
    <w:rsid w:val="5F22B75B"/>
    <w:rsid w:val="5F27D175"/>
    <w:rsid w:val="5F2D10A7"/>
    <w:rsid w:val="5F2DECF5"/>
    <w:rsid w:val="5F2E35DC"/>
    <w:rsid w:val="5F34F211"/>
    <w:rsid w:val="5F3BAED8"/>
    <w:rsid w:val="5F518536"/>
    <w:rsid w:val="5F531D8D"/>
    <w:rsid w:val="5F6FCDF7"/>
    <w:rsid w:val="5F71A8E4"/>
    <w:rsid w:val="5F788A7F"/>
    <w:rsid w:val="5F79451E"/>
    <w:rsid w:val="5F8C70D3"/>
    <w:rsid w:val="5F95CAB2"/>
    <w:rsid w:val="5F9D4703"/>
    <w:rsid w:val="5FA98FEB"/>
    <w:rsid w:val="5FB5B3F0"/>
    <w:rsid w:val="5FBD54C7"/>
    <w:rsid w:val="5FC5CF3E"/>
    <w:rsid w:val="5FC89B2E"/>
    <w:rsid w:val="5FD7AA69"/>
    <w:rsid w:val="5FE2D7C5"/>
    <w:rsid w:val="5FE385C2"/>
    <w:rsid w:val="5FE8A811"/>
    <w:rsid w:val="5FEAC630"/>
    <w:rsid w:val="5FFA83AC"/>
    <w:rsid w:val="600EFE77"/>
    <w:rsid w:val="60264C8C"/>
    <w:rsid w:val="602898FD"/>
    <w:rsid w:val="6029B4BA"/>
    <w:rsid w:val="60346CA8"/>
    <w:rsid w:val="6038C0EE"/>
    <w:rsid w:val="603E8617"/>
    <w:rsid w:val="604BC11E"/>
    <w:rsid w:val="6053A903"/>
    <w:rsid w:val="6055B6E9"/>
    <w:rsid w:val="60576CEE"/>
    <w:rsid w:val="605A77E6"/>
    <w:rsid w:val="607531E4"/>
    <w:rsid w:val="6091BB73"/>
    <w:rsid w:val="60938580"/>
    <w:rsid w:val="609759E9"/>
    <w:rsid w:val="609A9F11"/>
    <w:rsid w:val="609C7D2D"/>
    <w:rsid w:val="60A2954D"/>
    <w:rsid w:val="60A71ACC"/>
    <w:rsid w:val="60AB8B1F"/>
    <w:rsid w:val="60E84F6B"/>
    <w:rsid w:val="60EA5186"/>
    <w:rsid w:val="60EB2B68"/>
    <w:rsid w:val="610987CE"/>
    <w:rsid w:val="611B9BA3"/>
    <w:rsid w:val="6121AC82"/>
    <w:rsid w:val="613A8286"/>
    <w:rsid w:val="613B6B73"/>
    <w:rsid w:val="614FB032"/>
    <w:rsid w:val="61516515"/>
    <w:rsid w:val="615CB868"/>
    <w:rsid w:val="6160921F"/>
    <w:rsid w:val="6164BEB8"/>
    <w:rsid w:val="61782FB6"/>
    <w:rsid w:val="617C5471"/>
    <w:rsid w:val="618AA793"/>
    <w:rsid w:val="6193EA11"/>
    <w:rsid w:val="61949909"/>
    <w:rsid w:val="619F679C"/>
    <w:rsid w:val="61ACDF8C"/>
    <w:rsid w:val="61B944B7"/>
    <w:rsid w:val="61BBE30E"/>
    <w:rsid w:val="61C5AD51"/>
    <w:rsid w:val="61C7E745"/>
    <w:rsid w:val="61CD0D75"/>
    <w:rsid w:val="61D25DAA"/>
    <w:rsid w:val="61D962E9"/>
    <w:rsid w:val="61DE70B6"/>
    <w:rsid w:val="621E26F9"/>
    <w:rsid w:val="62209673"/>
    <w:rsid w:val="62216CDF"/>
    <w:rsid w:val="6225104B"/>
    <w:rsid w:val="6233CADC"/>
    <w:rsid w:val="624AC7BC"/>
    <w:rsid w:val="624F63CF"/>
    <w:rsid w:val="62587257"/>
    <w:rsid w:val="625B32AA"/>
    <w:rsid w:val="625BC470"/>
    <w:rsid w:val="62604953"/>
    <w:rsid w:val="62727DF6"/>
    <w:rsid w:val="6273A0F4"/>
    <w:rsid w:val="62854AF6"/>
    <w:rsid w:val="62A8518B"/>
    <w:rsid w:val="62AA59B9"/>
    <w:rsid w:val="62AE916B"/>
    <w:rsid w:val="62B0910D"/>
    <w:rsid w:val="62C2A646"/>
    <w:rsid w:val="62CE7EF0"/>
    <w:rsid w:val="62E45538"/>
    <w:rsid w:val="62E8C342"/>
    <w:rsid w:val="62EEFA05"/>
    <w:rsid w:val="62F2DBB4"/>
    <w:rsid w:val="6309B0E2"/>
    <w:rsid w:val="630ADDC4"/>
    <w:rsid w:val="63129896"/>
    <w:rsid w:val="6317F1F9"/>
    <w:rsid w:val="6322F3B4"/>
    <w:rsid w:val="6327AA86"/>
    <w:rsid w:val="6327C785"/>
    <w:rsid w:val="632C8921"/>
    <w:rsid w:val="632E12A1"/>
    <w:rsid w:val="6333CE9D"/>
    <w:rsid w:val="63351164"/>
    <w:rsid w:val="6339485F"/>
    <w:rsid w:val="633A8017"/>
    <w:rsid w:val="633B48AC"/>
    <w:rsid w:val="633F7333"/>
    <w:rsid w:val="6340342C"/>
    <w:rsid w:val="634641F0"/>
    <w:rsid w:val="635AD01E"/>
    <w:rsid w:val="63656608"/>
    <w:rsid w:val="6365A40A"/>
    <w:rsid w:val="6366DEA7"/>
    <w:rsid w:val="636EE8E4"/>
    <w:rsid w:val="637A0B5A"/>
    <w:rsid w:val="6381EE5C"/>
    <w:rsid w:val="6386143F"/>
    <w:rsid w:val="6387F916"/>
    <w:rsid w:val="63976682"/>
    <w:rsid w:val="63986A01"/>
    <w:rsid w:val="63B5361A"/>
    <w:rsid w:val="63B69DCB"/>
    <w:rsid w:val="63B9FA81"/>
    <w:rsid w:val="63BCCDB7"/>
    <w:rsid w:val="63BD713D"/>
    <w:rsid w:val="63C49992"/>
    <w:rsid w:val="63CC8B2A"/>
    <w:rsid w:val="63D083D2"/>
    <w:rsid w:val="63D3D1CE"/>
    <w:rsid w:val="63D3DDB9"/>
    <w:rsid w:val="63DBD776"/>
    <w:rsid w:val="63E2F66F"/>
    <w:rsid w:val="63E40271"/>
    <w:rsid w:val="63E6F618"/>
    <w:rsid w:val="63F26FF6"/>
    <w:rsid w:val="640AD839"/>
    <w:rsid w:val="641B0E84"/>
    <w:rsid w:val="642554F9"/>
    <w:rsid w:val="6433B46F"/>
    <w:rsid w:val="643CFC5E"/>
    <w:rsid w:val="643DA103"/>
    <w:rsid w:val="64507CC9"/>
    <w:rsid w:val="646347F2"/>
    <w:rsid w:val="64691A57"/>
    <w:rsid w:val="646B98FD"/>
    <w:rsid w:val="6471E0F4"/>
    <w:rsid w:val="6474575E"/>
    <w:rsid w:val="648FAB34"/>
    <w:rsid w:val="64910F11"/>
    <w:rsid w:val="64997970"/>
    <w:rsid w:val="64A27B3B"/>
    <w:rsid w:val="64A5A004"/>
    <w:rsid w:val="64A680A5"/>
    <w:rsid w:val="64A759C2"/>
    <w:rsid w:val="64AE97C4"/>
    <w:rsid w:val="64BFC0DC"/>
    <w:rsid w:val="64C7BFD6"/>
    <w:rsid w:val="64CAB6C3"/>
    <w:rsid w:val="64E401B6"/>
    <w:rsid w:val="64F34DF5"/>
    <w:rsid w:val="64F86173"/>
    <w:rsid w:val="64FA467C"/>
    <w:rsid w:val="64FAC5FE"/>
    <w:rsid w:val="64FE323C"/>
    <w:rsid w:val="64FEBB3C"/>
    <w:rsid w:val="6503CAF4"/>
    <w:rsid w:val="6522A82D"/>
    <w:rsid w:val="652AE53F"/>
    <w:rsid w:val="652DE283"/>
    <w:rsid w:val="65389E96"/>
    <w:rsid w:val="6538D461"/>
    <w:rsid w:val="653E2F6B"/>
    <w:rsid w:val="653F13E5"/>
    <w:rsid w:val="65519BEC"/>
    <w:rsid w:val="6553F404"/>
    <w:rsid w:val="65540EA8"/>
    <w:rsid w:val="656BE210"/>
    <w:rsid w:val="65876613"/>
    <w:rsid w:val="65884497"/>
    <w:rsid w:val="658F65CF"/>
    <w:rsid w:val="6596B4DC"/>
    <w:rsid w:val="65986758"/>
    <w:rsid w:val="65AD1B19"/>
    <w:rsid w:val="65C54771"/>
    <w:rsid w:val="65CB35DD"/>
    <w:rsid w:val="65D7AC0B"/>
    <w:rsid w:val="65D8EF63"/>
    <w:rsid w:val="65DADFF0"/>
    <w:rsid w:val="65DBE173"/>
    <w:rsid w:val="65E17360"/>
    <w:rsid w:val="65EE859B"/>
    <w:rsid w:val="65FB7E23"/>
    <w:rsid w:val="66096BA7"/>
    <w:rsid w:val="6612DD1B"/>
    <w:rsid w:val="66133904"/>
    <w:rsid w:val="661A4815"/>
    <w:rsid w:val="661BF3AD"/>
    <w:rsid w:val="661F5014"/>
    <w:rsid w:val="66280D9C"/>
    <w:rsid w:val="6655D923"/>
    <w:rsid w:val="665ECFEC"/>
    <w:rsid w:val="6661F426"/>
    <w:rsid w:val="66626256"/>
    <w:rsid w:val="667AF758"/>
    <w:rsid w:val="6681BB38"/>
    <w:rsid w:val="66851D8F"/>
    <w:rsid w:val="668BC62E"/>
    <w:rsid w:val="669AFABF"/>
    <w:rsid w:val="66A3B86A"/>
    <w:rsid w:val="66A5D2C7"/>
    <w:rsid w:val="66AD311E"/>
    <w:rsid w:val="66B4B2AC"/>
    <w:rsid w:val="66C1FE88"/>
    <w:rsid w:val="66CA2845"/>
    <w:rsid w:val="66D1CC6C"/>
    <w:rsid w:val="66E78244"/>
    <w:rsid w:val="66EE820F"/>
    <w:rsid w:val="66EF1CA3"/>
    <w:rsid w:val="670667EE"/>
    <w:rsid w:val="670FDD6E"/>
    <w:rsid w:val="6715435F"/>
    <w:rsid w:val="67275A9B"/>
    <w:rsid w:val="6733796A"/>
    <w:rsid w:val="6738547B"/>
    <w:rsid w:val="67426C98"/>
    <w:rsid w:val="6749FCBE"/>
    <w:rsid w:val="674FFBA4"/>
    <w:rsid w:val="675CF76C"/>
    <w:rsid w:val="6763CE5E"/>
    <w:rsid w:val="6768C140"/>
    <w:rsid w:val="6770F441"/>
    <w:rsid w:val="67755AC7"/>
    <w:rsid w:val="67822F58"/>
    <w:rsid w:val="67832B2A"/>
    <w:rsid w:val="678D9FAE"/>
    <w:rsid w:val="679B0D27"/>
    <w:rsid w:val="67A66E9C"/>
    <w:rsid w:val="67BCC855"/>
    <w:rsid w:val="67CE34AB"/>
    <w:rsid w:val="67CE88DC"/>
    <w:rsid w:val="67D7FEEC"/>
    <w:rsid w:val="67DF3D9F"/>
    <w:rsid w:val="67DF5E56"/>
    <w:rsid w:val="67EE663F"/>
    <w:rsid w:val="67FEBF97"/>
    <w:rsid w:val="67FFB0C5"/>
    <w:rsid w:val="6808E618"/>
    <w:rsid w:val="680E8F7D"/>
    <w:rsid w:val="68153359"/>
    <w:rsid w:val="68248ACE"/>
    <w:rsid w:val="682B3F2A"/>
    <w:rsid w:val="6832ECB7"/>
    <w:rsid w:val="6836A62A"/>
    <w:rsid w:val="683FB66A"/>
    <w:rsid w:val="68495A7F"/>
    <w:rsid w:val="684ADF2F"/>
    <w:rsid w:val="684F1D20"/>
    <w:rsid w:val="685FA5BB"/>
    <w:rsid w:val="68720C8A"/>
    <w:rsid w:val="687337D2"/>
    <w:rsid w:val="687931FC"/>
    <w:rsid w:val="68860A38"/>
    <w:rsid w:val="68877E56"/>
    <w:rsid w:val="689EEF4B"/>
    <w:rsid w:val="68A36B0D"/>
    <w:rsid w:val="68AD8507"/>
    <w:rsid w:val="68B0960A"/>
    <w:rsid w:val="68CB691A"/>
    <w:rsid w:val="68DBB5A9"/>
    <w:rsid w:val="68E574CF"/>
    <w:rsid w:val="68F30F54"/>
    <w:rsid w:val="68F8D6DB"/>
    <w:rsid w:val="68FB4ED1"/>
    <w:rsid w:val="68FBC7A2"/>
    <w:rsid w:val="68FE8771"/>
    <w:rsid w:val="69070565"/>
    <w:rsid w:val="69076D90"/>
    <w:rsid w:val="69079FBB"/>
    <w:rsid w:val="690DEE3D"/>
    <w:rsid w:val="691D3A8F"/>
    <w:rsid w:val="6928100F"/>
    <w:rsid w:val="692F460D"/>
    <w:rsid w:val="6934A5B0"/>
    <w:rsid w:val="6934AB9B"/>
    <w:rsid w:val="693A1E35"/>
    <w:rsid w:val="693E57D7"/>
    <w:rsid w:val="694FA420"/>
    <w:rsid w:val="69530539"/>
    <w:rsid w:val="6960CE27"/>
    <w:rsid w:val="69761FAE"/>
    <w:rsid w:val="697BA59C"/>
    <w:rsid w:val="697CDF76"/>
    <w:rsid w:val="697D2AA8"/>
    <w:rsid w:val="697F34EE"/>
    <w:rsid w:val="698C3C12"/>
    <w:rsid w:val="698D326F"/>
    <w:rsid w:val="698EB34F"/>
    <w:rsid w:val="69A9465C"/>
    <w:rsid w:val="69AA240D"/>
    <w:rsid w:val="69ADB9D7"/>
    <w:rsid w:val="69B05C04"/>
    <w:rsid w:val="69B6FA7E"/>
    <w:rsid w:val="69C39300"/>
    <w:rsid w:val="69CB43F7"/>
    <w:rsid w:val="69CD5504"/>
    <w:rsid w:val="69D9C8CD"/>
    <w:rsid w:val="69FB565E"/>
    <w:rsid w:val="6A094CD1"/>
    <w:rsid w:val="6A0B2DC3"/>
    <w:rsid w:val="6A482778"/>
    <w:rsid w:val="6A4CE8B3"/>
    <w:rsid w:val="6A590602"/>
    <w:rsid w:val="6A80E9CF"/>
    <w:rsid w:val="6A8DF4A6"/>
    <w:rsid w:val="6AA2382D"/>
    <w:rsid w:val="6AAAF4F9"/>
    <w:rsid w:val="6AAD303F"/>
    <w:rsid w:val="6AB62C8B"/>
    <w:rsid w:val="6ABABEB1"/>
    <w:rsid w:val="6ACEFBE5"/>
    <w:rsid w:val="6AD394A9"/>
    <w:rsid w:val="6AF08F57"/>
    <w:rsid w:val="6B01C06B"/>
    <w:rsid w:val="6B052DBF"/>
    <w:rsid w:val="6B07E437"/>
    <w:rsid w:val="6B0DE71B"/>
    <w:rsid w:val="6B0F5D7C"/>
    <w:rsid w:val="6B1F2EB4"/>
    <w:rsid w:val="6B2CB218"/>
    <w:rsid w:val="6B2D5867"/>
    <w:rsid w:val="6B36451B"/>
    <w:rsid w:val="6B4CE4DA"/>
    <w:rsid w:val="6B51AC68"/>
    <w:rsid w:val="6B5606DF"/>
    <w:rsid w:val="6B66504B"/>
    <w:rsid w:val="6B665E6F"/>
    <w:rsid w:val="6B6CF058"/>
    <w:rsid w:val="6B71A711"/>
    <w:rsid w:val="6B7454E7"/>
    <w:rsid w:val="6B854129"/>
    <w:rsid w:val="6B85E98F"/>
    <w:rsid w:val="6B85FA2D"/>
    <w:rsid w:val="6B899C5B"/>
    <w:rsid w:val="6B960AE1"/>
    <w:rsid w:val="6B97EA5B"/>
    <w:rsid w:val="6B9BCF49"/>
    <w:rsid w:val="6BC04EA4"/>
    <w:rsid w:val="6BCECB89"/>
    <w:rsid w:val="6BD1DDF4"/>
    <w:rsid w:val="6BE3B893"/>
    <w:rsid w:val="6BE44D96"/>
    <w:rsid w:val="6BEE70ED"/>
    <w:rsid w:val="6BFAE574"/>
    <w:rsid w:val="6C02B939"/>
    <w:rsid w:val="6C1077E6"/>
    <w:rsid w:val="6C119D5E"/>
    <w:rsid w:val="6C12D6B9"/>
    <w:rsid w:val="6C25B24A"/>
    <w:rsid w:val="6C305E21"/>
    <w:rsid w:val="6C3FE2AD"/>
    <w:rsid w:val="6C483C02"/>
    <w:rsid w:val="6C502D65"/>
    <w:rsid w:val="6C5EE1FE"/>
    <w:rsid w:val="6C617832"/>
    <w:rsid w:val="6C62729B"/>
    <w:rsid w:val="6C650EE2"/>
    <w:rsid w:val="6C7D1C44"/>
    <w:rsid w:val="6C85D1AB"/>
    <w:rsid w:val="6C87C017"/>
    <w:rsid w:val="6C900BE9"/>
    <w:rsid w:val="6C992B81"/>
    <w:rsid w:val="6C9AC06D"/>
    <w:rsid w:val="6C9BF307"/>
    <w:rsid w:val="6CB43CC8"/>
    <w:rsid w:val="6CB80D4D"/>
    <w:rsid w:val="6CBA7422"/>
    <w:rsid w:val="6CCE41A4"/>
    <w:rsid w:val="6CCE649B"/>
    <w:rsid w:val="6CD172FA"/>
    <w:rsid w:val="6CD6D971"/>
    <w:rsid w:val="6CDBB7F9"/>
    <w:rsid w:val="6CDBBFC3"/>
    <w:rsid w:val="6CE2CC58"/>
    <w:rsid w:val="6CE73F83"/>
    <w:rsid w:val="6CF00D2F"/>
    <w:rsid w:val="6CF394BD"/>
    <w:rsid w:val="6CFB18AE"/>
    <w:rsid w:val="6D0B7779"/>
    <w:rsid w:val="6D175DA4"/>
    <w:rsid w:val="6D17602C"/>
    <w:rsid w:val="6D1CF6FD"/>
    <w:rsid w:val="6D31E9FF"/>
    <w:rsid w:val="6D393F64"/>
    <w:rsid w:val="6D51BF3E"/>
    <w:rsid w:val="6D54A444"/>
    <w:rsid w:val="6D55450A"/>
    <w:rsid w:val="6D5B2CAA"/>
    <w:rsid w:val="6D5BE483"/>
    <w:rsid w:val="6D7256A4"/>
    <w:rsid w:val="6D74E82A"/>
    <w:rsid w:val="6D7A44E6"/>
    <w:rsid w:val="6D7E955E"/>
    <w:rsid w:val="6D8424EB"/>
    <w:rsid w:val="6D86FA2A"/>
    <w:rsid w:val="6D877B31"/>
    <w:rsid w:val="6D95ED74"/>
    <w:rsid w:val="6D964AF2"/>
    <w:rsid w:val="6D97C393"/>
    <w:rsid w:val="6D9E770F"/>
    <w:rsid w:val="6DAD086E"/>
    <w:rsid w:val="6DB985C6"/>
    <w:rsid w:val="6DC08D0C"/>
    <w:rsid w:val="6DC8B026"/>
    <w:rsid w:val="6DCB0F44"/>
    <w:rsid w:val="6DD0D288"/>
    <w:rsid w:val="6DD4CCE3"/>
    <w:rsid w:val="6DD867AF"/>
    <w:rsid w:val="6DD990C4"/>
    <w:rsid w:val="6DE5603D"/>
    <w:rsid w:val="6DE8E0C3"/>
    <w:rsid w:val="6DED2C9D"/>
    <w:rsid w:val="6DF057CD"/>
    <w:rsid w:val="6DF1F92A"/>
    <w:rsid w:val="6E0A883A"/>
    <w:rsid w:val="6E0BC9B9"/>
    <w:rsid w:val="6E0EBDEB"/>
    <w:rsid w:val="6E20E437"/>
    <w:rsid w:val="6E2317FB"/>
    <w:rsid w:val="6E2A5EBB"/>
    <w:rsid w:val="6E462348"/>
    <w:rsid w:val="6E4D88D7"/>
    <w:rsid w:val="6E4E8999"/>
    <w:rsid w:val="6E4EED99"/>
    <w:rsid w:val="6E645DE7"/>
    <w:rsid w:val="6E6479FA"/>
    <w:rsid w:val="6E69CE89"/>
    <w:rsid w:val="6E768672"/>
    <w:rsid w:val="6E7F366D"/>
    <w:rsid w:val="6E849140"/>
    <w:rsid w:val="6E98F6EE"/>
    <w:rsid w:val="6E9EEB5B"/>
    <w:rsid w:val="6EA850EF"/>
    <w:rsid w:val="6EAAFA8B"/>
    <w:rsid w:val="6EACADFD"/>
    <w:rsid w:val="6EC32CDC"/>
    <w:rsid w:val="6ECEB32B"/>
    <w:rsid w:val="6ED1FFC6"/>
    <w:rsid w:val="6EDD34F6"/>
    <w:rsid w:val="6EDD8F31"/>
    <w:rsid w:val="6EDF6F83"/>
    <w:rsid w:val="6EE8C1D8"/>
    <w:rsid w:val="6EEB14DD"/>
    <w:rsid w:val="6EF0C0F5"/>
    <w:rsid w:val="6EF62172"/>
    <w:rsid w:val="6F000AAE"/>
    <w:rsid w:val="6F018681"/>
    <w:rsid w:val="6F0B77E7"/>
    <w:rsid w:val="6F15D61F"/>
    <w:rsid w:val="6F166356"/>
    <w:rsid w:val="6F20954F"/>
    <w:rsid w:val="6F214B44"/>
    <w:rsid w:val="6F2443D7"/>
    <w:rsid w:val="6F327141"/>
    <w:rsid w:val="6F37DF56"/>
    <w:rsid w:val="6F390F82"/>
    <w:rsid w:val="6F42065D"/>
    <w:rsid w:val="6F423743"/>
    <w:rsid w:val="6F42978D"/>
    <w:rsid w:val="6F43CAC1"/>
    <w:rsid w:val="6F5FFE9F"/>
    <w:rsid w:val="6F6239B6"/>
    <w:rsid w:val="6F682F3C"/>
    <w:rsid w:val="6F6EBF35"/>
    <w:rsid w:val="6F707F09"/>
    <w:rsid w:val="6F79E204"/>
    <w:rsid w:val="6F806A84"/>
    <w:rsid w:val="6F8DD7D6"/>
    <w:rsid w:val="6F92946B"/>
    <w:rsid w:val="6F992237"/>
    <w:rsid w:val="6F9FA5AC"/>
    <w:rsid w:val="6FA353BF"/>
    <w:rsid w:val="6FA9CA70"/>
    <w:rsid w:val="6FB38932"/>
    <w:rsid w:val="6FC1A6AF"/>
    <w:rsid w:val="6FEC19D1"/>
    <w:rsid w:val="6FECF7A1"/>
    <w:rsid w:val="6FF7AA8D"/>
    <w:rsid w:val="70079A3D"/>
    <w:rsid w:val="700AB1BE"/>
    <w:rsid w:val="700F28FB"/>
    <w:rsid w:val="7019EA9F"/>
    <w:rsid w:val="701A983C"/>
    <w:rsid w:val="701D6FE5"/>
    <w:rsid w:val="702A5BE2"/>
    <w:rsid w:val="702A70D8"/>
    <w:rsid w:val="7044F1D4"/>
    <w:rsid w:val="70472348"/>
    <w:rsid w:val="704E738A"/>
    <w:rsid w:val="704EA82E"/>
    <w:rsid w:val="705E95F3"/>
    <w:rsid w:val="706184CB"/>
    <w:rsid w:val="7063AC68"/>
    <w:rsid w:val="706B294F"/>
    <w:rsid w:val="70747736"/>
    <w:rsid w:val="7080C2C1"/>
    <w:rsid w:val="70811238"/>
    <w:rsid w:val="70842609"/>
    <w:rsid w:val="708E1AB7"/>
    <w:rsid w:val="70A26860"/>
    <w:rsid w:val="70A51F70"/>
    <w:rsid w:val="70B3DA48"/>
    <w:rsid w:val="70B6CC24"/>
    <w:rsid w:val="70B775ED"/>
    <w:rsid w:val="70BBC652"/>
    <w:rsid w:val="70C43F0F"/>
    <w:rsid w:val="70CE338B"/>
    <w:rsid w:val="70D08829"/>
    <w:rsid w:val="70D92A87"/>
    <w:rsid w:val="70FFE7C4"/>
    <w:rsid w:val="711834F9"/>
    <w:rsid w:val="7118ED31"/>
    <w:rsid w:val="71199B39"/>
    <w:rsid w:val="71228F5C"/>
    <w:rsid w:val="7123914F"/>
    <w:rsid w:val="713F34B3"/>
    <w:rsid w:val="71416CFE"/>
    <w:rsid w:val="714380A6"/>
    <w:rsid w:val="7155F065"/>
    <w:rsid w:val="71622FB7"/>
    <w:rsid w:val="71634809"/>
    <w:rsid w:val="717E500F"/>
    <w:rsid w:val="717F501A"/>
    <w:rsid w:val="718B669C"/>
    <w:rsid w:val="71911963"/>
    <w:rsid w:val="7199865C"/>
    <w:rsid w:val="719CAB5D"/>
    <w:rsid w:val="719CDC0F"/>
    <w:rsid w:val="71A67B58"/>
    <w:rsid w:val="71B13B9F"/>
    <w:rsid w:val="71B43F81"/>
    <w:rsid w:val="71B59C15"/>
    <w:rsid w:val="71C1F907"/>
    <w:rsid w:val="71C20922"/>
    <w:rsid w:val="71C273C3"/>
    <w:rsid w:val="71DE1B42"/>
    <w:rsid w:val="71DFB85D"/>
    <w:rsid w:val="71E59E63"/>
    <w:rsid w:val="71EA83DD"/>
    <w:rsid w:val="71F0102F"/>
    <w:rsid w:val="72061998"/>
    <w:rsid w:val="7211E8F3"/>
    <w:rsid w:val="7216B98A"/>
    <w:rsid w:val="721DC8EE"/>
    <w:rsid w:val="72259DFC"/>
    <w:rsid w:val="722978C2"/>
    <w:rsid w:val="722DE897"/>
    <w:rsid w:val="7234EAE4"/>
    <w:rsid w:val="72377D47"/>
    <w:rsid w:val="723A0620"/>
    <w:rsid w:val="7246254C"/>
    <w:rsid w:val="724B09A8"/>
    <w:rsid w:val="72543FE1"/>
    <w:rsid w:val="7258889B"/>
    <w:rsid w:val="72603B6D"/>
    <w:rsid w:val="72625A69"/>
    <w:rsid w:val="7272B54E"/>
    <w:rsid w:val="727A8576"/>
    <w:rsid w:val="728318BC"/>
    <w:rsid w:val="728D80E3"/>
    <w:rsid w:val="7291110E"/>
    <w:rsid w:val="729A8671"/>
    <w:rsid w:val="72A17AD0"/>
    <w:rsid w:val="72A55E54"/>
    <w:rsid w:val="72AED59A"/>
    <w:rsid w:val="72AF1595"/>
    <w:rsid w:val="72B9ADDA"/>
    <w:rsid w:val="72BEE5CF"/>
    <w:rsid w:val="72C729FE"/>
    <w:rsid w:val="72CDBA22"/>
    <w:rsid w:val="72D9B7BF"/>
    <w:rsid w:val="72DBA963"/>
    <w:rsid w:val="72DE48A5"/>
    <w:rsid w:val="72E60033"/>
    <w:rsid w:val="72E7D7BE"/>
    <w:rsid w:val="72E9FF60"/>
    <w:rsid w:val="72F3EFBB"/>
    <w:rsid w:val="73001787"/>
    <w:rsid w:val="73006118"/>
    <w:rsid w:val="73010CBB"/>
    <w:rsid w:val="7309CA3C"/>
    <w:rsid w:val="731D38B0"/>
    <w:rsid w:val="7320AE87"/>
    <w:rsid w:val="73255230"/>
    <w:rsid w:val="73291182"/>
    <w:rsid w:val="7330FE5A"/>
    <w:rsid w:val="7332F590"/>
    <w:rsid w:val="733CCB8C"/>
    <w:rsid w:val="7347EE9A"/>
    <w:rsid w:val="7348E475"/>
    <w:rsid w:val="734DF686"/>
    <w:rsid w:val="735ECE7D"/>
    <w:rsid w:val="73662BFA"/>
    <w:rsid w:val="737B1063"/>
    <w:rsid w:val="7386CEB9"/>
    <w:rsid w:val="738CB729"/>
    <w:rsid w:val="738F21C0"/>
    <w:rsid w:val="738F2C90"/>
    <w:rsid w:val="739EDB38"/>
    <w:rsid w:val="73AAE2AB"/>
    <w:rsid w:val="73B7ABC9"/>
    <w:rsid w:val="73C49692"/>
    <w:rsid w:val="73C8325D"/>
    <w:rsid w:val="73CAC21B"/>
    <w:rsid w:val="73D2B7D3"/>
    <w:rsid w:val="73E7028A"/>
    <w:rsid w:val="73EBC971"/>
    <w:rsid w:val="74009EE9"/>
    <w:rsid w:val="740E9367"/>
    <w:rsid w:val="7411ABD3"/>
    <w:rsid w:val="74163A2C"/>
    <w:rsid w:val="74271C73"/>
    <w:rsid w:val="743718AC"/>
    <w:rsid w:val="744866CD"/>
    <w:rsid w:val="7457907E"/>
    <w:rsid w:val="745B7ED1"/>
    <w:rsid w:val="746F6A61"/>
    <w:rsid w:val="74723BF9"/>
    <w:rsid w:val="7477673E"/>
    <w:rsid w:val="7479818B"/>
    <w:rsid w:val="747ACE9D"/>
    <w:rsid w:val="748A29BF"/>
    <w:rsid w:val="748C7793"/>
    <w:rsid w:val="749BED7E"/>
    <w:rsid w:val="74A351C2"/>
    <w:rsid w:val="74A7A0F4"/>
    <w:rsid w:val="74A82ADB"/>
    <w:rsid w:val="74A86C3B"/>
    <w:rsid w:val="74AA3891"/>
    <w:rsid w:val="74B12651"/>
    <w:rsid w:val="74B3D91B"/>
    <w:rsid w:val="74B4952D"/>
    <w:rsid w:val="74B4C6DB"/>
    <w:rsid w:val="74C4507D"/>
    <w:rsid w:val="74CA7368"/>
    <w:rsid w:val="74D04E60"/>
    <w:rsid w:val="74D7B90F"/>
    <w:rsid w:val="74E4C60D"/>
    <w:rsid w:val="74F1B4AA"/>
    <w:rsid w:val="74F3A3D5"/>
    <w:rsid w:val="75077CEC"/>
    <w:rsid w:val="750DA5F1"/>
    <w:rsid w:val="7511DDD4"/>
    <w:rsid w:val="751BEB02"/>
    <w:rsid w:val="7527CBF4"/>
    <w:rsid w:val="752C0F03"/>
    <w:rsid w:val="752E0582"/>
    <w:rsid w:val="75319952"/>
    <w:rsid w:val="7539AB92"/>
    <w:rsid w:val="753A3DCE"/>
    <w:rsid w:val="75427889"/>
    <w:rsid w:val="7554B422"/>
    <w:rsid w:val="7554E6B0"/>
    <w:rsid w:val="755A05DF"/>
    <w:rsid w:val="755B95BE"/>
    <w:rsid w:val="755C553E"/>
    <w:rsid w:val="756848E9"/>
    <w:rsid w:val="756907FB"/>
    <w:rsid w:val="756A654C"/>
    <w:rsid w:val="756DBB81"/>
    <w:rsid w:val="75728EB3"/>
    <w:rsid w:val="757B80F5"/>
    <w:rsid w:val="757CFF8E"/>
    <w:rsid w:val="7593764A"/>
    <w:rsid w:val="759A0E3F"/>
    <w:rsid w:val="75AC1E7A"/>
    <w:rsid w:val="75AF333B"/>
    <w:rsid w:val="75B13ABF"/>
    <w:rsid w:val="75C5F5F6"/>
    <w:rsid w:val="75CC7E4C"/>
    <w:rsid w:val="75CCDC64"/>
    <w:rsid w:val="75D51905"/>
    <w:rsid w:val="75D8B73C"/>
    <w:rsid w:val="75DBB78A"/>
    <w:rsid w:val="75E28A03"/>
    <w:rsid w:val="75E6366A"/>
    <w:rsid w:val="75E6A79D"/>
    <w:rsid w:val="75F150B7"/>
    <w:rsid w:val="75F5409C"/>
    <w:rsid w:val="75FB6D26"/>
    <w:rsid w:val="75FBB8D1"/>
    <w:rsid w:val="760C19BC"/>
    <w:rsid w:val="761181DA"/>
    <w:rsid w:val="7614AD78"/>
    <w:rsid w:val="7616A444"/>
    <w:rsid w:val="761A32D2"/>
    <w:rsid w:val="76248E22"/>
    <w:rsid w:val="7633BAD4"/>
    <w:rsid w:val="76351DE2"/>
    <w:rsid w:val="7635A8A7"/>
    <w:rsid w:val="763A2C75"/>
    <w:rsid w:val="763DC9DB"/>
    <w:rsid w:val="7642370C"/>
    <w:rsid w:val="76431CFE"/>
    <w:rsid w:val="7643E457"/>
    <w:rsid w:val="76482707"/>
    <w:rsid w:val="765F9DBF"/>
    <w:rsid w:val="7664A971"/>
    <w:rsid w:val="76696B3D"/>
    <w:rsid w:val="76727963"/>
    <w:rsid w:val="767682AA"/>
    <w:rsid w:val="767BC98B"/>
    <w:rsid w:val="76A52E25"/>
    <w:rsid w:val="76A9D71F"/>
    <w:rsid w:val="76B219B4"/>
    <w:rsid w:val="76B2AE3C"/>
    <w:rsid w:val="76B57B33"/>
    <w:rsid w:val="76CBC29A"/>
    <w:rsid w:val="76DE0259"/>
    <w:rsid w:val="76E134D6"/>
    <w:rsid w:val="76EBB1EB"/>
    <w:rsid w:val="76F00EA0"/>
    <w:rsid w:val="76F2D4DC"/>
    <w:rsid w:val="76F50BDD"/>
    <w:rsid w:val="76F55B52"/>
    <w:rsid w:val="76FB96F3"/>
    <w:rsid w:val="76FF597E"/>
    <w:rsid w:val="770912CE"/>
    <w:rsid w:val="771F7BCF"/>
    <w:rsid w:val="77211276"/>
    <w:rsid w:val="77372038"/>
    <w:rsid w:val="773F8DF9"/>
    <w:rsid w:val="7743A4DC"/>
    <w:rsid w:val="7749C0B4"/>
    <w:rsid w:val="774C9E85"/>
    <w:rsid w:val="774D253E"/>
    <w:rsid w:val="775E0FC4"/>
    <w:rsid w:val="776A959B"/>
    <w:rsid w:val="77737D4F"/>
    <w:rsid w:val="777BAB63"/>
    <w:rsid w:val="777DFFE1"/>
    <w:rsid w:val="778B31F0"/>
    <w:rsid w:val="779A107E"/>
    <w:rsid w:val="77AC86D2"/>
    <w:rsid w:val="77B07465"/>
    <w:rsid w:val="77B29580"/>
    <w:rsid w:val="77BD510F"/>
    <w:rsid w:val="77C271D9"/>
    <w:rsid w:val="77C4F6F2"/>
    <w:rsid w:val="77DA3C0A"/>
    <w:rsid w:val="77DC0A22"/>
    <w:rsid w:val="77EEFE60"/>
    <w:rsid w:val="77FE71D1"/>
    <w:rsid w:val="7806F73C"/>
    <w:rsid w:val="7818E331"/>
    <w:rsid w:val="781F73B2"/>
    <w:rsid w:val="7844DE8D"/>
    <w:rsid w:val="785028C3"/>
    <w:rsid w:val="7857CF89"/>
    <w:rsid w:val="7865874E"/>
    <w:rsid w:val="78767385"/>
    <w:rsid w:val="78792AD2"/>
    <w:rsid w:val="7893190B"/>
    <w:rsid w:val="7893D71D"/>
    <w:rsid w:val="7898F094"/>
    <w:rsid w:val="78B9CA83"/>
    <w:rsid w:val="78C3300C"/>
    <w:rsid w:val="78C8CF5A"/>
    <w:rsid w:val="78D7DF7E"/>
    <w:rsid w:val="78D9EF60"/>
    <w:rsid w:val="78D9FFF3"/>
    <w:rsid w:val="78E6F551"/>
    <w:rsid w:val="7913F022"/>
    <w:rsid w:val="791A3E35"/>
    <w:rsid w:val="792703EC"/>
    <w:rsid w:val="7929795A"/>
    <w:rsid w:val="792E9AAC"/>
    <w:rsid w:val="794252BA"/>
    <w:rsid w:val="7947D90B"/>
    <w:rsid w:val="7952AE0E"/>
    <w:rsid w:val="79556A47"/>
    <w:rsid w:val="79564143"/>
    <w:rsid w:val="79571394"/>
    <w:rsid w:val="795C8022"/>
    <w:rsid w:val="79668A19"/>
    <w:rsid w:val="79726D91"/>
    <w:rsid w:val="79768D8A"/>
    <w:rsid w:val="7977FD46"/>
    <w:rsid w:val="79794615"/>
    <w:rsid w:val="798AF931"/>
    <w:rsid w:val="7993CD42"/>
    <w:rsid w:val="7998DC20"/>
    <w:rsid w:val="79A09A2D"/>
    <w:rsid w:val="79A6A8C2"/>
    <w:rsid w:val="79A8F06C"/>
    <w:rsid w:val="79AB54CD"/>
    <w:rsid w:val="79AFE88F"/>
    <w:rsid w:val="79B11AD3"/>
    <w:rsid w:val="79B1D7AE"/>
    <w:rsid w:val="79B2F76E"/>
    <w:rsid w:val="79B306AE"/>
    <w:rsid w:val="79B33A9F"/>
    <w:rsid w:val="79BB053D"/>
    <w:rsid w:val="79BFE5FB"/>
    <w:rsid w:val="79C6CD0A"/>
    <w:rsid w:val="79CA38E3"/>
    <w:rsid w:val="79CDF7CE"/>
    <w:rsid w:val="79CE13E9"/>
    <w:rsid w:val="79D2B208"/>
    <w:rsid w:val="79DB2DBE"/>
    <w:rsid w:val="79E42885"/>
    <w:rsid w:val="79E68399"/>
    <w:rsid w:val="79F91524"/>
    <w:rsid w:val="7A024E0E"/>
    <w:rsid w:val="7A0AA812"/>
    <w:rsid w:val="7A0F8D32"/>
    <w:rsid w:val="7A2B51F1"/>
    <w:rsid w:val="7A2CEC0A"/>
    <w:rsid w:val="7A2ECCE7"/>
    <w:rsid w:val="7A2F97F9"/>
    <w:rsid w:val="7A382300"/>
    <w:rsid w:val="7A39CF0C"/>
    <w:rsid w:val="7A3AC9D5"/>
    <w:rsid w:val="7A3CABA0"/>
    <w:rsid w:val="7A493592"/>
    <w:rsid w:val="7A49CBCA"/>
    <w:rsid w:val="7A4BBE25"/>
    <w:rsid w:val="7A4EF572"/>
    <w:rsid w:val="7A5404C7"/>
    <w:rsid w:val="7A73EF6E"/>
    <w:rsid w:val="7A755EDF"/>
    <w:rsid w:val="7A8AA906"/>
    <w:rsid w:val="7A8CD3C2"/>
    <w:rsid w:val="7A93C623"/>
    <w:rsid w:val="7A94DBB0"/>
    <w:rsid w:val="7A9F58D0"/>
    <w:rsid w:val="7AAB0D07"/>
    <w:rsid w:val="7AAC790F"/>
    <w:rsid w:val="7AC2B36D"/>
    <w:rsid w:val="7AC86D23"/>
    <w:rsid w:val="7ACF9018"/>
    <w:rsid w:val="7AD4802A"/>
    <w:rsid w:val="7AD518F0"/>
    <w:rsid w:val="7AD676AB"/>
    <w:rsid w:val="7ADB8949"/>
    <w:rsid w:val="7AE4E1D1"/>
    <w:rsid w:val="7AE816AD"/>
    <w:rsid w:val="7AEA7AD6"/>
    <w:rsid w:val="7AEDA88C"/>
    <w:rsid w:val="7AF92075"/>
    <w:rsid w:val="7AFACF76"/>
    <w:rsid w:val="7AFE00B6"/>
    <w:rsid w:val="7B01D59D"/>
    <w:rsid w:val="7B1902A9"/>
    <w:rsid w:val="7B259AE8"/>
    <w:rsid w:val="7B2DAD38"/>
    <w:rsid w:val="7B34EE67"/>
    <w:rsid w:val="7B4505F4"/>
    <w:rsid w:val="7B485BF0"/>
    <w:rsid w:val="7B499C2A"/>
    <w:rsid w:val="7B4EBE03"/>
    <w:rsid w:val="7B4EEF3C"/>
    <w:rsid w:val="7B562C68"/>
    <w:rsid w:val="7B61674B"/>
    <w:rsid w:val="7B6A13F7"/>
    <w:rsid w:val="7B6AACA7"/>
    <w:rsid w:val="7B6F130D"/>
    <w:rsid w:val="7B7262AD"/>
    <w:rsid w:val="7B72735A"/>
    <w:rsid w:val="7B786F34"/>
    <w:rsid w:val="7B7B4338"/>
    <w:rsid w:val="7B8D4C30"/>
    <w:rsid w:val="7B8DDC20"/>
    <w:rsid w:val="7B960689"/>
    <w:rsid w:val="7B9AE5C5"/>
    <w:rsid w:val="7BAA949F"/>
    <w:rsid w:val="7BAFD1A9"/>
    <w:rsid w:val="7BB529A2"/>
    <w:rsid w:val="7BBC4183"/>
    <w:rsid w:val="7BBEAB07"/>
    <w:rsid w:val="7BBEE0EB"/>
    <w:rsid w:val="7BC0A7AE"/>
    <w:rsid w:val="7BD86F81"/>
    <w:rsid w:val="7BDB4D95"/>
    <w:rsid w:val="7BDCBADC"/>
    <w:rsid w:val="7BDE5F6E"/>
    <w:rsid w:val="7BE21FAC"/>
    <w:rsid w:val="7BEDFCDB"/>
    <w:rsid w:val="7BEFDB02"/>
    <w:rsid w:val="7BF591E6"/>
    <w:rsid w:val="7BFA7214"/>
    <w:rsid w:val="7C0087B3"/>
    <w:rsid w:val="7C012431"/>
    <w:rsid w:val="7C0334BE"/>
    <w:rsid w:val="7C05FCF4"/>
    <w:rsid w:val="7C084CA4"/>
    <w:rsid w:val="7C0CBDCF"/>
    <w:rsid w:val="7C113738"/>
    <w:rsid w:val="7C15AD37"/>
    <w:rsid w:val="7C160004"/>
    <w:rsid w:val="7C452B13"/>
    <w:rsid w:val="7C532DB1"/>
    <w:rsid w:val="7C5734B7"/>
    <w:rsid w:val="7C57EC0F"/>
    <w:rsid w:val="7C6CFBFB"/>
    <w:rsid w:val="7C77CD35"/>
    <w:rsid w:val="7C826B7A"/>
    <w:rsid w:val="7C892D72"/>
    <w:rsid w:val="7C9A6E0E"/>
    <w:rsid w:val="7CA44E26"/>
    <w:rsid w:val="7CB517A1"/>
    <w:rsid w:val="7CC7D3ED"/>
    <w:rsid w:val="7CD6E73B"/>
    <w:rsid w:val="7CE6E08D"/>
    <w:rsid w:val="7CF96602"/>
    <w:rsid w:val="7D012828"/>
    <w:rsid w:val="7D0A14F4"/>
    <w:rsid w:val="7D0BD434"/>
    <w:rsid w:val="7D0C3578"/>
    <w:rsid w:val="7D0C5BBC"/>
    <w:rsid w:val="7D260CCC"/>
    <w:rsid w:val="7D28E3E6"/>
    <w:rsid w:val="7D2E94AB"/>
    <w:rsid w:val="7D3757AC"/>
    <w:rsid w:val="7D3C6D73"/>
    <w:rsid w:val="7D41599B"/>
    <w:rsid w:val="7D4EE4C1"/>
    <w:rsid w:val="7D5B1537"/>
    <w:rsid w:val="7D5FB8A0"/>
    <w:rsid w:val="7D65D214"/>
    <w:rsid w:val="7D65EDFA"/>
    <w:rsid w:val="7D6973DC"/>
    <w:rsid w:val="7D6A7AAA"/>
    <w:rsid w:val="7D7D21DF"/>
    <w:rsid w:val="7D81E744"/>
    <w:rsid w:val="7D8A3400"/>
    <w:rsid w:val="7D8BE238"/>
    <w:rsid w:val="7D9EE0F2"/>
    <w:rsid w:val="7DA561A3"/>
    <w:rsid w:val="7DA65C9C"/>
    <w:rsid w:val="7DA76A77"/>
    <w:rsid w:val="7DC2F1D4"/>
    <w:rsid w:val="7DC7B681"/>
    <w:rsid w:val="7DCADF0D"/>
    <w:rsid w:val="7DD9504A"/>
    <w:rsid w:val="7DE07199"/>
    <w:rsid w:val="7DE173B0"/>
    <w:rsid w:val="7DE18552"/>
    <w:rsid w:val="7E0006F1"/>
    <w:rsid w:val="7E01CD79"/>
    <w:rsid w:val="7E059A56"/>
    <w:rsid w:val="7E084FE5"/>
    <w:rsid w:val="7E0C904F"/>
    <w:rsid w:val="7E0D615F"/>
    <w:rsid w:val="7E29B953"/>
    <w:rsid w:val="7E29C6E6"/>
    <w:rsid w:val="7E333D9F"/>
    <w:rsid w:val="7E3C4AF1"/>
    <w:rsid w:val="7E43A411"/>
    <w:rsid w:val="7E507AA0"/>
    <w:rsid w:val="7E5562C7"/>
    <w:rsid w:val="7E565F97"/>
    <w:rsid w:val="7E588B50"/>
    <w:rsid w:val="7E59CBAF"/>
    <w:rsid w:val="7E6B63CF"/>
    <w:rsid w:val="7E6E3BFD"/>
    <w:rsid w:val="7E6E971A"/>
    <w:rsid w:val="7E782F44"/>
    <w:rsid w:val="7E7B099A"/>
    <w:rsid w:val="7E8B458F"/>
    <w:rsid w:val="7EA31228"/>
    <w:rsid w:val="7EAFC413"/>
    <w:rsid w:val="7EB27934"/>
    <w:rsid w:val="7EB7CE69"/>
    <w:rsid w:val="7EC0D97D"/>
    <w:rsid w:val="7ED9DA1B"/>
    <w:rsid w:val="7EDF93F7"/>
    <w:rsid w:val="7EE5642C"/>
    <w:rsid w:val="7EEC7DBE"/>
    <w:rsid w:val="7EF08F2D"/>
    <w:rsid w:val="7EF25898"/>
    <w:rsid w:val="7F03AC98"/>
    <w:rsid w:val="7F08C7E9"/>
    <w:rsid w:val="7F09B7C4"/>
    <w:rsid w:val="7F0D2D3C"/>
    <w:rsid w:val="7F32EB5F"/>
    <w:rsid w:val="7F35153D"/>
    <w:rsid w:val="7F3C1BFB"/>
    <w:rsid w:val="7F41C585"/>
    <w:rsid w:val="7F4D37B9"/>
    <w:rsid w:val="7F70CB16"/>
    <w:rsid w:val="7F98D87D"/>
    <w:rsid w:val="7F9C91A8"/>
    <w:rsid w:val="7FAEC90C"/>
    <w:rsid w:val="7FAFCE76"/>
    <w:rsid w:val="7FB1FC28"/>
    <w:rsid w:val="7FB3BBC0"/>
    <w:rsid w:val="7FB87BA8"/>
    <w:rsid w:val="7FC178DF"/>
    <w:rsid w:val="7FCCCE5C"/>
    <w:rsid w:val="7FD1BEF0"/>
    <w:rsid w:val="7FDAF4F7"/>
    <w:rsid w:val="7FDB030D"/>
    <w:rsid w:val="7FDF7472"/>
    <w:rsid w:val="7FEE9FAD"/>
    <w:rsid w:val="7FF6D42F"/>
    <w:rsid w:val="7FFBAA0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FD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AE"/>
  </w:style>
  <w:style w:type="paragraph" w:styleId="Heading1">
    <w:name w:val="heading 1"/>
    <w:basedOn w:val="Normal"/>
    <w:link w:val="Heading1Char"/>
    <w:uiPriority w:val="9"/>
    <w:qFormat/>
    <w:rsid w:val="00DD53AE"/>
    <w:pPr>
      <w:jc w:val="center"/>
      <w:outlineLvl w:val="0"/>
    </w:pPr>
    <w:rPr>
      <w:b/>
      <w:bCs/>
      <w:sz w:val="28"/>
    </w:rPr>
  </w:style>
  <w:style w:type="paragraph" w:styleId="Heading2">
    <w:name w:val="heading 2"/>
    <w:basedOn w:val="Normal"/>
    <w:next w:val="Normal"/>
    <w:link w:val="Heading2Char"/>
    <w:uiPriority w:val="9"/>
    <w:unhideWhenUsed/>
    <w:qFormat/>
    <w:rsid w:val="00DD53AE"/>
    <w:pPr>
      <w:contextualSpacing/>
      <w:outlineLvl w:val="1"/>
    </w:pPr>
    <w:rPr>
      <w:b/>
      <w:bCs/>
      <w:sz w:val="22"/>
      <w:szCs w:val="22"/>
    </w:rPr>
  </w:style>
  <w:style w:type="paragraph" w:styleId="Heading3">
    <w:name w:val="heading 3"/>
    <w:basedOn w:val="Heading2"/>
    <w:next w:val="Normal"/>
    <w:link w:val="Heading3Char"/>
    <w:uiPriority w:val="9"/>
    <w:unhideWhenUsed/>
    <w:qFormat/>
    <w:rsid w:val="00DD53AE"/>
    <w:pPr>
      <w:numPr>
        <w:numId w:val="2"/>
      </w:numPr>
      <w:outlineLvl w:val="2"/>
    </w:pPr>
  </w:style>
  <w:style w:type="paragraph" w:styleId="Heading4">
    <w:name w:val="heading 4"/>
    <w:basedOn w:val="Normal"/>
    <w:next w:val="Normal"/>
    <w:link w:val="Heading4Char"/>
    <w:uiPriority w:val="9"/>
    <w:unhideWhenUsed/>
    <w:qFormat/>
    <w:rsid w:val="00DD53AE"/>
    <w:pPr>
      <w:contextualSpacing/>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4045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40456"/>
    <w:rPr>
      <w:rFonts w:ascii="Calibri" w:hAnsi="Calibri" w:cs="Calibri"/>
      <w:lang w:val="en-US"/>
    </w:rPr>
  </w:style>
  <w:style w:type="paragraph" w:customStyle="1" w:styleId="EndNoteBibliography">
    <w:name w:val="EndNote Bibliography"/>
    <w:basedOn w:val="Normal"/>
    <w:link w:val="EndNoteBibliographyChar"/>
    <w:rsid w:val="00240456"/>
    <w:rPr>
      <w:rFonts w:ascii="Calibri" w:hAnsi="Calibri" w:cs="Calibri"/>
      <w:lang w:val="en-US"/>
    </w:rPr>
  </w:style>
  <w:style w:type="character" w:customStyle="1" w:styleId="EndNoteBibliographyChar">
    <w:name w:val="EndNote Bibliography Char"/>
    <w:basedOn w:val="DefaultParagraphFont"/>
    <w:link w:val="EndNoteBibliography"/>
    <w:rsid w:val="00240456"/>
    <w:rPr>
      <w:rFonts w:ascii="Calibri" w:hAnsi="Calibri" w:cs="Calibri"/>
      <w:lang w:val="en-US"/>
    </w:rPr>
  </w:style>
  <w:style w:type="paragraph" w:styleId="BalloonText">
    <w:name w:val="Balloon Text"/>
    <w:basedOn w:val="Normal"/>
    <w:link w:val="BalloonTextChar"/>
    <w:uiPriority w:val="99"/>
    <w:semiHidden/>
    <w:unhideWhenUsed/>
    <w:rsid w:val="002404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456"/>
    <w:rPr>
      <w:rFonts w:ascii="Times New Roman" w:hAnsi="Times New Roman" w:cs="Times New Roman"/>
      <w:sz w:val="18"/>
      <w:szCs w:val="18"/>
    </w:rPr>
  </w:style>
  <w:style w:type="paragraph" w:styleId="ListParagraph">
    <w:name w:val="List Paragraph"/>
    <w:basedOn w:val="Normal"/>
    <w:uiPriority w:val="34"/>
    <w:qFormat/>
    <w:rsid w:val="00652EB1"/>
    <w:pPr>
      <w:ind w:left="720"/>
      <w:contextualSpacing/>
    </w:pPr>
  </w:style>
  <w:style w:type="paragraph" w:styleId="Header">
    <w:name w:val="header"/>
    <w:basedOn w:val="Normal"/>
    <w:link w:val="HeaderChar"/>
    <w:uiPriority w:val="99"/>
    <w:unhideWhenUsed/>
    <w:rsid w:val="00EC7EAF"/>
    <w:pPr>
      <w:tabs>
        <w:tab w:val="center" w:pos="4680"/>
        <w:tab w:val="right" w:pos="9360"/>
      </w:tabs>
    </w:pPr>
  </w:style>
  <w:style w:type="character" w:customStyle="1" w:styleId="HeaderChar">
    <w:name w:val="Header Char"/>
    <w:basedOn w:val="DefaultParagraphFont"/>
    <w:link w:val="Header"/>
    <w:uiPriority w:val="99"/>
    <w:rsid w:val="00EC7EAF"/>
  </w:style>
  <w:style w:type="paragraph" w:styleId="Footer">
    <w:name w:val="footer"/>
    <w:basedOn w:val="Normal"/>
    <w:link w:val="FooterChar"/>
    <w:uiPriority w:val="99"/>
    <w:unhideWhenUsed/>
    <w:rsid w:val="00EC7EAF"/>
    <w:pPr>
      <w:tabs>
        <w:tab w:val="center" w:pos="4680"/>
        <w:tab w:val="right" w:pos="9360"/>
      </w:tabs>
    </w:pPr>
  </w:style>
  <w:style w:type="character" w:customStyle="1" w:styleId="FooterChar">
    <w:name w:val="Footer Char"/>
    <w:basedOn w:val="DefaultParagraphFont"/>
    <w:link w:val="Footer"/>
    <w:uiPriority w:val="99"/>
    <w:rsid w:val="00EC7EAF"/>
  </w:style>
  <w:style w:type="character" w:styleId="CommentReference">
    <w:name w:val="annotation reference"/>
    <w:basedOn w:val="DefaultParagraphFont"/>
    <w:uiPriority w:val="99"/>
    <w:semiHidden/>
    <w:unhideWhenUsed/>
    <w:rsid w:val="00183109"/>
    <w:rPr>
      <w:sz w:val="16"/>
      <w:szCs w:val="16"/>
    </w:rPr>
  </w:style>
  <w:style w:type="paragraph" w:styleId="CommentText">
    <w:name w:val="annotation text"/>
    <w:basedOn w:val="Normal"/>
    <w:link w:val="CommentTextChar"/>
    <w:uiPriority w:val="99"/>
    <w:unhideWhenUsed/>
    <w:rsid w:val="00183109"/>
    <w:rPr>
      <w:sz w:val="20"/>
      <w:szCs w:val="20"/>
    </w:rPr>
  </w:style>
  <w:style w:type="character" w:customStyle="1" w:styleId="CommentTextChar">
    <w:name w:val="Comment Text Char"/>
    <w:basedOn w:val="DefaultParagraphFont"/>
    <w:link w:val="CommentText"/>
    <w:uiPriority w:val="99"/>
    <w:rsid w:val="00183109"/>
    <w:rPr>
      <w:sz w:val="20"/>
      <w:szCs w:val="20"/>
    </w:rPr>
  </w:style>
  <w:style w:type="paragraph" w:styleId="CommentSubject">
    <w:name w:val="annotation subject"/>
    <w:basedOn w:val="CommentText"/>
    <w:next w:val="CommentText"/>
    <w:link w:val="CommentSubjectChar"/>
    <w:uiPriority w:val="99"/>
    <w:semiHidden/>
    <w:unhideWhenUsed/>
    <w:rsid w:val="00183109"/>
    <w:rPr>
      <w:b/>
      <w:bCs/>
    </w:rPr>
  </w:style>
  <w:style w:type="character" w:customStyle="1" w:styleId="CommentSubjectChar">
    <w:name w:val="Comment Subject Char"/>
    <w:basedOn w:val="CommentTextChar"/>
    <w:link w:val="CommentSubject"/>
    <w:uiPriority w:val="99"/>
    <w:semiHidden/>
    <w:rsid w:val="00183109"/>
    <w:rPr>
      <w:b/>
      <w:bCs/>
      <w:sz w:val="20"/>
      <w:szCs w:val="20"/>
    </w:rPr>
  </w:style>
  <w:style w:type="table" w:styleId="TableGrid">
    <w:name w:val="Table Grid"/>
    <w:basedOn w:val="TableNormal"/>
    <w:uiPriority w:val="39"/>
    <w:rsid w:val="007D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789C"/>
  </w:style>
  <w:style w:type="character" w:styleId="Hyperlink">
    <w:name w:val="Hyperlink"/>
    <w:basedOn w:val="DefaultParagraphFont"/>
    <w:uiPriority w:val="99"/>
    <w:unhideWhenUsed/>
    <w:rsid w:val="00834498"/>
    <w:rPr>
      <w:color w:val="0563C1" w:themeColor="hyperlink"/>
      <w:u w:val="single"/>
    </w:rPr>
  </w:style>
  <w:style w:type="character" w:customStyle="1" w:styleId="UnresolvedMention1">
    <w:name w:val="Unresolved Mention1"/>
    <w:basedOn w:val="DefaultParagraphFont"/>
    <w:uiPriority w:val="99"/>
    <w:semiHidden/>
    <w:unhideWhenUsed/>
    <w:rsid w:val="00834498"/>
    <w:rPr>
      <w:color w:val="605E5C"/>
      <w:shd w:val="clear" w:color="auto" w:fill="E1DFDD"/>
    </w:rPr>
  </w:style>
  <w:style w:type="character" w:customStyle="1" w:styleId="UnresolvedMention2">
    <w:name w:val="Unresolved Mention2"/>
    <w:basedOn w:val="DefaultParagraphFont"/>
    <w:uiPriority w:val="99"/>
    <w:semiHidden/>
    <w:unhideWhenUsed/>
    <w:rsid w:val="008D2F0E"/>
    <w:rPr>
      <w:color w:val="605E5C"/>
      <w:shd w:val="clear" w:color="auto" w:fill="E1DFDD"/>
    </w:rPr>
  </w:style>
  <w:style w:type="character" w:styleId="FollowedHyperlink">
    <w:name w:val="FollowedHyperlink"/>
    <w:basedOn w:val="DefaultParagraphFont"/>
    <w:uiPriority w:val="99"/>
    <w:semiHidden/>
    <w:unhideWhenUsed/>
    <w:rsid w:val="001B35DD"/>
    <w:rPr>
      <w:color w:val="954F72" w:themeColor="followedHyperlink"/>
      <w:u w:val="single"/>
    </w:rPr>
  </w:style>
  <w:style w:type="paragraph" w:styleId="NormalWeb">
    <w:name w:val="Normal (Web)"/>
    <w:basedOn w:val="Normal"/>
    <w:uiPriority w:val="99"/>
    <w:unhideWhenUsed/>
    <w:rsid w:val="008D5B1E"/>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71A9D"/>
    <w:rPr>
      <w:sz w:val="20"/>
      <w:szCs w:val="20"/>
    </w:rPr>
  </w:style>
  <w:style w:type="character" w:customStyle="1" w:styleId="FootnoteTextChar">
    <w:name w:val="Footnote Text Char"/>
    <w:basedOn w:val="DefaultParagraphFont"/>
    <w:link w:val="FootnoteText"/>
    <w:uiPriority w:val="99"/>
    <w:semiHidden/>
    <w:rsid w:val="00471A9D"/>
    <w:rPr>
      <w:sz w:val="20"/>
      <w:szCs w:val="20"/>
    </w:rPr>
  </w:style>
  <w:style w:type="character" w:styleId="FootnoteReference">
    <w:name w:val="footnote reference"/>
    <w:basedOn w:val="DefaultParagraphFont"/>
    <w:uiPriority w:val="99"/>
    <w:semiHidden/>
    <w:unhideWhenUsed/>
    <w:rsid w:val="00471A9D"/>
    <w:rPr>
      <w:vertAlign w:val="superscript"/>
    </w:rPr>
  </w:style>
  <w:style w:type="character" w:customStyle="1" w:styleId="UnresolvedMention3">
    <w:name w:val="Unresolved Mention3"/>
    <w:basedOn w:val="DefaultParagraphFont"/>
    <w:uiPriority w:val="99"/>
    <w:semiHidden/>
    <w:unhideWhenUsed/>
    <w:rsid w:val="009969DF"/>
    <w:rPr>
      <w:color w:val="605E5C"/>
      <w:shd w:val="clear" w:color="auto" w:fill="E1DFDD"/>
    </w:rPr>
  </w:style>
  <w:style w:type="paragraph" w:customStyle="1" w:styleId="Default">
    <w:name w:val="Default"/>
    <w:rsid w:val="00AA2E40"/>
    <w:pPr>
      <w:autoSpaceDE w:val="0"/>
      <w:autoSpaceDN w:val="0"/>
      <w:adjustRightInd w:val="0"/>
    </w:pPr>
    <w:rPr>
      <w:rFonts w:ascii="Times New Roman" w:hAnsi="Times New Roman" w:cs="Times New Roman"/>
      <w:color w:val="000000"/>
    </w:rPr>
  </w:style>
  <w:style w:type="paragraph" w:customStyle="1" w:styleId="NormalVerdana">
    <w:name w:val="Normal + Verdana"/>
    <w:aliases w:val="10 pt,Bold"/>
    <w:basedOn w:val="Normal"/>
    <w:rsid w:val="008B100F"/>
    <w:rPr>
      <w:rFonts w:ascii="Verdana" w:eastAsia="MS Mincho" w:hAnsi="Verdana" w:cs="Times New Roman"/>
      <w:sz w:val="20"/>
      <w:szCs w:val="20"/>
      <w:lang w:val="en-US" w:eastAsia="ja-JP"/>
    </w:rPr>
  </w:style>
  <w:style w:type="character" w:customStyle="1" w:styleId="NormalVerdanaChar">
    <w:name w:val="Normal + Verdana Char"/>
    <w:aliases w:val="10 pt Char,Bold Char"/>
    <w:rsid w:val="008B100F"/>
    <w:rPr>
      <w:rFonts w:ascii="Verdana" w:eastAsia="MS Mincho" w:hAnsi="Verdana" w:cs="Palatino-Roman"/>
      <w:lang w:val="en-US" w:eastAsia="ja-JP" w:bidi="ar-SA"/>
    </w:rPr>
  </w:style>
  <w:style w:type="paragraph" w:customStyle="1" w:styleId="Body">
    <w:name w:val="Body"/>
    <w:rsid w:val="00FA30B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UnresolvedMention4">
    <w:name w:val="Unresolved Mention4"/>
    <w:basedOn w:val="DefaultParagraphFont"/>
    <w:uiPriority w:val="99"/>
    <w:semiHidden/>
    <w:unhideWhenUsed/>
    <w:rsid w:val="001F51CA"/>
    <w:rPr>
      <w:color w:val="605E5C"/>
      <w:shd w:val="clear" w:color="auto" w:fill="E1DFDD"/>
    </w:rPr>
  </w:style>
  <w:style w:type="paragraph" w:customStyle="1" w:styleId="m-6533183160982603929msolistparagraph">
    <w:name w:val="m_-6533183160982603929msolistparagraph"/>
    <w:basedOn w:val="Normal"/>
    <w:rsid w:val="00CD2040"/>
    <w:pPr>
      <w:spacing w:before="100" w:beforeAutospacing="1" w:after="100" w:afterAutospacing="1"/>
    </w:pPr>
    <w:rPr>
      <w:rFonts w:ascii="Times New Roman" w:eastAsia="Times New Roman" w:hAnsi="Times New Roman" w:cs="Times New Roman"/>
      <w:lang w:eastAsia="en-CA"/>
    </w:rPr>
  </w:style>
  <w:style w:type="character" w:customStyle="1" w:styleId="UnresolvedMention5">
    <w:name w:val="Unresolved Mention5"/>
    <w:basedOn w:val="DefaultParagraphFont"/>
    <w:uiPriority w:val="99"/>
    <w:semiHidden/>
    <w:unhideWhenUsed/>
    <w:rsid w:val="000131B6"/>
    <w:rPr>
      <w:color w:val="605E5C"/>
      <w:shd w:val="clear" w:color="auto" w:fill="E1DFDD"/>
    </w:rPr>
  </w:style>
  <w:style w:type="character" w:customStyle="1" w:styleId="Heading1Char">
    <w:name w:val="Heading 1 Char"/>
    <w:basedOn w:val="DefaultParagraphFont"/>
    <w:link w:val="Heading1"/>
    <w:uiPriority w:val="9"/>
    <w:rsid w:val="00DD53AE"/>
    <w:rPr>
      <w:b/>
      <w:bCs/>
      <w:sz w:val="28"/>
    </w:rPr>
  </w:style>
  <w:style w:type="paragraph" w:customStyle="1" w:styleId="c-article-info-details">
    <w:name w:val="c-article-info-details"/>
    <w:basedOn w:val="Normal"/>
    <w:rsid w:val="00357B9C"/>
    <w:pPr>
      <w:spacing w:before="100" w:beforeAutospacing="1" w:after="100" w:afterAutospacing="1"/>
    </w:pPr>
    <w:rPr>
      <w:rFonts w:ascii="Times New Roman" w:eastAsia="Times New Roman" w:hAnsi="Times New Roman" w:cs="Times New Roman"/>
      <w:lang w:eastAsia="en-CA"/>
    </w:rPr>
  </w:style>
  <w:style w:type="character" w:customStyle="1" w:styleId="u-visually-hidden">
    <w:name w:val="u-visually-hidden"/>
    <w:basedOn w:val="DefaultParagraphFont"/>
    <w:rsid w:val="00357B9C"/>
  </w:style>
  <w:style w:type="character" w:customStyle="1" w:styleId="Heading2Char">
    <w:name w:val="Heading 2 Char"/>
    <w:basedOn w:val="DefaultParagraphFont"/>
    <w:link w:val="Heading2"/>
    <w:uiPriority w:val="9"/>
    <w:rsid w:val="00DD53AE"/>
    <w:rPr>
      <w:b/>
      <w:bCs/>
      <w:sz w:val="22"/>
      <w:szCs w:val="22"/>
    </w:rPr>
  </w:style>
  <w:style w:type="character" w:customStyle="1" w:styleId="UnresolvedMention6">
    <w:name w:val="Unresolved Mention6"/>
    <w:basedOn w:val="DefaultParagraphFont"/>
    <w:uiPriority w:val="99"/>
    <w:semiHidden/>
    <w:unhideWhenUsed/>
    <w:rsid w:val="00B725CC"/>
    <w:rPr>
      <w:color w:val="605E5C"/>
      <w:shd w:val="clear" w:color="auto" w:fill="E1DFDD"/>
    </w:rPr>
  </w:style>
  <w:style w:type="character" w:customStyle="1" w:styleId="Heading3Char">
    <w:name w:val="Heading 3 Char"/>
    <w:basedOn w:val="DefaultParagraphFont"/>
    <w:link w:val="Heading3"/>
    <w:uiPriority w:val="9"/>
    <w:rsid w:val="00DD53AE"/>
    <w:rPr>
      <w:b/>
      <w:bCs/>
      <w:sz w:val="22"/>
      <w:szCs w:val="22"/>
    </w:rPr>
  </w:style>
  <w:style w:type="character" w:customStyle="1" w:styleId="UnresolvedMention7">
    <w:name w:val="Unresolved Mention7"/>
    <w:basedOn w:val="DefaultParagraphFont"/>
    <w:uiPriority w:val="99"/>
    <w:semiHidden/>
    <w:unhideWhenUsed/>
    <w:rsid w:val="007161D0"/>
    <w:rPr>
      <w:color w:val="605E5C"/>
      <w:shd w:val="clear" w:color="auto" w:fill="E1DFDD"/>
    </w:rPr>
  </w:style>
  <w:style w:type="character" w:customStyle="1" w:styleId="UnresolvedMention8">
    <w:name w:val="Unresolved Mention8"/>
    <w:basedOn w:val="DefaultParagraphFont"/>
    <w:uiPriority w:val="99"/>
    <w:semiHidden/>
    <w:unhideWhenUsed/>
    <w:rsid w:val="0033510F"/>
    <w:rPr>
      <w:color w:val="605E5C"/>
      <w:shd w:val="clear" w:color="auto" w:fill="E1DFDD"/>
    </w:rPr>
  </w:style>
  <w:style w:type="character" w:customStyle="1" w:styleId="normaltextrun">
    <w:name w:val="normaltextrun"/>
    <w:basedOn w:val="DefaultParagraphFont"/>
    <w:rsid w:val="00F90E2C"/>
  </w:style>
  <w:style w:type="paragraph" w:customStyle="1" w:styleId="paragraph">
    <w:name w:val="paragraph"/>
    <w:basedOn w:val="Normal"/>
    <w:rsid w:val="00F90E2C"/>
    <w:pPr>
      <w:spacing w:before="100" w:beforeAutospacing="1" w:after="100" w:afterAutospacing="1"/>
    </w:pPr>
    <w:rPr>
      <w:rFonts w:ascii="Times New Roman" w:eastAsia="Times New Roman" w:hAnsi="Times New Roman" w:cs="Times New Roman"/>
      <w:lang w:eastAsia="en-CA"/>
    </w:rPr>
  </w:style>
  <w:style w:type="character" w:customStyle="1" w:styleId="eop">
    <w:name w:val="eop"/>
    <w:basedOn w:val="DefaultParagraphFont"/>
    <w:rsid w:val="00F90E2C"/>
  </w:style>
  <w:style w:type="paragraph" w:customStyle="1" w:styleId="subsection">
    <w:name w:val="subsection"/>
    <w:basedOn w:val="Normal"/>
    <w:rsid w:val="00DE538D"/>
    <w:pPr>
      <w:spacing w:before="100" w:beforeAutospacing="1" w:after="100" w:afterAutospacing="1"/>
    </w:pPr>
    <w:rPr>
      <w:rFonts w:ascii="Times New Roman" w:eastAsia="Times New Roman" w:hAnsi="Times New Roman" w:cs="Times New Roman"/>
    </w:rPr>
  </w:style>
  <w:style w:type="character" w:customStyle="1" w:styleId="sectionlabel">
    <w:name w:val="sectionlabel"/>
    <w:basedOn w:val="DefaultParagraphFont"/>
    <w:rsid w:val="00DE538D"/>
  </w:style>
  <w:style w:type="paragraph" w:styleId="NoSpacing">
    <w:name w:val="No Spacing"/>
    <w:uiPriority w:val="1"/>
    <w:qFormat/>
  </w:style>
  <w:style w:type="character" w:customStyle="1" w:styleId="highwire-citation-authors">
    <w:name w:val="highwire-citation-authors"/>
    <w:basedOn w:val="DefaultParagraphFont"/>
    <w:rsid w:val="00DB2FA2"/>
  </w:style>
  <w:style w:type="character" w:customStyle="1" w:styleId="highwire-citation-author">
    <w:name w:val="highwire-citation-author"/>
    <w:basedOn w:val="DefaultParagraphFont"/>
    <w:rsid w:val="00DB2FA2"/>
  </w:style>
  <w:style w:type="character" w:customStyle="1" w:styleId="highwire-cite-metadata-journal">
    <w:name w:val="highwire-cite-metadata-journal"/>
    <w:basedOn w:val="DefaultParagraphFont"/>
    <w:rsid w:val="00DB2FA2"/>
  </w:style>
  <w:style w:type="character" w:customStyle="1" w:styleId="highwire-cite-metadata-date">
    <w:name w:val="highwire-cite-metadata-date"/>
    <w:basedOn w:val="DefaultParagraphFont"/>
    <w:rsid w:val="00DB2FA2"/>
  </w:style>
  <w:style w:type="character" w:customStyle="1" w:styleId="highwire-cite-metadata-volume">
    <w:name w:val="highwire-cite-metadata-volume"/>
    <w:basedOn w:val="DefaultParagraphFont"/>
    <w:rsid w:val="00DB2FA2"/>
  </w:style>
  <w:style w:type="character" w:customStyle="1" w:styleId="highwire-cite-metadata-issue">
    <w:name w:val="highwire-cite-metadata-issue"/>
    <w:basedOn w:val="DefaultParagraphFont"/>
    <w:rsid w:val="00DB2FA2"/>
  </w:style>
  <w:style w:type="character" w:customStyle="1" w:styleId="highwire-cite-metadata-pages">
    <w:name w:val="highwire-cite-metadata-pages"/>
    <w:basedOn w:val="DefaultParagraphFont"/>
    <w:rsid w:val="00DB2FA2"/>
  </w:style>
  <w:style w:type="character" w:customStyle="1" w:styleId="highwire-cite-metadata-doi">
    <w:name w:val="highwire-cite-metadata-doi"/>
    <w:basedOn w:val="DefaultParagraphFont"/>
    <w:rsid w:val="00DB2FA2"/>
  </w:style>
  <w:style w:type="character" w:customStyle="1" w:styleId="article-headerjournal">
    <w:name w:val="article-header__journal"/>
    <w:basedOn w:val="DefaultParagraphFont"/>
    <w:rsid w:val="00DB2FA2"/>
  </w:style>
  <w:style w:type="character" w:customStyle="1" w:styleId="article-headersep">
    <w:name w:val="article-header__sep"/>
    <w:basedOn w:val="DefaultParagraphFont"/>
    <w:rsid w:val="00DB2FA2"/>
  </w:style>
  <w:style w:type="character" w:customStyle="1" w:styleId="article-headerpages">
    <w:name w:val="article-header__pages"/>
    <w:basedOn w:val="DefaultParagraphFont"/>
    <w:rsid w:val="00DB2FA2"/>
  </w:style>
  <w:style w:type="character" w:customStyle="1" w:styleId="article-headerdate">
    <w:name w:val="article-header__date"/>
    <w:basedOn w:val="DefaultParagraphFont"/>
    <w:rsid w:val="00DB2FA2"/>
  </w:style>
  <w:style w:type="character" w:customStyle="1" w:styleId="article-headersub-title">
    <w:name w:val="article-header__sub-title"/>
    <w:basedOn w:val="DefaultParagraphFont"/>
    <w:rsid w:val="00DB2FA2"/>
  </w:style>
  <w:style w:type="character" w:customStyle="1" w:styleId="prefix-text-collaborationgroup">
    <w:name w:val="prefix-text-collaborationgroup"/>
    <w:basedOn w:val="DefaultParagraphFont"/>
    <w:rsid w:val="00DB2FA2"/>
  </w:style>
  <w:style w:type="character" w:customStyle="1" w:styleId="article-headerpublish-datelabel">
    <w:name w:val="article-header__publish-date__label"/>
    <w:basedOn w:val="DefaultParagraphFont"/>
    <w:rsid w:val="00DB2FA2"/>
  </w:style>
  <w:style w:type="character" w:customStyle="1" w:styleId="article-headerpublish-datevalue">
    <w:name w:val="article-header__publish-date__value"/>
    <w:basedOn w:val="DefaultParagraphFont"/>
    <w:rsid w:val="00DB2FA2"/>
  </w:style>
  <w:style w:type="character" w:customStyle="1" w:styleId="article-headerdoilabel">
    <w:name w:val="article-header__doi__label"/>
    <w:basedOn w:val="DefaultParagraphFont"/>
    <w:rsid w:val="00DB2FA2"/>
  </w:style>
  <w:style w:type="character" w:styleId="Strong">
    <w:name w:val="Strong"/>
    <w:basedOn w:val="DefaultParagraphFont"/>
    <w:uiPriority w:val="22"/>
    <w:qFormat/>
    <w:rsid w:val="00DB2FA2"/>
    <w:rPr>
      <w:b/>
      <w:bCs/>
    </w:rPr>
  </w:style>
  <w:style w:type="character" w:styleId="Emphasis">
    <w:name w:val="Emphasis"/>
    <w:basedOn w:val="DefaultParagraphFont"/>
    <w:uiPriority w:val="20"/>
    <w:qFormat/>
    <w:rsid w:val="00DB2FA2"/>
    <w:rPr>
      <w:i/>
      <w:iCs/>
    </w:rPr>
  </w:style>
  <w:style w:type="character" w:customStyle="1" w:styleId="Heading4Char">
    <w:name w:val="Heading 4 Char"/>
    <w:basedOn w:val="DefaultParagraphFont"/>
    <w:link w:val="Heading4"/>
    <w:uiPriority w:val="9"/>
    <w:rsid w:val="00DD53AE"/>
    <w:rPr>
      <w:i/>
      <w:iCs/>
      <w:sz w:val="22"/>
      <w:szCs w:val="22"/>
    </w:rPr>
  </w:style>
  <w:style w:type="character" w:customStyle="1" w:styleId="Title1">
    <w:name w:val="Title1"/>
    <w:basedOn w:val="DefaultParagraphFont"/>
    <w:rsid w:val="00622223"/>
  </w:style>
  <w:style w:type="paragraph" w:customStyle="1" w:styleId="contrib-group">
    <w:name w:val="contrib-group"/>
    <w:basedOn w:val="Normal"/>
    <w:rsid w:val="00622223"/>
    <w:pPr>
      <w:spacing w:before="100" w:beforeAutospacing="1" w:after="100" w:afterAutospacing="1"/>
    </w:pPr>
    <w:rPr>
      <w:rFonts w:ascii="Times New Roman" w:eastAsia="Times New Roman" w:hAnsi="Times New Roman" w:cs="Times New Roman"/>
      <w:lang w:eastAsia="en-CA"/>
    </w:rPr>
  </w:style>
  <w:style w:type="paragraph" w:customStyle="1" w:styleId="small">
    <w:name w:val="small"/>
    <w:basedOn w:val="Normal"/>
    <w:rsid w:val="00622223"/>
    <w:pPr>
      <w:spacing w:before="100" w:beforeAutospacing="1" w:after="100" w:afterAutospacing="1"/>
    </w:pPr>
    <w:rPr>
      <w:rFonts w:ascii="Times New Roman" w:eastAsia="Times New Roman" w:hAnsi="Times New Roman" w:cs="Times New Roman"/>
      <w:lang w:eastAsia="en-CA"/>
    </w:rPr>
  </w:style>
  <w:style w:type="paragraph" w:styleId="EndnoteText">
    <w:name w:val="endnote text"/>
    <w:basedOn w:val="Normal"/>
    <w:link w:val="EndnoteTextChar"/>
    <w:uiPriority w:val="99"/>
    <w:semiHidden/>
    <w:unhideWhenUsed/>
    <w:rsid w:val="001C6086"/>
    <w:rPr>
      <w:sz w:val="20"/>
      <w:szCs w:val="20"/>
    </w:rPr>
  </w:style>
  <w:style w:type="character" w:customStyle="1" w:styleId="EndnoteTextChar">
    <w:name w:val="Endnote Text Char"/>
    <w:basedOn w:val="DefaultParagraphFont"/>
    <w:link w:val="EndnoteText"/>
    <w:uiPriority w:val="99"/>
    <w:semiHidden/>
    <w:rsid w:val="001C6086"/>
    <w:rPr>
      <w:sz w:val="20"/>
      <w:szCs w:val="20"/>
    </w:rPr>
  </w:style>
  <w:style w:type="character" w:styleId="EndnoteReference">
    <w:name w:val="endnote reference"/>
    <w:basedOn w:val="DefaultParagraphFont"/>
    <w:uiPriority w:val="99"/>
    <w:semiHidden/>
    <w:unhideWhenUsed/>
    <w:rsid w:val="001C6086"/>
    <w:rPr>
      <w:vertAlign w:val="superscript"/>
    </w:rPr>
  </w:style>
  <w:style w:type="table" w:customStyle="1" w:styleId="TableGrid1">
    <w:name w:val="Table Grid1"/>
    <w:basedOn w:val="TableNormal"/>
    <w:next w:val="TableGrid"/>
    <w:uiPriority w:val="39"/>
    <w:rsid w:val="00F9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AE"/>
  </w:style>
  <w:style w:type="paragraph" w:styleId="Heading1">
    <w:name w:val="heading 1"/>
    <w:basedOn w:val="Normal"/>
    <w:link w:val="Heading1Char"/>
    <w:uiPriority w:val="9"/>
    <w:qFormat/>
    <w:rsid w:val="00DD53AE"/>
    <w:pPr>
      <w:jc w:val="center"/>
      <w:outlineLvl w:val="0"/>
    </w:pPr>
    <w:rPr>
      <w:b/>
      <w:bCs/>
      <w:sz w:val="28"/>
    </w:rPr>
  </w:style>
  <w:style w:type="paragraph" w:styleId="Heading2">
    <w:name w:val="heading 2"/>
    <w:basedOn w:val="Normal"/>
    <w:next w:val="Normal"/>
    <w:link w:val="Heading2Char"/>
    <w:uiPriority w:val="9"/>
    <w:unhideWhenUsed/>
    <w:qFormat/>
    <w:rsid w:val="00DD53AE"/>
    <w:pPr>
      <w:contextualSpacing/>
      <w:outlineLvl w:val="1"/>
    </w:pPr>
    <w:rPr>
      <w:b/>
      <w:bCs/>
      <w:sz w:val="22"/>
      <w:szCs w:val="22"/>
    </w:rPr>
  </w:style>
  <w:style w:type="paragraph" w:styleId="Heading3">
    <w:name w:val="heading 3"/>
    <w:basedOn w:val="Heading2"/>
    <w:next w:val="Normal"/>
    <w:link w:val="Heading3Char"/>
    <w:uiPriority w:val="9"/>
    <w:unhideWhenUsed/>
    <w:qFormat/>
    <w:rsid w:val="00DD53AE"/>
    <w:pPr>
      <w:numPr>
        <w:numId w:val="2"/>
      </w:numPr>
      <w:outlineLvl w:val="2"/>
    </w:pPr>
  </w:style>
  <w:style w:type="paragraph" w:styleId="Heading4">
    <w:name w:val="heading 4"/>
    <w:basedOn w:val="Normal"/>
    <w:next w:val="Normal"/>
    <w:link w:val="Heading4Char"/>
    <w:uiPriority w:val="9"/>
    <w:unhideWhenUsed/>
    <w:qFormat/>
    <w:rsid w:val="00DD53AE"/>
    <w:pPr>
      <w:contextualSpacing/>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4045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40456"/>
    <w:rPr>
      <w:rFonts w:ascii="Calibri" w:hAnsi="Calibri" w:cs="Calibri"/>
      <w:lang w:val="en-US"/>
    </w:rPr>
  </w:style>
  <w:style w:type="paragraph" w:customStyle="1" w:styleId="EndNoteBibliography">
    <w:name w:val="EndNote Bibliography"/>
    <w:basedOn w:val="Normal"/>
    <w:link w:val="EndNoteBibliographyChar"/>
    <w:rsid w:val="00240456"/>
    <w:rPr>
      <w:rFonts w:ascii="Calibri" w:hAnsi="Calibri" w:cs="Calibri"/>
      <w:lang w:val="en-US"/>
    </w:rPr>
  </w:style>
  <w:style w:type="character" w:customStyle="1" w:styleId="EndNoteBibliographyChar">
    <w:name w:val="EndNote Bibliography Char"/>
    <w:basedOn w:val="DefaultParagraphFont"/>
    <w:link w:val="EndNoteBibliography"/>
    <w:rsid w:val="00240456"/>
    <w:rPr>
      <w:rFonts w:ascii="Calibri" w:hAnsi="Calibri" w:cs="Calibri"/>
      <w:lang w:val="en-US"/>
    </w:rPr>
  </w:style>
  <w:style w:type="paragraph" w:styleId="BalloonText">
    <w:name w:val="Balloon Text"/>
    <w:basedOn w:val="Normal"/>
    <w:link w:val="BalloonTextChar"/>
    <w:uiPriority w:val="99"/>
    <w:semiHidden/>
    <w:unhideWhenUsed/>
    <w:rsid w:val="002404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456"/>
    <w:rPr>
      <w:rFonts w:ascii="Times New Roman" w:hAnsi="Times New Roman" w:cs="Times New Roman"/>
      <w:sz w:val="18"/>
      <w:szCs w:val="18"/>
    </w:rPr>
  </w:style>
  <w:style w:type="paragraph" w:styleId="ListParagraph">
    <w:name w:val="List Paragraph"/>
    <w:basedOn w:val="Normal"/>
    <w:uiPriority w:val="34"/>
    <w:qFormat/>
    <w:rsid w:val="00652EB1"/>
    <w:pPr>
      <w:ind w:left="720"/>
      <w:contextualSpacing/>
    </w:pPr>
  </w:style>
  <w:style w:type="paragraph" w:styleId="Header">
    <w:name w:val="header"/>
    <w:basedOn w:val="Normal"/>
    <w:link w:val="HeaderChar"/>
    <w:uiPriority w:val="99"/>
    <w:unhideWhenUsed/>
    <w:rsid w:val="00EC7EAF"/>
    <w:pPr>
      <w:tabs>
        <w:tab w:val="center" w:pos="4680"/>
        <w:tab w:val="right" w:pos="9360"/>
      </w:tabs>
    </w:pPr>
  </w:style>
  <w:style w:type="character" w:customStyle="1" w:styleId="HeaderChar">
    <w:name w:val="Header Char"/>
    <w:basedOn w:val="DefaultParagraphFont"/>
    <w:link w:val="Header"/>
    <w:uiPriority w:val="99"/>
    <w:rsid w:val="00EC7EAF"/>
  </w:style>
  <w:style w:type="paragraph" w:styleId="Footer">
    <w:name w:val="footer"/>
    <w:basedOn w:val="Normal"/>
    <w:link w:val="FooterChar"/>
    <w:uiPriority w:val="99"/>
    <w:unhideWhenUsed/>
    <w:rsid w:val="00EC7EAF"/>
    <w:pPr>
      <w:tabs>
        <w:tab w:val="center" w:pos="4680"/>
        <w:tab w:val="right" w:pos="9360"/>
      </w:tabs>
    </w:pPr>
  </w:style>
  <w:style w:type="character" w:customStyle="1" w:styleId="FooterChar">
    <w:name w:val="Footer Char"/>
    <w:basedOn w:val="DefaultParagraphFont"/>
    <w:link w:val="Footer"/>
    <w:uiPriority w:val="99"/>
    <w:rsid w:val="00EC7EAF"/>
  </w:style>
  <w:style w:type="character" w:styleId="CommentReference">
    <w:name w:val="annotation reference"/>
    <w:basedOn w:val="DefaultParagraphFont"/>
    <w:uiPriority w:val="99"/>
    <w:semiHidden/>
    <w:unhideWhenUsed/>
    <w:rsid w:val="00183109"/>
    <w:rPr>
      <w:sz w:val="16"/>
      <w:szCs w:val="16"/>
    </w:rPr>
  </w:style>
  <w:style w:type="paragraph" w:styleId="CommentText">
    <w:name w:val="annotation text"/>
    <w:basedOn w:val="Normal"/>
    <w:link w:val="CommentTextChar"/>
    <w:uiPriority w:val="99"/>
    <w:unhideWhenUsed/>
    <w:rsid w:val="00183109"/>
    <w:rPr>
      <w:sz w:val="20"/>
      <w:szCs w:val="20"/>
    </w:rPr>
  </w:style>
  <w:style w:type="character" w:customStyle="1" w:styleId="CommentTextChar">
    <w:name w:val="Comment Text Char"/>
    <w:basedOn w:val="DefaultParagraphFont"/>
    <w:link w:val="CommentText"/>
    <w:uiPriority w:val="99"/>
    <w:rsid w:val="00183109"/>
    <w:rPr>
      <w:sz w:val="20"/>
      <w:szCs w:val="20"/>
    </w:rPr>
  </w:style>
  <w:style w:type="paragraph" w:styleId="CommentSubject">
    <w:name w:val="annotation subject"/>
    <w:basedOn w:val="CommentText"/>
    <w:next w:val="CommentText"/>
    <w:link w:val="CommentSubjectChar"/>
    <w:uiPriority w:val="99"/>
    <w:semiHidden/>
    <w:unhideWhenUsed/>
    <w:rsid w:val="00183109"/>
    <w:rPr>
      <w:b/>
      <w:bCs/>
    </w:rPr>
  </w:style>
  <w:style w:type="character" w:customStyle="1" w:styleId="CommentSubjectChar">
    <w:name w:val="Comment Subject Char"/>
    <w:basedOn w:val="CommentTextChar"/>
    <w:link w:val="CommentSubject"/>
    <w:uiPriority w:val="99"/>
    <w:semiHidden/>
    <w:rsid w:val="00183109"/>
    <w:rPr>
      <w:b/>
      <w:bCs/>
      <w:sz w:val="20"/>
      <w:szCs w:val="20"/>
    </w:rPr>
  </w:style>
  <w:style w:type="table" w:styleId="TableGrid">
    <w:name w:val="Table Grid"/>
    <w:basedOn w:val="TableNormal"/>
    <w:uiPriority w:val="39"/>
    <w:rsid w:val="007D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789C"/>
  </w:style>
  <w:style w:type="character" w:styleId="Hyperlink">
    <w:name w:val="Hyperlink"/>
    <w:basedOn w:val="DefaultParagraphFont"/>
    <w:uiPriority w:val="99"/>
    <w:unhideWhenUsed/>
    <w:rsid w:val="00834498"/>
    <w:rPr>
      <w:color w:val="0563C1" w:themeColor="hyperlink"/>
      <w:u w:val="single"/>
    </w:rPr>
  </w:style>
  <w:style w:type="character" w:customStyle="1" w:styleId="UnresolvedMention1">
    <w:name w:val="Unresolved Mention1"/>
    <w:basedOn w:val="DefaultParagraphFont"/>
    <w:uiPriority w:val="99"/>
    <w:semiHidden/>
    <w:unhideWhenUsed/>
    <w:rsid w:val="00834498"/>
    <w:rPr>
      <w:color w:val="605E5C"/>
      <w:shd w:val="clear" w:color="auto" w:fill="E1DFDD"/>
    </w:rPr>
  </w:style>
  <w:style w:type="character" w:customStyle="1" w:styleId="UnresolvedMention2">
    <w:name w:val="Unresolved Mention2"/>
    <w:basedOn w:val="DefaultParagraphFont"/>
    <w:uiPriority w:val="99"/>
    <w:semiHidden/>
    <w:unhideWhenUsed/>
    <w:rsid w:val="008D2F0E"/>
    <w:rPr>
      <w:color w:val="605E5C"/>
      <w:shd w:val="clear" w:color="auto" w:fill="E1DFDD"/>
    </w:rPr>
  </w:style>
  <w:style w:type="character" w:styleId="FollowedHyperlink">
    <w:name w:val="FollowedHyperlink"/>
    <w:basedOn w:val="DefaultParagraphFont"/>
    <w:uiPriority w:val="99"/>
    <w:semiHidden/>
    <w:unhideWhenUsed/>
    <w:rsid w:val="001B35DD"/>
    <w:rPr>
      <w:color w:val="954F72" w:themeColor="followedHyperlink"/>
      <w:u w:val="single"/>
    </w:rPr>
  </w:style>
  <w:style w:type="paragraph" w:styleId="NormalWeb">
    <w:name w:val="Normal (Web)"/>
    <w:basedOn w:val="Normal"/>
    <w:uiPriority w:val="99"/>
    <w:unhideWhenUsed/>
    <w:rsid w:val="008D5B1E"/>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71A9D"/>
    <w:rPr>
      <w:sz w:val="20"/>
      <w:szCs w:val="20"/>
    </w:rPr>
  </w:style>
  <w:style w:type="character" w:customStyle="1" w:styleId="FootnoteTextChar">
    <w:name w:val="Footnote Text Char"/>
    <w:basedOn w:val="DefaultParagraphFont"/>
    <w:link w:val="FootnoteText"/>
    <w:uiPriority w:val="99"/>
    <w:semiHidden/>
    <w:rsid w:val="00471A9D"/>
    <w:rPr>
      <w:sz w:val="20"/>
      <w:szCs w:val="20"/>
    </w:rPr>
  </w:style>
  <w:style w:type="character" w:styleId="FootnoteReference">
    <w:name w:val="footnote reference"/>
    <w:basedOn w:val="DefaultParagraphFont"/>
    <w:uiPriority w:val="99"/>
    <w:semiHidden/>
    <w:unhideWhenUsed/>
    <w:rsid w:val="00471A9D"/>
    <w:rPr>
      <w:vertAlign w:val="superscript"/>
    </w:rPr>
  </w:style>
  <w:style w:type="character" w:customStyle="1" w:styleId="UnresolvedMention3">
    <w:name w:val="Unresolved Mention3"/>
    <w:basedOn w:val="DefaultParagraphFont"/>
    <w:uiPriority w:val="99"/>
    <w:semiHidden/>
    <w:unhideWhenUsed/>
    <w:rsid w:val="009969DF"/>
    <w:rPr>
      <w:color w:val="605E5C"/>
      <w:shd w:val="clear" w:color="auto" w:fill="E1DFDD"/>
    </w:rPr>
  </w:style>
  <w:style w:type="paragraph" w:customStyle="1" w:styleId="Default">
    <w:name w:val="Default"/>
    <w:rsid w:val="00AA2E40"/>
    <w:pPr>
      <w:autoSpaceDE w:val="0"/>
      <w:autoSpaceDN w:val="0"/>
      <w:adjustRightInd w:val="0"/>
    </w:pPr>
    <w:rPr>
      <w:rFonts w:ascii="Times New Roman" w:hAnsi="Times New Roman" w:cs="Times New Roman"/>
      <w:color w:val="000000"/>
    </w:rPr>
  </w:style>
  <w:style w:type="paragraph" w:customStyle="1" w:styleId="NormalVerdana">
    <w:name w:val="Normal + Verdana"/>
    <w:aliases w:val="10 pt,Bold"/>
    <w:basedOn w:val="Normal"/>
    <w:rsid w:val="008B100F"/>
    <w:rPr>
      <w:rFonts w:ascii="Verdana" w:eastAsia="MS Mincho" w:hAnsi="Verdana" w:cs="Times New Roman"/>
      <w:sz w:val="20"/>
      <w:szCs w:val="20"/>
      <w:lang w:val="en-US" w:eastAsia="ja-JP"/>
    </w:rPr>
  </w:style>
  <w:style w:type="character" w:customStyle="1" w:styleId="NormalVerdanaChar">
    <w:name w:val="Normal + Verdana Char"/>
    <w:aliases w:val="10 pt Char,Bold Char"/>
    <w:rsid w:val="008B100F"/>
    <w:rPr>
      <w:rFonts w:ascii="Verdana" w:eastAsia="MS Mincho" w:hAnsi="Verdana" w:cs="Palatino-Roman"/>
      <w:lang w:val="en-US" w:eastAsia="ja-JP" w:bidi="ar-SA"/>
    </w:rPr>
  </w:style>
  <w:style w:type="paragraph" w:customStyle="1" w:styleId="Body">
    <w:name w:val="Body"/>
    <w:rsid w:val="00FA30B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UnresolvedMention4">
    <w:name w:val="Unresolved Mention4"/>
    <w:basedOn w:val="DefaultParagraphFont"/>
    <w:uiPriority w:val="99"/>
    <w:semiHidden/>
    <w:unhideWhenUsed/>
    <w:rsid w:val="001F51CA"/>
    <w:rPr>
      <w:color w:val="605E5C"/>
      <w:shd w:val="clear" w:color="auto" w:fill="E1DFDD"/>
    </w:rPr>
  </w:style>
  <w:style w:type="paragraph" w:customStyle="1" w:styleId="m-6533183160982603929msolistparagraph">
    <w:name w:val="m_-6533183160982603929msolistparagraph"/>
    <w:basedOn w:val="Normal"/>
    <w:rsid w:val="00CD2040"/>
    <w:pPr>
      <w:spacing w:before="100" w:beforeAutospacing="1" w:after="100" w:afterAutospacing="1"/>
    </w:pPr>
    <w:rPr>
      <w:rFonts w:ascii="Times New Roman" w:eastAsia="Times New Roman" w:hAnsi="Times New Roman" w:cs="Times New Roman"/>
      <w:lang w:eastAsia="en-CA"/>
    </w:rPr>
  </w:style>
  <w:style w:type="character" w:customStyle="1" w:styleId="UnresolvedMention5">
    <w:name w:val="Unresolved Mention5"/>
    <w:basedOn w:val="DefaultParagraphFont"/>
    <w:uiPriority w:val="99"/>
    <w:semiHidden/>
    <w:unhideWhenUsed/>
    <w:rsid w:val="000131B6"/>
    <w:rPr>
      <w:color w:val="605E5C"/>
      <w:shd w:val="clear" w:color="auto" w:fill="E1DFDD"/>
    </w:rPr>
  </w:style>
  <w:style w:type="character" w:customStyle="1" w:styleId="Heading1Char">
    <w:name w:val="Heading 1 Char"/>
    <w:basedOn w:val="DefaultParagraphFont"/>
    <w:link w:val="Heading1"/>
    <w:uiPriority w:val="9"/>
    <w:rsid w:val="00DD53AE"/>
    <w:rPr>
      <w:b/>
      <w:bCs/>
      <w:sz w:val="28"/>
    </w:rPr>
  </w:style>
  <w:style w:type="paragraph" w:customStyle="1" w:styleId="c-article-info-details">
    <w:name w:val="c-article-info-details"/>
    <w:basedOn w:val="Normal"/>
    <w:rsid w:val="00357B9C"/>
    <w:pPr>
      <w:spacing w:before="100" w:beforeAutospacing="1" w:after="100" w:afterAutospacing="1"/>
    </w:pPr>
    <w:rPr>
      <w:rFonts w:ascii="Times New Roman" w:eastAsia="Times New Roman" w:hAnsi="Times New Roman" w:cs="Times New Roman"/>
      <w:lang w:eastAsia="en-CA"/>
    </w:rPr>
  </w:style>
  <w:style w:type="character" w:customStyle="1" w:styleId="u-visually-hidden">
    <w:name w:val="u-visually-hidden"/>
    <w:basedOn w:val="DefaultParagraphFont"/>
    <w:rsid w:val="00357B9C"/>
  </w:style>
  <w:style w:type="character" w:customStyle="1" w:styleId="Heading2Char">
    <w:name w:val="Heading 2 Char"/>
    <w:basedOn w:val="DefaultParagraphFont"/>
    <w:link w:val="Heading2"/>
    <w:uiPriority w:val="9"/>
    <w:rsid w:val="00DD53AE"/>
    <w:rPr>
      <w:b/>
      <w:bCs/>
      <w:sz w:val="22"/>
      <w:szCs w:val="22"/>
    </w:rPr>
  </w:style>
  <w:style w:type="character" w:customStyle="1" w:styleId="UnresolvedMention6">
    <w:name w:val="Unresolved Mention6"/>
    <w:basedOn w:val="DefaultParagraphFont"/>
    <w:uiPriority w:val="99"/>
    <w:semiHidden/>
    <w:unhideWhenUsed/>
    <w:rsid w:val="00B725CC"/>
    <w:rPr>
      <w:color w:val="605E5C"/>
      <w:shd w:val="clear" w:color="auto" w:fill="E1DFDD"/>
    </w:rPr>
  </w:style>
  <w:style w:type="character" w:customStyle="1" w:styleId="Heading3Char">
    <w:name w:val="Heading 3 Char"/>
    <w:basedOn w:val="DefaultParagraphFont"/>
    <w:link w:val="Heading3"/>
    <w:uiPriority w:val="9"/>
    <w:rsid w:val="00DD53AE"/>
    <w:rPr>
      <w:b/>
      <w:bCs/>
      <w:sz w:val="22"/>
      <w:szCs w:val="22"/>
    </w:rPr>
  </w:style>
  <w:style w:type="character" w:customStyle="1" w:styleId="UnresolvedMention7">
    <w:name w:val="Unresolved Mention7"/>
    <w:basedOn w:val="DefaultParagraphFont"/>
    <w:uiPriority w:val="99"/>
    <w:semiHidden/>
    <w:unhideWhenUsed/>
    <w:rsid w:val="007161D0"/>
    <w:rPr>
      <w:color w:val="605E5C"/>
      <w:shd w:val="clear" w:color="auto" w:fill="E1DFDD"/>
    </w:rPr>
  </w:style>
  <w:style w:type="character" w:customStyle="1" w:styleId="UnresolvedMention8">
    <w:name w:val="Unresolved Mention8"/>
    <w:basedOn w:val="DefaultParagraphFont"/>
    <w:uiPriority w:val="99"/>
    <w:semiHidden/>
    <w:unhideWhenUsed/>
    <w:rsid w:val="0033510F"/>
    <w:rPr>
      <w:color w:val="605E5C"/>
      <w:shd w:val="clear" w:color="auto" w:fill="E1DFDD"/>
    </w:rPr>
  </w:style>
  <w:style w:type="character" w:customStyle="1" w:styleId="normaltextrun">
    <w:name w:val="normaltextrun"/>
    <w:basedOn w:val="DefaultParagraphFont"/>
    <w:rsid w:val="00F90E2C"/>
  </w:style>
  <w:style w:type="paragraph" w:customStyle="1" w:styleId="paragraph">
    <w:name w:val="paragraph"/>
    <w:basedOn w:val="Normal"/>
    <w:rsid w:val="00F90E2C"/>
    <w:pPr>
      <w:spacing w:before="100" w:beforeAutospacing="1" w:after="100" w:afterAutospacing="1"/>
    </w:pPr>
    <w:rPr>
      <w:rFonts w:ascii="Times New Roman" w:eastAsia="Times New Roman" w:hAnsi="Times New Roman" w:cs="Times New Roman"/>
      <w:lang w:eastAsia="en-CA"/>
    </w:rPr>
  </w:style>
  <w:style w:type="character" w:customStyle="1" w:styleId="eop">
    <w:name w:val="eop"/>
    <w:basedOn w:val="DefaultParagraphFont"/>
    <w:rsid w:val="00F90E2C"/>
  </w:style>
  <w:style w:type="paragraph" w:customStyle="1" w:styleId="subsection">
    <w:name w:val="subsection"/>
    <w:basedOn w:val="Normal"/>
    <w:rsid w:val="00DE538D"/>
    <w:pPr>
      <w:spacing w:before="100" w:beforeAutospacing="1" w:after="100" w:afterAutospacing="1"/>
    </w:pPr>
    <w:rPr>
      <w:rFonts w:ascii="Times New Roman" w:eastAsia="Times New Roman" w:hAnsi="Times New Roman" w:cs="Times New Roman"/>
    </w:rPr>
  </w:style>
  <w:style w:type="character" w:customStyle="1" w:styleId="sectionlabel">
    <w:name w:val="sectionlabel"/>
    <w:basedOn w:val="DefaultParagraphFont"/>
    <w:rsid w:val="00DE538D"/>
  </w:style>
  <w:style w:type="paragraph" w:styleId="NoSpacing">
    <w:name w:val="No Spacing"/>
    <w:uiPriority w:val="1"/>
    <w:qFormat/>
  </w:style>
  <w:style w:type="character" w:customStyle="1" w:styleId="highwire-citation-authors">
    <w:name w:val="highwire-citation-authors"/>
    <w:basedOn w:val="DefaultParagraphFont"/>
    <w:rsid w:val="00DB2FA2"/>
  </w:style>
  <w:style w:type="character" w:customStyle="1" w:styleId="highwire-citation-author">
    <w:name w:val="highwire-citation-author"/>
    <w:basedOn w:val="DefaultParagraphFont"/>
    <w:rsid w:val="00DB2FA2"/>
  </w:style>
  <w:style w:type="character" w:customStyle="1" w:styleId="highwire-cite-metadata-journal">
    <w:name w:val="highwire-cite-metadata-journal"/>
    <w:basedOn w:val="DefaultParagraphFont"/>
    <w:rsid w:val="00DB2FA2"/>
  </w:style>
  <w:style w:type="character" w:customStyle="1" w:styleId="highwire-cite-metadata-date">
    <w:name w:val="highwire-cite-metadata-date"/>
    <w:basedOn w:val="DefaultParagraphFont"/>
    <w:rsid w:val="00DB2FA2"/>
  </w:style>
  <w:style w:type="character" w:customStyle="1" w:styleId="highwire-cite-metadata-volume">
    <w:name w:val="highwire-cite-metadata-volume"/>
    <w:basedOn w:val="DefaultParagraphFont"/>
    <w:rsid w:val="00DB2FA2"/>
  </w:style>
  <w:style w:type="character" w:customStyle="1" w:styleId="highwire-cite-metadata-issue">
    <w:name w:val="highwire-cite-metadata-issue"/>
    <w:basedOn w:val="DefaultParagraphFont"/>
    <w:rsid w:val="00DB2FA2"/>
  </w:style>
  <w:style w:type="character" w:customStyle="1" w:styleId="highwire-cite-metadata-pages">
    <w:name w:val="highwire-cite-metadata-pages"/>
    <w:basedOn w:val="DefaultParagraphFont"/>
    <w:rsid w:val="00DB2FA2"/>
  </w:style>
  <w:style w:type="character" w:customStyle="1" w:styleId="highwire-cite-metadata-doi">
    <w:name w:val="highwire-cite-metadata-doi"/>
    <w:basedOn w:val="DefaultParagraphFont"/>
    <w:rsid w:val="00DB2FA2"/>
  </w:style>
  <w:style w:type="character" w:customStyle="1" w:styleId="article-headerjournal">
    <w:name w:val="article-header__journal"/>
    <w:basedOn w:val="DefaultParagraphFont"/>
    <w:rsid w:val="00DB2FA2"/>
  </w:style>
  <w:style w:type="character" w:customStyle="1" w:styleId="article-headersep">
    <w:name w:val="article-header__sep"/>
    <w:basedOn w:val="DefaultParagraphFont"/>
    <w:rsid w:val="00DB2FA2"/>
  </w:style>
  <w:style w:type="character" w:customStyle="1" w:styleId="article-headerpages">
    <w:name w:val="article-header__pages"/>
    <w:basedOn w:val="DefaultParagraphFont"/>
    <w:rsid w:val="00DB2FA2"/>
  </w:style>
  <w:style w:type="character" w:customStyle="1" w:styleId="article-headerdate">
    <w:name w:val="article-header__date"/>
    <w:basedOn w:val="DefaultParagraphFont"/>
    <w:rsid w:val="00DB2FA2"/>
  </w:style>
  <w:style w:type="character" w:customStyle="1" w:styleId="article-headersub-title">
    <w:name w:val="article-header__sub-title"/>
    <w:basedOn w:val="DefaultParagraphFont"/>
    <w:rsid w:val="00DB2FA2"/>
  </w:style>
  <w:style w:type="character" w:customStyle="1" w:styleId="prefix-text-collaborationgroup">
    <w:name w:val="prefix-text-collaborationgroup"/>
    <w:basedOn w:val="DefaultParagraphFont"/>
    <w:rsid w:val="00DB2FA2"/>
  </w:style>
  <w:style w:type="character" w:customStyle="1" w:styleId="article-headerpublish-datelabel">
    <w:name w:val="article-header__publish-date__label"/>
    <w:basedOn w:val="DefaultParagraphFont"/>
    <w:rsid w:val="00DB2FA2"/>
  </w:style>
  <w:style w:type="character" w:customStyle="1" w:styleId="article-headerpublish-datevalue">
    <w:name w:val="article-header__publish-date__value"/>
    <w:basedOn w:val="DefaultParagraphFont"/>
    <w:rsid w:val="00DB2FA2"/>
  </w:style>
  <w:style w:type="character" w:customStyle="1" w:styleId="article-headerdoilabel">
    <w:name w:val="article-header__doi__label"/>
    <w:basedOn w:val="DefaultParagraphFont"/>
    <w:rsid w:val="00DB2FA2"/>
  </w:style>
  <w:style w:type="character" w:styleId="Strong">
    <w:name w:val="Strong"/>
    <w:basedOn w:val="DefaultParagraphFont"/>
    <w:uiPriority w:val="22"/>
    <w:qFormat/>
    <w:rsid w:val="00DB2FA2"/>
    <w:rPr>
      <w:b/>
      <w:bCs/>
    </w:rPr>
  </w:style>
  <w:style w:type="character" w:styleId="Emphasis">
    <w:name w:val="Emphasis"/>
    <w:basedOn w:val="DefaultParagraphFont"/>
    <w:uiPriority w:val="20"/>
    <w:qFormat/>
    <w:rsid w:val="00DB2FA2"/>
    <w:rPr>
      <w:i/>
      <w:iCs/>
    </w:rPr>
  </w:style>
  <w:style w:type="character" w:customStyle="1" w:styleId="Heading4Char">
    <w:name w:val="Heading 4 Char"/>
    <w:basedOn w:val="DefaultParagraphFont"/>
    <w:link w:val="Heading4"/>
    <w:uiPriority w:val="9"/>
    <w:rsid w:val="00DD53AE"/>
    <w:rPr>
      <w:i/>
      <w:iCs/>
      <w:sz w:val="22"/>
      <w:szCs w:val="22"/>
    </w:rPr>
  </w:style>
  <w:style w:type="character" w:customStyle="1" w:styleId="Title1">
    <w:name w:val="Title1"/>
    <w:basedOn w:val="DefaultParagraphFont"/>
    <w:rsid w:val="00622223"/>
  </w:style>
  <w:style w:type="paragraph" w:customStyle="1" w:styleId="contrib-group">
    <w:name w:val="contrib-group"/>
    <w:basedOn w:val="Normal"/>
    <w:rsid w:val="00622223"/>
    <w:pPr>
      <w:spacing w:before="100" w:beforeAutospacing="1" w:after="100" w:afterAutospacing="1"/>
    </w:pPr>
    <w:rPr>
      <w:rFonts w:ascii="Times New Roman" w:eastAsia="Times New Roman" w:hAnsi="Times New Roman" w:cs="Times New Roman"/>
      <w:lang w:eastAsia="en-CA"/>
    </w:rPr>
  </w:style>
  <w:style w:type="paragraph" w:customStyle="1" w:styleId="small">
    <w:name w:val="small"/>
    <w:basedOn w:val="Normal"/>
    <w:rsid w:val="00622223"/>
    <w:pPr>
      <w:spacing w:before="100" w:beforeAutospacing="1" w:after="100" w:afterAutospacing="1"/>
    </w:pPr>
    <w:rPr>
      <w:rFonts w:ascii="Times New Roman" w:eastAsia="Times New Roman" w:hAnsi="Times New Roman" w:cs="Times New Roman"/>
      <w:lang w:eastAsia="en-CA"/>
    </w:rPr>
  </w:style>
  <w:style w:type="paragraph" w:styleId="EndnoteText">
    <w:name w:val="endnote text"/>
    <w:basedOn w:val="Normal"/>
    <w:link w:val="EndnoteTextChar"/>
    <w:uiPriority w:val="99"/>
    <w:semiHidden/>
    <w:unhideWhenUsed/>
    <w:rsid w:val="001C6086"/>
    <w:rPr>
      <w:sz w:val="20"/>
      <w:szCs w:val="20"/>
    </w:rPr>
  </w:style>
  <w:style w:type="character" w:customStyle="1" w:styleId="EndnoteTextChar">
    <w:name w:val="Endnote Text Char"/>
    <w:basedOn w:val="DefaultParagraphFont"/>
    <w:link w:val="EndnoteText"/>
    <w:uiPriority w:val="99"/>
    <w:semiHidden/>
    <w:rsid w:val="001C6086"/>
    <w:rPr>
      <w:sz w:val="20"/>
      <w:szCs w:val="20"/>
    </w:rPr>
  </w:style>
  <w:style w:type="character" w:styleId="EndnoteReference">
    <w:name w:val="endnote reference"/>
    <w:basedOn w:val="DefaultParagraphFont"/>
    <w:uiPriority w:val="99"/>
    <w:semiHidden/>
    <w:unhideWhenUsed/>
    <w:rsid w:val="001C6086"/>
    <w:rPr>
      <w:vertAlign w:val="superscript"/>
    </w:rPr>
  </w:style>
  <w:style w:type="table" w:customStyle="1" w:styleId="TableGrid1">
    <w:name w:val="Table Grid1"/>
    <w:basedOn w:val="TableNormal"/>
    <w:next w:val="TableGrid"/>
    <w:uiPriority w:val="39"/>
    <w:rsid w:val="00F9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4598">
      <w:bodyDiv w:val="1"/>
      <w:marLeft w:val="0"/>
      <w:marRight w:val="0"/>
      <w:marTop w:val="0"/>
      <w:marBottom w:val="0"/>
      <w:divBdr>
        <w:top w:val="none" w:sz="0" w:space="0" w:color="auto"/>
        <w:left w:val="none" w:sz="0" w:space="0" w:color="auto"/>
        <w:bottom w:val="none" w:sz="0" w:space="0" w:color="auto"/>
        <w:right w:val="none" w:sz="0" w:space="0" w:color="auto"/>
      </w:divBdr>
    </w:div>
    <w:div w:id="181894290">
      <w:bodyDiv w:val="1"/>
      <w:marLeft w:val="0"/>
      <w:marRight w:val="0"/>
      <w:marTop w:val="0"/>
      <w:marBottom w:val="0"/>
      <w:divBdr>
        <w:top w:val="none" w:sz="0" w:space="0" w:color="auto"/>
        <w:left w:val="none" w:sz="0" w:space="0" w:color="auto"/>
        <w:bottom w:val="none" w:sz="0" w:space="0" w:color="auto"/>
        <w:right w:val="none" w:sz="0" w:space="0" w:color="auto"/>
      </w:divBdr>
    </w:div>
    <w:div w:id="267808940">
      <w:bodyDiv w:val="1"/>
      <w:marLeft w:val="0"/>
      <w:marRight w:val="0"/>
      <w:marTop w:val="0"/>
      <w:marBottom w:val="0"/>
      <w:divBdr>
        <w:top w:val="none" w:sz="0" w:space="0" w:color="auto"/>
        <w:left w:val="none" w:sz="0" w:space="0" w:color="auto"/>
        <w:bottom w:val="none" w:sz="0" w:space="0" w:color="auto"/>
        <w:right w:val="none" w:sz="0" w:space="0" w:color="auto"/>
      </w:divBdr>
    </w:div>
    <w:div w:id="331029591">
      <w:bodyDiv w:val="1"/>
      <w:marLeft w:val="0"/>
      <w:marRight w:val="0"/>
      <w:marTop w:val="0"/>
      <w:marBottom w:val="0"/>
      <w:divBdr>
        <w:top w:val="none" w:sz="0" w:space="0" w:color="auto"/>
        <w:left w:val="none" w:sz="0" w:space="0" w:color="auto"/>
        <w:bottom w:val="none" w:sz="0" w:space="0" w:color="auto"/>
        <w:right w:val="none" w:sz="0" w:space="0" w:color="auto"/>
      </w:divBdr>
    </w:div>
    <w:div w:id="440759324">
      <w:bodyDiv w:val="1"/>
      <w:marLeft w:val="0"/>
      <w:marRight w:val="0"/>
      <w:marTop w:val="0"/>
      <w:marBottom w:val="0"/>
      <w:divBdr>
        <w:top w:val="none" w:sz="0" w:space="0" w:color="auto"/>
        <w:left w:val="none" w:sz="0" w:space="0" w:color="auto"/>
        <w:bottom w:val="none" w:sz="0" w:space="0" w:color="auto"/>
        <w:right w:val="none" w:sz="0" w:space="0" w:color="auto"/>
      </w:divBdr>
    </w:div>
    <w:div w:id="467285672">
      <w:bodyDiv w:val="1"/>
      <w:marLeft w:val="0"/>
      <w:marRight w:val="0"/>
      <w:marTop w:val="0"/>
      <w:marBottom w:val="0"/>
      <w:divBdr>
        <w:top w:val="none" w:sz="0" w:space="0" w:color="auto"/>
        <w:left w:val="none" w:sz="0" w:space="0" w:color="auto"/>
        <w:bottom w:val="none" w:sz="0" w:space="0" w:color="auto"/>
        <w:right w:val="none" w:sz="0" w:space="0" w:color="auto"/>
      </w:divBdr>
    </w:div>
    <w:div w:id="539316364">
      <w:bodyDiv w:val="1"/>
      <w:marLeft w:val="0"/>
      <w:marRight w:val="0"/>
      <w:marTop w:val="0"/>
      <w:marBottom w:val="0"/>
      <w:divBdr>
        <w:top w:val="none" w:sz="0" w:space="0" w:color="auto"/>
        <w:left w:val="none" w:sz="0" w:space="0" w:color="auto"/>
        <w:bottom w:val="none" w:sz="0" w:space="0" w:color="auto"/>
        <w:right w:val="none" w:sz="0" w:space="0" w:color="auto"/>
      </w:divBdr>
    </w:div>
    <w:div w:id="679506525">
      <w:bodyDiv w:val="1"/>
      <w:marLeft w:val="0"/>
      <w:marRight w:val="0"/>
      <w:marTop w:val="0"/>
      <w:marBottom w:val="0"/>
      <w:divBdr>
        <w:top w:val="none" w:sz="0" w:space="0" w:color="auto"/>
        <w:left w:val="none" w:sz="0" w:space="0" w:color="auto"/>
        <w:bottom w:val="none" w:sz="0" w:space="0" w:color="auto"/>
        <w:right w:val="none" w:sz="0" w:space="0" w:color="auto"/>
      </w:divBdr>
      <w:divsChild>
        <w:div w:id="14575046">
          <w:marLeft w:val="0"/>
          <w:marRight w:val="0"/>
          <w:marTop w:val="0"/>
          <w:marBottom w:val="0"/>
          <w:divBdr>
            <w:top w:val="none" w:sz="0" w:space="0" w:color="auto"/>
            <w:left w:val="none" w:sz="0" w:space="0" w:color="auto"/>
            <w:bottom w:val="none" w:sz="0" w:space="0" w:color="auto"/>
            <w:right w:val="none" w:sz="0" w:space="0" w:color="auto"/>
          </w:divBdr>
        </w:div>
        <w:div w:id="114104933">
          <w:marLeft w:val="0"/>
          <w:marRight w:val="0"/>
          <w:marTop w:val="0"/>
          <w:marBottom w:val="0"/>
          <w:divBdr>
            <w:top w:val="none" w:sz="0" w:space="0" w:color="auto"/>
            <w:left w:val="none" w:sz="0" w:space="0" w:color="auto"/>
            <w:bottom w:val="none" w:sz="0" w:space="0" w:color="auto"/>
            <w:right w:val="none" w:sz="0" w:space="0" w:color="auto"/>
          </w:divBdr>
        </w:div>
        <w:div w:id="449518498">
          <w:marLeft w:val="0"/>
          <w:marRight w:val="0"/>
          <w:marTop w:val="0"/>
          <w:marBottom w:val="0"/>
          <w:divBdr>
            <w:top w:val="none" w:sz="0" w:space="0" w:color="auto"/>
            <w:left w:val="none" w:sz="0" w:space="0" w:color="auto"/>
            <w:bottom w:val="none" w:sz="0" w:space="0" w:color="auto"/>
            <w:right w:val="none" w:sz="0" w:space="0" w:color="auto"/>
          </w:divBdr>
        </w:div>
        <w:div w:id="712461485">
          <w:marLeft w:val="0"/>
          <w:marRight w:val="0"/>
          <w:marTop w:val="0"/>
          <w:marBottom w:val="0"/>
          <w:divBdr>
            <w:top w:val="none" w:sz="0" w:space="0" w:color="auto"/>
            <w:left w:val="none" w:sz="0" w:space="0" w:color="auto"/>
            <w:bottom w:val="none" w:sz="0" w:space="0" w:color="auto"/>
            <w:right w:val="none" w:sz="0" w:space="0" w:color="auto"/>
          </w:divBdr>
        </w:div>
        <w:div w:id="835262028">
          <w:marLeft w:val="0"/>
          <w:marRight w:val="0"/>
          <w:marTop w:val="0"/>
          <w:marBottom w:val="0"/>
          <w:divBdr>
            <w:top w:val="none" w:sz="0" w:space="0" w:color="auto"/>
            <w:left w:val="none" w:sz="0" w:space="0" w:color="auto"/>
            <w:bottom w:val="none" w:sz="0" w:space="0" w:color="auto"/>
            <w:right w:val="none" w:sz="0" w:space="0" w:color="auto"/>
          </w:divBdr>
        </w:div>
        <w:div w:id="1100489382">
          <w:marLeft w:val="0"/>
          <w:marRight w:val="0"/>
          <w:marTop w:val="0"/>
          <w:marBottom w:val="0"/>
          <w:divBdr>
            <w:top w:val="none" w:sz="0" w:space="0" w:color="auto"/>
            <w:left w:val="none" w:sz="0" w:space="0" w:color="auto"/>
            <w:bottom w:val="none" w:sz="0" w:space="0" w:color="auto"/>
            <w:right w:val="none" w:sz="0" w:space="0" w:color="auto"/>
          </w:divBdr>
        </w:div>
        <w:div w:id="1485927483">
          <w:marLeft w:val="0"/>
          <w:marRight w:val="0"/>
          <w:marTop w:val="0"/>
          <w:marBottom w:val="0"/>
          <w:divBdr>
            <w:top w:val="none" w:sz="0" w:space="0" w:color="auto"/>
            <w:left w:val="none" w:sz="0" w:space="0" w:color="auto"/>
            <w:bottom w:val="none" w:sz="0" w:space="0" w:color="auto"/>
            <w:right w:val="none" w:sz="0" w:space="0" w:color="auto"/>
          </w:divBdr>
        </w:div>
        <w:div w:id="1662082508">
          <w:marLeft w:val="0"/>
          <w:marRight w:val="0"/>
          <w:marTop w:val="0"/>
          <w:marBottom w:val="0"/>
          <w:divBdr>
            <w:top w:val="none" w:sz="0" w:space="0" w:color="auto"/>
            <w:left w:val="none" w:sz="0" w:space="0" w:color="auto"/>
            <w:bottom w:val="none" w:sz="0" w:space="0" w:color="auto"/>
            <w:right w:val="none" w:sz="0" w:space="0" w:color="auto"/>
          </w:divBdr>
        </w:div>
        <w:div w:id="1916278174">
          <w:marLeft w:val="0"/>
          <w:marRight w:val="0"/>
          <w:marTop w:val="0"/>
          <w:marBottom w:val="0"/>
          <w:divBdr>
            <w:top w:val="none" w:sz="0" w:space="0" w:color="auto"/>
            <w:left w:val="none" w:sz="0" w:space="0" w:color="auto"/>
            <w:bottom w:val="none" w:sz="0" w:space="0" w:color="auto"/>
            <w:right w:val="none" w:sz="0" w:space="0" w:color="auto"/>
          </w:divBdr>
        </w:div>
      </w:divsChild>
    </w:div>
    <w:div w:id="734813161">
      <w:bodyDiv w:val="1"/>
      <w:marLeft w:val="0"/>
      <w:marRight w:val="0"/>
      <w:marTop w:val="0"/>
      <w:marBottom w:val="0"/>
      <w:divBdr>
        <w:top w:val="none" w:sz="0" w:space="0" w:color="auto"/>
        <w:left w:val="none" w:sz="0" w:space="0" w:color="auto"/>
        <w:bottom w:val="none" w:sz="0" w:space="0" w:color="auto"/>
        <w:right w:val="none" w:sz="0" w:space="0" w:color="auto"/>
      </w:divBdr>
    </w:div>
    <w:div w:id="899367090">
      <w:bodyDiv w:val="1"/>
      <w:marLeft w:val="0"/>
      <w:marRight w:val="0"/>
      <w:marTop w:val="0"/>
      <w:marBottom w:val="0"/>
      <w:divBdr>
        <w:top w:val="none" w:sz="0" w:space="0" w:color="auto"/>
        <w:left w:val="none" w:sz="0" w:space="0" w:color="auto"/>
        <w:bottom w:val="none" w:sz="0" w:space="0" w:color="auto"/>
        <w:right w:val="none" w:sz="0" w:space="0" w:color="auto"/>
      </w:divBdr>
      <w:divsChild>
        <w:div w:id="19624486">
          <w:marLeft w:val="0"/>
          <w:marRight w:val="0"/>
          <w:marTop w:val="0"/>
          <w:marBottom w:val="0"/>
          <w:divBdr>
            <w:top w:val="none" w:sz="0" w:space="0" w:color="auto"/>
            <w:left w:val="none" w:sz="0" w:space="0" w:color="auto"/>
            <w:bottom w:val="none" w:sz="0" w:space="0" w:color="auto"/>
            <w:right w:val="none" w:sz="0" w:space="0" w:color="auto"/>
          </w:divBdr>
          <w:divsChild>
            <w:div w:id="473252808">
              <w:marLeft w:val="0"/>
              <w:marRight w:val="0"/>
              <w:marTop w:val="0"/>
              <w:marBottom w:val="0"/>
              <w:divBdr>
                <w:top w:val="none" w:sz="0" w:space="0" w:color="auto"/>
                <w:left w:val="none" w:sz="0" w:space="0" w:color="auto"/>
                <w:bottom w:val="none" w:sz="0" w:space="0" w:color="auto"/>
                <w:right w:val="none" w:sz="0" w:space="0" w:color="auto"/>
              </w:divBdr>
            </w:div>
            <w:div w:id="2080789647">
              <w:marLeft w:val="0"/>
              <w:marRight w:val="0"/>
              <w:marTop w:val="0"/>
              <w:marBottom w:val="0"/>
              <w:divBdr>
                <w:top w:val="none" w:sz="0" w:space="0" w:color="auto"/>
                <w:left w:val="none" w:sz="0" w:space="0" w:color="auto"/>
                <w:bottom w:val="none" w:sz="0" w:space="0" w:color="auto"/>
                <w:right w:val="none" w:sz="0" w:space="0" w:color="auto"/>
              </w:divBdr>
            </w:div>
          </w:divsChild>
        </w:div>
        <w:div w:id="384642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6936472">
              <w:marLeft w:val="0"/>
              <w:marRight w:val="0"/>
              <w:marTop w:val="0"/>
              <w:marBottom w:val="0"/>
              <w:divBdr>
                <w:top w:val="none" w:sz="0" w:space="0" w:color="auto"/>
                <w:left w:val="none" w:sz="0" w:space="0" w:color="auto"/>
                <w:bottom w:val="none" w:sz="0" w:space="0" w:color="auto"/>
                <w:right w:val="none" w:sz="0" w:space="0" w:color="auto"/>
              </w:divBdr>
              <w:divsChild>
                <w:div w:id="530997994">
                  <w:marLeft w:val="0"/>
                  <w:marRight w:val="0"/>
                  <w:marTop w:val="0"/>
                  <w:marBottom w:val="0"/>
                  <w:divBdr>
                    <w:top w:val="none" w:sz="0" w:space="0" w:color="auto"/>
                    <w:left w:val="none" w:sz="0" w:space="0" w:color="auto"/>
                    <w:bottom w:val="none" w:sz="0" w:space="0" w:color="auto"/>
                    <w:right w:val="none" w:sz="0" w:space="0" w:color="auto"/>
                  </w:divBdr>
                  <w:divsChild>
                    <w:div w:id="12557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36832">
      <w:bodyDiv w:val="1"/>
      <w:marLeft w:val="0"/>
      <w:marRight w:val="0"/>
      <w:marTop w:val="0"/>
      <w:marBottom w:val="0"/>
      <w:divBdr>
        <w:top w:val="none" w:sz="0" w:space="0" w:color="auto"/>
        <w:left w:val="none" w:sz="0" w:space="0" w:color="auto"/>
        <w:bottom w:val="none" w:sz="0" w:space="0" w:color="auto"/>
        <w:right w:val="none" w:sz="0" w:space="0" w:color="auto"/>
      </w:divBdr>
    </w:div>
    <w:div w:id="943921992">
      <w:bodyDiv w:val="1"/>
      <w:marLeft w:val="0"/>
      <w:marRight w:val="0"/>
      <w:marTop w:val="0"/>
      <w:marBottom w:val="0"/>
      <w:divBdr>
        <w:top w:val="none" w:sz="0" w:space="0" w:color="auto"/>
        <w:left w:val="none" w:sz="0" w:space="0" w:color="auto"/>
        <w:bottom w:val="none" w:sz="0" w:space="0" w:color="auto"/>
        <w:right w:val="none" w:sz="0" w:space="0" w:color="auto"/>
      </w:divBdr>
    </w:div>
    <w:div w:id="970476559">
      <w:bodyDiv w:val="1"/>
      <w:marLeft w:val="0"/>
      <w:marRight w:val="0"/>
      <w:marTop w:val="0"/>
      <w:marBottom w:val="0"/>
      <w:divBdr>
        <w:top w:val="none" w:sz="0" w:space="0" w:color="auto"/>
        <w:left w:val="none" w:sz="0" w:space="0" w:color="auto"/>
        <w:bottom w:val="none" w:sz="0" w:space="0" w:color="auto"/>
        <w:right w:val="none" w:sz="0" w:space="0" w:color="auto"/>
      </w:divBdr>
    </w:div>
    <w:div w:id="1060666173">
      <w:bodyDiv w:val="1"/>
      <w:marLeft w:val="0"/>
      <w:marRight w:val="0"/>
      <w:marTop w:val="0"/>
      <w:marBottom w:val="0"/>
      <w:divBdr>
        <w:top w:val="none" w:sz="0" w:space="0" w:color="auto"/>
        <w:left w:val="none" w:sz="0" w:space="0" w:color="auto"/>
        <w:bottom w:val="none" w:sz="0" w:space="0" w:color="auto"/>
        <w:right w:val="none" w:sz="0" w:space="0" w:color="auto"/>
      </w:divBdr>
    </w:div>
    <w:div w:id="1068990454">
      <w:bodyDiv w:val="1"/>
      <w:marLeft w:val="0"/>
      <w:marRight w:val="0"/>
      <w:marTop w:val="0"/>
      <w:marBottom w:val="0"/>
      <w:divBdr>
        <w:top w:val="none" w:sz="0" w:space="0" w:color="auto"/>
        <w:left w:val="none" w:sz="0" w:space="0" w:color="auto"/>
        <w:bottom w:val="none" w:sz="0" w:space="0" w:color="auto"/>
        <w:right w:val="none" w:sz="0" w:space="0" w:color="auto"/>
      </w:divBdr>
    </w:div>
    <w:div w:id="1072309355">
      <w:bodyDiv w:val="1"/>
      <w:marLeft w:val="0"/>
      <w:marRight w:val="0"/>
      <w:marTop w:val="0"/>
      <w:marBottom w:val="0"/>
      <w:divBdr>
        <w:top w:val="none" w:sz="0" w:space="0" w:color="auto"/>
        <w:left w:val="none" w:sz="0" w:space="0" w:color="auto"/>
        <w:bottom w:val="none" w:sz="0" w:space="0" w:color="auto"/>
        <w:right w:val="none" w:sz="0" w:space="0" w:color="auto"/>
      </w:divBdr>
    </w:div>
    <w:div w:id="1091664149">
      <w:bodyDiv w:val="1"/>
      <w:marLeft w:val="0"/>
      <w:marRight w:val="0"/>
      <w:marTop w:val="0"/>
      <w:marBottom w:val="0"/>
      <w:divBdr>
        <w:top w:val="none" w:sz="0" w:space="0" w:color="auto"/>
        <w:left w:val="none" w:sz="0" w:space="0" w:color="auto"/>
        <w:bottom w:val="none" w:sz="0" w:space="0" w:color="auto"/>
        <w:right w:val="none" w:sz="0" w:space="0" w:color="auto"/>
      </w:divBdr>
    </w:div>
    <w:div w:id="1142842338">
      <w:bodyDiv w:val="1"/>
      <w:marLeft w:val="0"/>
      <w:marRight w:val="0"/>
      <w:marTop w:val="0"/>
      <w:marBottom w:val="0"/>
      <w:divBdr>
        <w:top w:val="none" w:sz="0" w:space="0" w:color="auto"/>
        <w:left w:val="none" w:sz="0" w:space="0" w:color="auto"/>
        <w:bottom w:val="none" w:sz="0" w:space="0" w:color="auto"/>
        <w:right w:val="none" w:sz="0" w:space="0" w:color="auto"/>
      </w:divBdr>
    </w:div>
    <w:div w:id="1162816242">
      <w:bodyDiv w:val="1"/>
      <w:marLeft w:val="0"/>
      <w:marRight w:val="0"/>
      <w:marTop w:val="0"/>
      <w:marBottom w:val="0"/>
      <w:divBdr>
        <w:top w:val="none" w:sz="0" w:space="0" w:color="auto"/>
        <w:left w:val="none" w:sz="0" w:space="0" w:color="auto"/>
        <w:bottom w:val="none" w:sz="0" w:space="0" w:color="auto"/>
        <w:right w:val="none" w:sz="0" w:space="0" w:color="auto"/>
      </w:divBdr>
    </w:div>
    <w:div w:id="1223904831">
      <w:bodyDiv w:val="1"/>
      <w:marLeft w:val="0"/>
      <w:marRight w:val="0"/>
      <w:marTop w:val="0"/>
      <w:marBottom w:val="0"/>
      <w:divBdr>
        <w:top w:val="none" w:sz="0" w:space="0" w:color="auto"/>
        <w:left w:val="none" w:sz="0" w:space="0" w:color="auto"/>
        <w:bottom w:val="none" w:sz="0" w:space="0" w:color="auto"/>
        <w:right w:val="none" w:sz="0" w:space="0" w:color="auto"/>
      </w:divBdr>
    </w:div>
    <w:div w:id="1232934016">
      <w:bodyDiv w:val="1"/>
      <w:marLeft w:val="0"/>
      <w:marRight w:val="0"/>
      <w:marTop w:val="0"/>
      <w:marBottom w:val="0"/>
      <w:divBdr>
        <w:top w:val="none" w:sz="0" w:space="0" w:color="auto"/>
        <w:left w:val="none" w:sz="0" w:space="0" w:color="auto"/>
        <w:bottom w:val="none" w:sz="0" w:space="0" w:color="auto"/>
        <w:right w:val="none" w:sz="0" w:space="0" w:color="auto"/>
      </w:divBdr>
    </w:div>
    <w:div w:id="1233856835">
      <w:bodyDiv w:val="1"/>
      <w:marLeft w:val="0"/>
      <w:marRight w:val="0"/>
      <w:marTop w:val="0"/>
      <w:marBottom w:val="0"/>
      <w:divBdr>
        <w:top w:val="none" w:sz="0" w:space="0" w:color="auto"/>
        <w:left w:val="none" w:sz="0" w:space="0" w:color="auto"/>
        <w:bottom w:val="none" w:sz="0" w:space="0" w:color="auto"/>
        <w:right w:val="none" w:sz="0" w:space="0" w:color="auto"/>
      </w:divBdr>
    </w:div>
    <w:div w:id="1400904615">
      <w:bodyDiv w:val="1"/>
      <w:marLeft w:val="0"/>
      <w:marRight w:val="0"/>
      <w:marTop w:val="0"/>
      <w:marBottom w:val="0"/>
      <w:divBdr>
        <w:top w:val="none" w:sz="0" w:space="0" w:color="auto"/>
        <w:left w:val="none" w:sz="0" w:space="0" w:color="auto"/>
        <w:bottom w:val="none" w:sz="0" w:space="0" w:color="auto"/>
        <w:right w:val="none" w:sz="0" w:space="0" w:color="auto"/>
      </w:divBdr>
    </w:div>
    <w:div w:id="1403986099">
      <w:bodyDiv w:val="1"/>
      <w:marLeft w:val="0"/>
      <w:marRight w:val="0"/>
      <w:marTop w:val="0"/>
      <w:marBottom w:val="0"/>
      <w:divBdr>
        <w:top w:val="none" w:sz="0" w:space="0" w:color="auto"/>
        <w:left w:val="none" w:sz="0" w:space="0" w:color="auto"/>
        <w:bottom w:val="none" w:sz="0" w:space="0" w:color="auto"/>
        <w:right w:val="none" w:sz="0" w:space="0" w:color="auto"/>
      </w:divBdr>
    </w:div>
    <w:div w:id="1416587806">
      <w:bodyDiv w:val="1"/>
      <w:marLeft w:val="0"/>
      <w:marRight w:val="0"/>
      <w:marTop w:val="0"/>
      <w:marBottom w:val="0"/>
      <w:divBdr>
        <w:top w:val="none" w:sz="0" w:space="0" w:color="auto"/>
        <w:left w:val="none" w:sz="0" w:space="0" w:color="auto"/>
        <w:bottom w:val="none" w:sz="0" w:space="0" w:color="auto"/>
        <w:right w:val="none" w:sz="0" w:space="0" w:color="auto"/>
      </w:divBdr>
    </w:div>
    <w:div w:id="1470853619">
      <w:bodyDiv w:val="1"/>
      <w:marLeft w:val="0"/>
      <w:marRight w:val="0"/>
      <w:marTop w:val="0"/>
      <w:marBottom w:val="0"/>
      <w:divBdr>
        <w:top w:val="none" w:sz="0" w:space="0" w:color="auto"/>
        <w:left w:val="none" w:sz="0" w:space="0" w:color="auto"/>
        <w:bottom w:val="none" w:sz="0" w:space="0" w:color="auto"/>
        <w:right w:val="none" w:sz="0" w:space="0" w:color="auto"/>
      </w:divBdr>
      <w:divsChild>
        <w:div w:id="1474442663">
          <w:marLeft w:val="0"/>
          <w:marRight w:val="0"/>
          <w:marTop w:val="0"/>
          <w:marBottom w:val="0"/>
          <w:divBdr>
            <w:top w:val="none" w:sz="0" w:space="0" w:color="auto"/>
            <w:left w:val="none" w:sz="0" w:space="0" w:color="auto"/>
            <w:bottom w:val="none" w:sz="0" w:space="0" w:color="auto"/>
            <w:right w:val="none" w:sz="0" w:space="0" w:color="auto"/>
          </w:divBdr>
          <w:divsChild>
            <w:div w:id="222913695">
              <w:marLeft w:val="0"/>
              <w:marRight w:val="0"/>
              <w:marTop w:val="0"/>
              <w:marBottom w:val="0"/>
              <w:divBdr>
                <w:top w:val="none" w:sz="0" w:space="0" w:color="auto"/>
                <w:left w:val="none" w:sz="0" w:space="0" w:color="auto"/>
                <w:bottom w:val="none" w:sz="0" w:space="0" w:color="auto"/>
                <w:right w:val="none" w:sz="0" w:space="0" w:color="auto"/>
              </w:divBdr>
              <w:divsChild>
                <w:div w:id="1863744324">
                  <w:marLeft w:val="0"/>
                  <w:marRight w:val="0"/>
                  <w:marTop w:val="0"/>
                  <w:marBottom w:val="0"/>
                  <w:divBdr>
                    <w:top w:val="none" w:sz="0" w:space="0" w:color="auto"/>
                    <w:left w:val="none" w:sz="0" w:space="0" w:color="auto"/>
                    <w:bottom w:val="none" w:sz="0" w:space="0" w:color="auto"/>
                    <w:right w:val="none" w:sz="0" w:space="0" w:color="auto"/>
                  </w:divBdr>
                  <w:divsChild>
                    <w:div w:id="8859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1366">
      <w:bodyDiv w:val="1"/>
      <w:marLeft w:val="0"/>
      <w:marRight w:val="0"/>
      <w:marTop w:val="0"/>
      <w:marBottom w:val="0"/>
      <w:divBdr>
        <w:top w:val="none" w:sz="0" w:space="0" w:color="auto"/>
        <w:left w:val="none" w:sz="0" w:space="0" w:color="auto"/>
        <w:bottom w:val="none" w:sz="0" w:space="0" w:color="auto"/>
        <w:right w:val="none" w:sz="0" w:space="0" w:color="auto"/>
      </w:divBdr>
    </w:div>
    <w:div w:id="1721124754">
      <w:bodyDiv w:val="1"/>
      <w:marLeft w:val="0"/>
      <w:marRight w:val="0"/>
      <w:marTop w:val="0"/>
      <w:marBottom w:val="0"/>
      <w:divBdr>
        <w:top w:val="none" w:sz="0" w:space="0" w:color="auto"/>
        <w:left w:val="none" w:sz="0" w:space="0" w:color="auto"/>
        <w:bottom w:val="none" w:sz="0" w:space="0" w:color="auto"/>
        <w:right w:val="none" w:sz="0" w:space="0" w:color="auto"/>
      </w:divBdr>
    </w:div>
    <w:div w:id="1785493904">
      <w:bodyDiv w:val="1"/>
      <w:marLeft w:val="0"/>
      <w:marRight w:val="0"/>
      <w:marTop w:val="0"/>
      <w:marBottom w:val="0"/>
      <w:divBdr>
        <w:top w:val="none" w:sz="0" w:space="0" w:color="auto"/>
        <w:left w:val="none" w:sz="0" w:space="0" w:color="auto"/>
        <w:bottom w:val="none" w:sz="0" w:space="0" w:color="auto"/>
        <w:right w:val="none" w:sz="0" w:space="0" w:color="auto"/>
      </w:divBdr>
    </w:div>
    <w:div w:id="1821655916">
      <w:bodyDiv w:val="1"/>
      <w:marLeft w:val="0"/>
      <w:marRight w:val="0"/>
      <w:marTop w:val="0"/>
      <w:marBottom w:val="0"/>
      <w:divBdr>
        <w:top w:val="none" w:sz="0" w:space="0" w:color="auto"/>
        <w:left w:val="none" w:sz="0" w:space="0" w:color="auto"/>
        <w:bottom w:val="none" w:sz="0" w:space="0" w:color="auto"/>
        <w:right w:val="none" w:sz="0" w:space="0" w:color="auto"/>
      </w:divBdr>
      <w:divsChild>
        <w:div w:id="1025325193">
          <w:marLeft w:val="0"/>
          <w:marRight w:val="0"/>
          <w:marTop w:val="0"/>
          <w:marBottom w:val="0"/>
          <w:divBdr>
            <w:top w:val="none" w:sz="0" w:space="0" w:color="auto"/>
            <w:left w:val="none" w:sz="0" w:space="0" w:color="auto"/>
            <w:bottom w:val="none" w:sz="0" w:space="0" w:color="auto"/>
            <w:right w:val="none" w:sz="0" w:space="0" w:color="auto"/>
          </w:divBdr>
          <w:divsChild>
            <w:div w:id="147332627">
              <w:marLeft w:val="0"/>
              <w:marRight w:val="0"/>
              <w:marTop w:val="0"/>
              <w:marBottom w:val="0"/>
              <w:divBdr>
                <w:top w:val="none" w:sz="0" w:space="0" w:color="auto"/>
                <w:left w:val="none" w:sz="0" w:space="0" w:color="auto"/>
                <w:bottom w:val="none" w:sz="0" w:space="0" w:color="auto"/>
                <w:right w:val="none" w:sz="0" w:space="0" w:color="auto"/>
              </w:divBdr>
              <w:divsChild>
                <w:div w:id="1872376525">
                  <w:marLeft w:val="0"/>
                  <w:marRight w:val="0"/>
                  <w:marTop w:val="0"/>
                  <w:marBottom w:val="0"/>
                  <w:divBdr>
                    <w:top w:val="none" w:sz="0" w:space="0" w:color="auto"/>
                    <w:left w:val="none" w:sz="0" w:space="0" w:color="auto"/>
                    <w:bottom w:val="none" w:sz="0" w:space="0" w:color="auto"/>
                    <w:right w:val="none" w:sz="0" w:space="0" w:color="auto"/>
                  </w:divBdr>
                  <w:divsChild>
                    <w:div w:id="3463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9577">
      <w:bodyDiv w:val="1"/>
      <w:marLeft w:val="0"/>
      <w:marRight w:val="0"/>
      <w:marTop w:val="0"/>
      <w:marBottom w:val="0"/>
      <w:divBdr>
        <w:top w:val="none" w:sz="0" w:space="0" w:color="auto"/>
        <w:left w:val="none" w:sz="0" w:space="0" w:color="auto"/>
        <w:bottom w:val="none" w:sz="0" w:space="0" w:color="auto"/>
        <w:right w:val="none" w:sz="0" w:space="0" w:color="auto"/>
      </w:divBdr>
    </w:div>
    <w:div w:id="2029942820">
      <w:bodyDiv w:val="1"/>
      <w:marLeft w:val="0"/>
      <w:marRight w:val="0"/>
      <w:marTop w:val="0"/>
      <w:marBottom w:val="0"/>
      <w:divBdr>
        <w:top w:val="none" w:sz="0" w:space="0" w:color="auto"/>
        <w:left w:val="none" w:sz="0" w:space="0" w:color="auto"/>
        <w:bottom w:val="none" w:sz="0" w:space="0" w:color="auto"/>
        <w:right w:val="none" w:sz="0" w:space="0" w:color="auto"/>
      </w:divBdr>
    </w:div>
    <w:div w:id="21345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cdrop.mcmaster.ca/s/PoGMyw848Wipz88" TargetMode="External"/><Relationship Id="rId18" Type="http://schemas.openxmlformats.org/officeDocument/2006/relationships/hyperlink" Target="https://tools.cep.health/tool/covid-19-social-care-guidance/" TargetMode="External"/><Relationship Id="rId26" Type="http://schemas.openxmlformats.org/officeDocument/2006/relationships/hyperlink" Target="https://www.dal.ca/sites/gmr/our-tools/clinical-frailty-scale.html" TargetMode="External"/><Relationship Id="rId3" Type="http://schemas.openxmlformats.org/officeDocument/2006/relationships/customXml" Target="../customXml/item3.xml"/><Relationship Id="rId21" Type="http://schemas.openxmlformats.org/officeDocument/2006/relationships/hyperlink" Target="https://www.researchgate.net/profile/Barry_Flanagan/publication/274439003_A_Social_Vulnerability_Index_for_Disaster_Management/links/569e582d08ae192a92a4a2fd.pdf" TargetMode="External"/><Relationship Id="rId7" Type="http://schemas.microsoft.com/office/2007/relationships/stylesWithEffects" Target="stylesWithEffects.xml"/><Relationship Id="rId12" Type="http://schemas.openxmlformats.org/officeDocument/2006/relationships/hyperlink" Target="https://macdrop.mcmaster.ca/s/PoGMyw848Wipz88" TargetMode="External"/><Relationship Id="rId17" Type="http://schemas.openxmlformats.org/officeDocument/2006/relationships/hyperlink" Target="https://www.ontario.ca/laws/statute/90h19" TargetMode="External"/><Relationship Id="rId25" Type="http://schemas.openxmlformats.org/officeDocument/2006/relationships/image" Target="media/image1.png"/><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jcb.utoronto.ca/news/documents/Ontario-COVID-19-Health-System-Response-Bioethics-Table-Charter-and-Terms-of-Reference.pdf" TargetMode="External"/><Relationship Id="rId20" Type="http://schemas.openxmlformats.org/officeDocument/2006/relationships/hyperlink" Target="https://www.mededportal.org/anti-raci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journal.chestnet.org/article/S0012-3692(12)60072-5/abstrac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cog-acrin.org/resources/ecog-performance-statu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fp.ca/content/cfp/63/11/e476.ful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mdapp.co/trauma-injury-severity-score-triss-calculator-277/" TargetMode="External"/><Relationship Id="rId27" Type="http://schemas.openxmlformats.org/officeDocument/2006/relationships/hyperlink" Target="file:///C:\Users\slau\AppData\Local\Microsoft\Windows\INetCache\Content.Outlook\9AVYBCXO\&#8226;%09https:\www.dal.ca\sites\gmr\our-tools\clinical-frailty-scale\cfs-guidance.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ohrc.on.ca/en/policy-statement-human-rights-based-approach-managing-covid-19-pandemic" TargetMode="External"/><Relationship Id="rId13" Type="http://schemas.openxmlformats.org/officeDocument/2006/relationships/hyperlink" Target="https://archdisabilitylaw.ca/resource/submissions-and-recommendations-regarding-ontarios-triage-protocol-draft/" TargetMode="External"/><Relationship Id="rId18" Type="http://schemas.openxmlformats.org/officeDocument/2006/relationships/hyperlink" Target="https://www.ncbi.nlm.nih.gov/books/NBK559009/" TargetMode="External"/><Relationship Id="rId3" Type="http://schemas.openxmlformats.org/officeDocument/2006/relationships/hyperlink" Target="https://dredf.org/avoiding-disability-based-discrimination-in-treatment-rationing/" TargetMode="External"/><Relationship Id="rId7" Type="http://schemas.openxmlformats.org/officeDocument/2006/relationships/hyperlink" Target="https://aoda.ca/what-must-be-done-to-make-ontarios-health-care-system-fully-accessible-to-patients-with-disabilities-check-out-the-aoda-alliances-finalized-framework-for-the-promised-health-care-accessibility-st/" TargetMode="External"/><Relationship Id="rId12" Type="http://schemas.openxmlformats.org/officeDocument/2006/relationships/hyperlink" Target="http://www.ohrc.on.ca/en/news_centre/letter-presidentceo-ontario-health-re-covid-19-triage-protocol-data-collection-essential-support" TargetMode="External"/><Relationship Id="rId17" Type="http://schemas.openxmlformats.org/officeDocument/2006/relationships/hyperlink" Target="https://www.ethics.va.gov/docs/pandemicflu/Meeting_the_Challenge_of_Pan_Flu-Ethical_Guidance_VHA_20100701.pdf" TargetMode="External"/><Relationship Id="rId2" Type="http://schemas.openxmlformats.org/officeDocument/2006/relationships/hyperlink" Target="http://www.utoronto.ca/jcb/home/documents/pandemic.pdf" TargetMode="External"/><Relationship Id="rId16" Type="http://schemas.openxmlformats.org/officeDocument/2006/relationships/hyperlink" Target="https://www.goldstandardsframework.org.uk/cd-content/uploads/files/General%20Files/Prognostic%20Indicator%20Guidance%20October%202011.pdf" TargetMode="External"/><Relationship Id="rId1" Type="http://schemas.openxmlformats.org/officeDocument/2006/relationships/hyperlink" Target="https://www.criticalcareontario.ca/EN/Documents/Ontarios%20Critical%20Care%20Moderate%20Surge%20Response%20Guide%20September%202019.pdf" TargetMode="External"/><Relationship Id="rId6" Type="http://schemas.openxmlformats.org/officeDocument/2006/relationships/hyperlink" Target="http://www3.ohrc.on.ca/sites/default/files/Guide%20to%20Your%20Rights%20and%20Responsibilities%20Under%20the%20Code_2013.pdf" TargetMode="External"/><Relationship Id="rId11" Type="http://schemas.openxmlformats.org/officeDocument/2006/relationships/hyperlink" Target="https://www.thehastingscenter.org/confronting-disability-discrimination-during-the-pandemic/" TargetMode="External"/><Relationship Id="rId5" Type="http://schemas.openxmlformats.org/officeDocument/2006/relationships/hyperlink" Target="http://unesdoc.unesco.org/images/0014/001461/146180E.pdf" TargetMode="External"/><Relationship Id="rId15" Type="http://schemas.openxmlformats.org/officeDocument/2006/relationships/hyperlink" Target="https://www.carp.ca/2020/05/11/carp-weighs-in-on-covid-19-triage-protocols-with-ontario-human-rights-commission/" TargetMode="External"/><Relationship Id="rId10" Type="http://schemas.openxmlformats.org/officeDocument/2006/relationships/hyperlink" Target="http://www.wellesleyinstitute.com/wp-content/uploads/2012/02/Colour-Coded-Health-Care-Sheryl-Nestel.pdf" TargetMode="External"/><Relationship Id="rId4" Type="http://schemas.openxmlformats.org/officeDocument/2006/relationships/hyperlink" Target="http://www.bazelon.org/wp-content/uploads/2020/04/4-9-20-Evaluation-framework-for-crisis-standards-of-care-plans_final.pdf" TargetMode="External"/><Relationship Id="rId9" Type="http://schemas.openxmlformats.org/officeDocument/2006/relationships/hyperlink" Target="https://yellowheadinstitute.org/2020/05/12/colonialism-of-the-curve-indigenous-communities-and-bad-covid-data/" TargetMode="External"/><Relationship Id="rId14" Type="http://schemas.openxmlformats.org/officeDocument/2006/relationships/hyperlink" Target="https://www.aodaalliance.org/whats-new/ensuring-that-patients-with-disabilities-dont-face-discrimination-in-access-to-critical-medical-care-if-there-is-a-second-wave-of-covid-19-that-overwhelms-ontario-hospitals-a-new-brief-by-the-aod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odaalliance.org/whats-new/a-discussion-paper-on-ensuring-that-medical-triage-or-rationing-of-health-care-services-during-the-covid-19-crisis-does-not-discriminate-against-patients-with-disabilities/" TargetMode="External"/><Relationship Id="rId7" Type="http://schemas.openxmlformats.org/officeDocument/2006/relationships/hyperlink" Target="http://www.health.gov.on.ca/en/pro/programs/heia/" TargetMode="External"/><Relationship Id="rId2" Type="http://schemas.openxmlformats.org/officeDocument/2006/relationships/hyperlink" Target="https://www.criticalcareontario.ca/EN/Library/Surge%20Capacity%20Management/Pages/default.aspx" TargetMode="External"/><Relationship Id="rId1" Type="http://schemas.openxmlformats.org/officeDocument/2006/relationships/hyperlink" Target="https://www.criticalcareontario.ca/EN/AboutUs/Pages/What-is-Critical-Care.aspx" TargetMode="External"/><Relationship Id="rId6" Type="http://schemas.openxmlformats.org/officeDocument/2006/relationships/hyperlink" Target="https://ccm.pitt.edu/sites/default/files/UnivPittsburgh_ModelHospitalResourcePolicy_2020_04_15.pdf" TargetMode="External"/><Relationship Id="rId5" Type="http://schemas.openxmlformats.org/officeDocument/2006/relationships/hyperlink" Target="https://soahac.on.ca/ics-training/" TargetMode="External"/><Relationship Id="rId4" Type="http://schemas.openxmlformats.org/officeDocument/2006/relationships/hyperlink" Target="file:///C:\Users\maxwe\Desktop\Footnote%20Endnote%20experiment\www.sany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B4A22BA2DF442ABC35D99F94B85B0" ma:contentTypeVersion="8" ma:contentTypeDescription="Create a new document." ma:contentTypeScope="" ma:versionID="4fd88f978c44fdb7411631843483dbc7">
  <xsd:schema xmlns:xsd="http://www.w3.org/2001/XMLSchema" xmlns:xs="http://www.w3.org/2001/XMLSchema" xmlns:p="http://schemas.microsoft.com/office/2006/metadata/properties" xmlns:ns2="1b080b1a-4a1d-4e15-b18a-07e8c13d22b8" xmlns:ns3="f5ef2b9c-0202-4d8b-926a-9cabb5787888" targetNamespace="http://schemas.microsoft.com/office/2006/metadata/properties" ma:root="true" ma:fieldsID="44d044d385caaf88d3d3be8e27577e71" ns2:_="" ns3:_="">
    <xsd:import namespace="1b080b1a-4a1d-4e15-b18a-07e8c13d22b8"/>
    <xsd:import namespace="f5ef2b9c-0202-4d8b-926a-9cabb5787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80b1a-4a1d-4e15-b18a-07e8c13d22b8"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f2b9c-0202-4d8b-926a-9cabb5787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D7816FD-30D1-461E-B495-3910E828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80b1a-4a1d-4e15-b18a-07e8c13d22b8"/>
    <ds:schemaRef ds:uri="f5ef2b9c-0202-4d8b-926a-9cabb578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16460-A2A0-429A-956A-DE057AC57383}">
  <ds:schemaRefs>
    <ds:schemaRef ds:uri="http://schemas.microsoft.com/sharepoint/v3/contenttype/forms"/>
  </ds:schemaRefs>
</ds:datastoreItem>
</file>

<file path=customXml/itemProps3.xml><?xml version="1.0" encoding="utf-8"?>
<ds:datastoreItem xmlns:ds="http://schemas.openxmlformats.org/officeDocument/2006/customXml" ds:itemID="{21E6E98F-549C-40D1-8E7F-8F4A08766B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06997-63E7-4710-A790-239FBC96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36</Pages>
  <Words>16053</Words>
  <Characters>91506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Critical Care Triage for Major Surge in the COVID-19 Pandemic: Recommendations</vt:lpstr>
    </vt:vector>
  </TitlesOfParts>
  <Company/>
  <LinksUpToDate>false</LinksUpToDate>
  <CharactersWithSpaces>107345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Care Triage for Major Surge in the COVID-19 Pandemic: Recommendations</dc:title>
  <dc:subject/>
  <dc:creator>James Downar</dc:creator>
  <cp:keywords/>
  <dc:description/>
  <cp:lastModifiedBy>DLepofsky</cp:lastModifiedBy>
  <cp:revision>4</cp:revision>
  <cp:lastPrinted>2020-05-07T17:46:00Z</cp:lastPrinted>
  <dcterms:created xsi:type="dcterms:W3CDTF">2020-12-09T22:35:00Z</dcterms:created>
  <dcterms:modified xsi:type="dcterms:W3CDTF">2020-12-15T15:36:00Z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0x010100B69B4A22BA2DF442ABC35D99F94B85B0</vt:lpwstr>
  </property>
</Properties>
</file>