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DE5" w:rsidRPr="00AA4F9D" w:rsidRDefault="00C67DE5" w:rsidP="00AA4F9D">
      <w:pPr>
        <w:widowControl w:val="0"/>
      </w:pPr>
      <w:r w:rsidRPr="00AA4F9D">
        <w:t xml:space="preserve">Accessibility for Ontarians with Disabilities Act Alliance </w:t>
      </w:r>
    </w:p>
    <w:p w:rsidR="00C67DE5" w:rsidRPr="00AA4F9D" w:rsidRDefault="00C67DE5" w:rsidP="00AA4F9D">
      <w:pPr>
        <w:widowControl w:val="0"/>
      </w:pPr>
      <w:r w:rsidRPr="00AA4F9D">
        <w:t xml:space="preserve">United for a Barrier-Free Ontario for All People with Disabilities </w:t>
      </w:r>
    </w:p>
    <w:p w:rsidR="00AA4F9D" w:rsidRDefault="00DC2C3C" w:rsidP="00AA4F9D">
      <w:pPr>
        <w:widowControl w:val="0"/>
      </w:pPr>
      <w:hyperlink r:id="rId6" w:history="1">
        <w:r w:rsidR="00C67DE5" w:rsidRPr="00AA4F9D">
          <w:rPr>
            <w:rStyle w:val="Hyperlink"/>
          </w:rPr>
          <w:t>www.aodaalliance.org</w:t>
        </w:r>
      </w:hyperlink>
      <w:r w:rsidR="00C67DE5" w:rsidRPr="00AA4F9D">
        <w:t xml:space="preserve"> </w:t>
      </w:r>
      <w:hyperlink r:id="rId7" w:history="1">
        <w:r w:rsidR="00C67DE5" w:rsidRPr="00AA4F9D">
          <w:rPr>
            <w:rStyle w:val="Hyperlink"/>
          </w:rPr>
          <w:t>aodafeedback@gmail.com</w:t>
        </w:r>
      </w:hyperlink>
      <w:r w:rsidR="00C67DE5" w:rsidRPr="00AA4F9D">
        <w:t xml:space="preserve"> Twitter: @aodaalliance </w:t>
      </w:r>
    </w:p>
    <w:p w:rsidR="00AA4F9D" w:rsidRDefault="00AA4F9D" w:rsidP="00AA4F9D">
      <w:pPr>
        <w:widowControl w:val="0"/>
      </w:pPr>
    </w:p>
    <w:p w:rsidR="00DC2C3C" w:rsidRDefault="00730F56" w:rsidP="00DC2C3C">
      <w:pPr>
        <w:pStyle w:val="Heading1"/>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 xml:space="preserve">The AODA Alliance's </w:t>
      </w:r>
      <w:r w:rsidR="00D616BD" w:rsidRPr="00AA4F9D">
        <w:rPr>
          <w:rFonts w:ascii="Times New Roman" w:hAnsi="Times New Roman" w:cs="Times New Roman"/>
          <w:sz w:val="24"/>
          <w:szCs w:val="24"/>
        </w:rPr>
        <w:t>Analysis of the August 12, 2015 KPMG Report for the Ontario Government on Accessibility Barriers in Ontario's Education system</w:t>
      </w:r>
      <w:r w:rsidR="00AA4F9D">
        <w:rPr>
          <w:rFonts w:ascii="Times New Roman" w:hAnsi="Times New Roman" w:cs="Times New Roman"/>
          <w:sz w:val="24"/>
          <w:szCs w:val="24"/>
        </w:rPr>
        <w:t xml:space="preserve"> </w:t>
      </w:r>
    </w:p>
    <w:p w:rsidR="00DC2C3C" w:rsidRDefault="00DC2C3C" w:rsidP="00DC2C3C">
      <w:pPr>
        <w:pStyle w:val="Heading1"/>
        <w:keepNext w:val="0"/>
        <w:keepLines w:val="0"/>
        <w:widowControl w:val="0"/>
        <w:spacing w:before="0"/>
        <w:rPr>
          <w:rFonts w:ascii="Times New Roman" w:hAnsi="Times New Roman" w:cs="Times New Roman"/>
          <w:sz w:val="24"/>
          <w:szCs w:val="24"/>
        </w:rPr>
      </w:pPr>
    </w:p>
    <w:p w:rsidR="0082500A" w:rsidRPr="00DC2C3C" w:rsidRDefault="0082500A" w:rsidP="00DC2C3C">
      <w:pPr>
        <w:pStyle w:val="Heading1"/>
        <w:keepNext w:val="0"/>
        <w:keepLines w:val="0"/>
        <w:widowControl w:val="0"/>
        <w:spacing w:before="0"/>
        <w:rPr>
          <w:rFonts w:ascii="Times New Roman" w:hAnsi="Times New Roman" w:cs="Times New Roman"/>
          <w:b w:val="0"/>
          <w:sz w:val="24"/>
          <w:szCs w:val="24"/>
        </w:rPr>
      </w:pPr>
      <w:r w:rsidRPr="00DC2C3C">
        <w:rPr>
          <w:rFonts w:ascii="Times New Roman" w:hAnsi="Times New Roman" w:cs="Times New Roman"/>
          <w:b w:val="0"/>
          <w:sz w:val="24"/>
          <w:szCs w:val="24"/>
        </w:rPr>
        <w:t xml:space="preserve">November </w:t>
      </w:r>
      <w:r w:rsidR="00EF156A" w:rsidRPr="00DC2C3C">
        <w:rPr>
          <w:rFonts w:ascii="Times New Roman" w:hAnsi="Times New Roman" w:cs="Times New Roman"/>
          <w:b w:val="0"/>
          <w:sz w:val="24"/>
          <w:szCs w:val="24"/>
        </w:rPr>
        <w:t>9</w:t>
      </w:r>
      <w:r w:rsidRPr="00DC2C3C">
        <w:rPr>
          <w:rFonts w:ascii="Times New Roman" w:hAnsi="Times New Roman" w:cs="Times New Roman"/>
          <w:b w:val="0"/>
          <w:sz w:val="24"/>
          <w:szCs w:val="24"/>
        </w:rPr>
        <w:t>, 2016</w:t>
      </w:r>
      <w:r w:rsidR="00AA4F9D" w:rsidRPr="00DC2C3C">
        <w:rPr>
          <w:b w:val="0"/>
        </w:rPr>
        <w:t xml:space="preserve"> </w:t>
      </w:r>
    </w:p>
    <w:p w:rsidR="0082500A" w:rsidRPr="00AA4F9D" w:rsidRDefault="0082500A" w:rsidP="00AA4F9D">
      <w:pPr>
        <w:widowControl w:val="0"/>
      </w:pPr>
    </w:p>
    <w:p w:rsidR="007219CD" w:rsidRPr="00DC2C3C" w:rsidRDefault="007D4DCA" w:rsidP="00AA4F9D">
      <w:pPr>
        <w:pStyle w:val="Heading1"/>
        <w:keepNext w:val="0"/>
        <w:keepLines w:val="0"/>
        <w:widowControl w:val="0"/>
        <w:spacing w:before="0"/>
        <w:rPr>
          <w:rStyle w:val="Heading1Char"/>
          <w:rFonts w:ascii="Times New Roman" w:hAnsi="Times New Roman" w:cs="Times New Roman"/>
          <w:b/>
          <w:sz w:val="24"/>
          <w:szCs w:val="24"/>
        </w:rPr>
      </w:pPr>
      <w:r w:rsidRPr="00DC2C3C">
        <w:rPr>
          <w:rStyle w:val="Heading1Char"/>
          <w:rFonts w:ascii="Times New Roman" w:hAnsi="Times New Roman" w:cs="Times New Roman"/>
          <w:b/>
          <w:sz w:val="24"/>
          <w:szCs w:val="24"/>
        </w:rPr>
        <w:t xml:space="preserve">Chapter 1 </w:t>
      </w:r>
      <w:r w:rsidR="00DC2C3C">
        <w:rPr>
          <w:rStyle w:val="Heading1Char"/>
          <w:rFonts w:ascii="Times New Roman" w:hAnsi="Times New Roman" w:cs="Times New Roman"/>
          <w:b/>
          <w:sz w:val="24"/>
          <w:szCs w:val="24"/>
        </w:rPr>
        <w:t xml:space="preserve">- </w:t>
      </w:r>
      <w:r w:rsidR="007219CD" w:rsidRPr="00DC2C3C">
        <w:rPr>
          <w:rStyle w:val="Heading1Char"/>
          <w:rFonts w:ascii="Times New Roman" w:hAnsi="Times New Roman" w:cs="Times New Roman"/>
          <w:b/>
          <w:sz w:val="24"/>
          <w:szCs w:val="24"/>
        </w:rPr>
        <w:t xml:space="preserve">Introduction </w:t>
      </w:r>
    </w:p>
    <w:p w:rsidR="007219CD" w:rsidRPr="00AA4F9D" w:rsidRDefault="007219CD" w:rsidP="00AA4F9D">
      <w:pPr>
        <w:widowControl w:val="0"/>
      </w:pPr>
    </w:p>
    <w:p w:rsidR="00004F45" w:rsidRPr="00AA4F9D" w:rsidRDefault="00004F45"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I. General</w:t>
      </w:r>
    </w:p>
    <w:p w:rsidR="00004F45" w:rsidRPr="00AA4F9D" w:rsidRDefault="00004F45" w:rsidP="00AA4F9D">
      <w:pPr>
        <w:widowControl w:val="0"/>
      </w:pPr>
    </w:p>
    <w:p w:rsidR="00192F7B" w:rsidRPr="00AA4F9D" w:rsidRDefault="00652B0C" w:rsidP="00AA4F9D">
      <w:pPr>
        <w:widowControl w:val="0"/>
      </w:pPr>
      <w:r w:rsidRPr="00AA4F9D">
        <w:t>This</w:t>
      </w:r>
      <w:r w:rsidR="00064A6A" w:rsidRPr="00AA4F9D">
        <w:t xml:space="preserve"> is the Accessibility for Ontarians with Disabilities Act Alliance's</w:t>
      </w:r>
      <w:r w:rsidR="00C1288A" w:rsidRPr="00AA4F9D">
        <w:t xml:space="preserve"> </w:t>
      </w:r>
      <w:r w:rsidR="00DC2C3C">
        <w:t>I</w:t>
      </w:r>
      <w:r w:rsidR="00C1288A" w:rsidRPr="00AA4F9D">
        <w:t>ndependent</w:t>
      </w:r>
      <w:r w:rsidR="00AA4F9D">
        <w:t xml:space="preserve"> </w:t>
      </w:r>
      <w:r w:rsidR="00064A6A" w:rsidRPr="00AA4F9D">
        <w:t xml:space="preserve">Analysis of the August 12, 2015 Report </w:t>
      </w:r>
      <w:r w:rsidR="00462FDB" w:rsidRPr="00AA4F9D">
        <w:t xml:space="preserve">that </w:t>
      </w:r>
      <w:r w:rsidR="00064A6A" w:rsidRPr="00AA4F9D">
        <w:t xml:space="preserve">the KPMG consulting firm </w:t>
      </w:r>
      <w:r w:rsidR="00462FDB" w:rsidRPr="00AA4F9D">
        <w:t xml:space="preserve">prepared for the Ontario Government </w:t>
      </w:r>
      <w:r w:rsidR="00064A6A" w:rsidRPr="00AA4F9D">
        <w:t>on accessibility barriers in Ontario's education system.</w:t>
      </w:r>
      <w:r w:rsidR="00192F7B" w:rsidRPr="00AA4F9D">
        <w:t xml:space="preserve"> </w:t>
      </w:r>
      <w:r w:rsidR="00462975" w:rsidRPr="00AA4F9D">
        <w:t>This Analysis</w:t>
      </w:r>
      <w:r w:rsidR="00192F7B" w:rsidRPr="00AA4F9D">
        <w:t xml:space="preserve"> shows that:</w:t>
      </w:r>
    </w:p>
    <w:p w:rsidR="00192F7B" w:rsidRPr="00AA4F9D" w:rsidRDefault="00192F7B" w:rsidP="00AA4F9D">
      <w:pPr>
        <w:widowControl w:val="0"/>
      </w:pPr>
    </w:p>
    <w:p w:rsidR="00192F7B" w:rsidRPr="00AA4F9D" w:rsidRDefault="00192F7B" w:rsidP="00AA4F9D">
      <w:pPr>
        <w:widowControl w:val="0"/>
      </w:pPr>
      <w:r w:rsidRPr="00AA4F9D">
        <w:t>1. The KPMG Report shows that Ontario's education system still has serious accessibility barriers.</w:t>
      </w:r>
      <w:r w:rsidR="00F60CC6" w:rsidRPr="00AA4F9D">
        <w:t xml:space="preserve"> The existence of these recurring accessibility barriers shows that Ontario needs to create an Education Accessibility Standard under the AODA.</w:t>
      </w:r>
      <w:r w:rsidR="00AA4F9D">
        <w:t xml:space="preserve"> </w:t>
      </w:r>
    </w:p>
    <w:p w:rsidR="00192F7B" w:rsidRPr="00AA4F9D" w:rsidRDefault="00192F7B" w:rsidP="00AA4F9D">
      <w:pPr>
        <w:widowControl w:val="0"/>
      </w:pPr>
    </w:p>
    <w:p w:rsidR="00192F7B" w:rsidRPr="00AA4F9D" w:rsidRDefault="00192F7B" w:rsidP="00AA4F9D">
      <w:pPr>
        <w:widowControl w:val="0"/>
      </w:pPr>
      <w:r w:rsidRPr="00AA4F9D">
        <w:t>2. Nothing in the Report shows an Education Accessibility Standard is unnecessary</w:t>
      </w:r>
      <w:r w:rsidR="00F60CC6" w:rsidRPr="00AA4F9D">
        <w:t xml:space="preserve"> in Ontario, and that all accessibility barriers in Ontario's education system will be removed and prevented by 2025 without implementing one</w:t>
      </w:r>
      <w:r w:rsidRPr="00AA4F9D">
        <w:t xml:space="preserve">. </w:t>
      </w:r>
    </w:p>
    <w:p w:rsidR="00192F7B" w:rsidRPr="00AA4F9D" w:rsidRDefault="00192F7B" w:rsidP="00AA4F9D">
      <w:pPr>
        <w:widowControl w:val="0"/>
      </w:pPr>
    </w:p>
    <w:p w:rsidR="00192F7B" w:rsidRPr="00AA4F9D" w:rsidRDefault="00192F7B" w:rsidP="00AA4F9D">
      <w:pPr>
        <w:widowControl w:val="0"/>
      </w:pPr>
      <w:r w:rsidRPr="00AA4F9D">
        <w:t xml:space="preserve">3. The Report reveals measures in other jurisdictions </w:t>
      </w:r>
      <w:r w:rsidR="000A484C">
        <w:t>f</w:t>
      </w:r>
      <w:r w:rsidRPr="00AA4F9D">
        <w:t xml:space="preserve">rom </w:t>
      </w:r>
      <w:r w:rsidR="000A484C">
        <w:t>w</w:t>
      </w:r>
      <w:r w:rsidRPr="00AA4F9D">
        <w:t>hich Ontario's education system could benefit.</w:t>
      </w:r>
      <w:r w:rsidR="00F60CC6" w:rsidRPr="00AA4F9D">
        <w:t xml:space="preserve"> These would fit well in an Ontario Education Accessibility Standard.</w:t>
      </w:r>
    </w:p>
    <w:p w:rsidR="00192F7B" w:rsidRPr="00AA4F9D" w:rsidRDefault="00192F7B" w:rsidP="00AA4F9D">
      <w:pPr>
        <w:widowControl w:val="0"/>
      </w:pPr>
    </w:p>
    <w:p w:rsidR="00192F7B" w:rsidRPr="00AA4F9D" w:rsidRDefault="00192F7B" w:rsidP="00AA4F9D">
      <w:pPr>
        <w:widowControl w:val="0"/>
      </w:pPr>
      <w:r w:rsidRPr="00AA4F9D">
        <w:t>4.</w:t>
      </w:r>
      <w:r w:rsidR="000A484C">
        <w:t xml:space="preserve"> </w:t>
      </w:r>
      <w:r w:rsidRPr="00AA4F9D">
        <w:t>The Report has serious deficiencies</w:t>
      </w:r>
      <w:r w:rsidR="009830F9" w:rsidRPr="00AA4F9D">
        <w:t xml:space="preserve">. As a result, it </w:t>
      </w:r>
      <w:r w:rsidRPr="00AA4F9D">
        <w:t xml:space="preserve">should </w:t>
      </w:r>
      <w:r w:rsidR="00F60CC6" w:rsidRPr="00AA4F9D">
        <w:t xml:space="preserve">therefore </w:t>
      </w:r>
      <w:r w:rsidRPr="00AA4F9D">
        <w:t>not be used to limit the range of accessibility barriers that an Education Accessibility Standard should address.</w:t>
      </w:r>
      <w:r w:rsidR="009830F9" w:rsidRPr="00AA4F9D">
        <w:t xml:space="preserve"> It is useful as showing that there are recurring accessibility barriers in Ontario which, as noted above, is why Ontario needs to create an Education Accessibility Standard. </w:t>
      </w:r>
    </w:p>
    <w:p w:rsidR="00192F7B" w:rsidRPr="00AA4F9D" w:rsidRDefault="00192F7B" w:rsidP="00AA4F9D">
      <w:pPr>
        <w:widowControl w:val="0"/>
      </w:pPr>
    </w:p>
    <w:p w:rsidR="00192F7B" w:rsidRPr="00AA4F9D" w:rsidRDefault="00192F7B" w:rsidP="00AA4F9D">
      <w:pPr>
        <w:widowControl w:val="0"/>
      </w:pPr>
      <w:r w:rsidRPr="00AA4F9D">
        <w:t xml:space="preserve">5. The Report's </w:t>
      </w:r>
      <w:r w:rsidR="00F60CC6" w:rsidRPr="00AA4F9D">
        <w:t xml:space="preserve">bottom-line </w:t>
      </w:r>
      <w:r w:rsidRPr="00AA4F9D">
        <w:t xml:space="preserve">conclusion that Ontario is as good as or better than other jurisdictions </w:t>
      </w:r>
      <w:r w:rsidR="000A484C">
        <w:t>i</w:t>
      </w:r>
      <w:r w:rsidRPr="00AA4F9D">
        <w:t xml:space="preserve">s </w:t>
      </w:r>
      <w:r w:rsidR="00F60CC6" w:rsidRPr="00AA4F9D">
        <w:t xml:space="preserve">substantially </w:t>
      </w:r>
      <w:r w:rsidRPr="00AA4F9D">
        <w:t>wrong and should not be relied on.</w:t>
      </w:r>
    </w:p>
    <w:p w:rsidR="00192F7B" w:rsidRPr="00AA4F9D" w:rsidRDefault="00192F7B" w:rsidP="00AA4F9D">
      <w:pPr>
        <w:widowControl w:val="0"/>
      </w:pPr>
    </w:p>
    <w:p w:rsidR="00192F7B" w:rsidRPr="00AA4F9D" w:rsidRDefault="00192F7B" w:rsidP="00AA4F9D">
      <w:pPr>
        <w:widowControl w:val="0"/>
      </w:pPr>
      <w:r w:rsidRPr="00AA4F9D">
        <w:t xml:space="preserve">6. </w:t>
      </w:r>
      <w:r w:rsidR="0060723E" w:rsidRPr="00AA4F9D">
        <w:t>Even if it had been correct rather than fatally flawed, t</w:t>
      </w:r>
      <w:r w:rsidRPr="00AA4F9D">
        <w:t>he Report's conclusion about Ontario compared to other jurisdictions</w:t>
      </w:r>
      <w:r w:rsidR="009830F9" w:rsidRPr="00AA4F9D">
        <w:t xml:space="preserve"> </w:t>
      </w:r>
      <w:r w:rsidRPr="00AA4F9D">
        <w:t>doesn't make an Education Accessibility Standard unnecessary.</w:t>
      </w:r>
    </w:p>
    <w:p w:rsidR="00064A6A" w:rsidRPr="00AA4F9D" w:rsidRDefault="00AA4F9D" w:rsidP="00AA4F9D">
      <w:pPr>
        <w:widowControl w:val="0"/>
      </w:pPr>
      <w:r>
        <w:t xml:space="preserve"> </w:t>
      </w:r>
    </w:p>
    <w:p w:rsidR="00E06BB9" w:rsidRPr="000A484C" w:rsidRDefault="00004F45" w:rsidP="00AA4F9D">
      <w:pPr>
        <w:pStyle w:val="Heading2"/>
        <w:keepNext w:val="0"/>
        <w:keepLines w:val="0"/>
        <w:widowControl w:val="0"/>
        <w:spacing w:before="0"/>
        <w:rPr>
          <w:rStyle w:val="Heading2Char"/>
          <w:rFonts w:ascii="Times New Roman" w:hAnsi="Times New Roman" w:cs="Times New Roman"/>
          <w:b/>
          <w:sz w:val="24"/>
          <w:szCs w:val="24"/>
        </w:rPr>
      </w:pPr>
      <w:r w:rsidRPr="000A484C">
        <w:rPr>
          <w:rStyle w:val="Heading2Char"/>
          <w:rFonts w:ascii="Times New Roman" w:hAnsi="Times New Roman" w:cs="Times New Roman"/>
          <w:b/>
          <w:sz w:val="24"/>
          <w:szCs w:val="24"/>
        </w:rPr>
        <w:t>I</w:t>
      </w:r>
      <w:r w:rsidR="0092234A" w:rsidRPr="000A484C">
        <w:rPr>
          <w:rStyle w:val="Heading2Char"/>
          <w:rFonts w:ascii="Times New Roman" w:hAnsi="Times New Roman" w:cs="Times New Roman"/>
          <w:b/>
          <w:sz w:val="24"/>
          <w:szCs w:val="24"/>
        </w:rPr>
        <w:t>I.</w:t>
      </w:r>
      <w:r w:rsidR="00E06BB9" w:rsidRPr="000A484C">
        <w:rPr>
          <w:rStyle w:val="Heading2Char"/>
          <w:rFonts w:ascii="Times New Roman" w:hAnsi="Times New Roman" w:cs="Times New Roman"/>
          <w:b/>
          <w:sz w:val="24"/>
          <w:szCs w:val="24"/>
        </w:rPr>
        <w:t xml:space="preserve"> What is the KPMG Report and Why Did the Ontario Government</w:t>
      </w:r>
      <w:r w:rsidR="00AA4F9D" w:rsidRPr="000A484C">
        <w:rPr>
          <w:rStyle w:val="Heading2Char"/>
          <w:rFonts w:ascii="Times New Roman" w:hAnsi="Times New Roman" w:cs="Times New Roman"/>
          <w:b/>
          <w:sz w:val="24"/>
          <w:szCs w:val="24"/>
        </w:rPr>
        <w:t xml:space="preserve"> </w:t>
      </w:r>
      <w:r w:rsidR="00E06BB9" w:rsidRPr="000A484C">
        <w:rPr>
          <w:rStyle w:val="Heading2Char"/>
          <w:rFonts w:ascii="Times New Roman" w:hAnsi="Times New Roman" w:cs="Times New Roman"/>
          <w:b/>
          <w:sz w:val="24"/>
          <w:szCs w:val="24"/>
        </w:rPr>
        <w:t>Commission it?</w:t>
      </w:r>
    </w:p>
    <w:p w:rsidR="00E06BB9" w:rsidRPr="00AA4F9D" w:rsidRDefault="00E06BB9" w:rsidP="00AA4F9D">
      <w:pPr>
        <w:widowControl w:val="0"/>
      </w:pPr>
    </w:p>
    <w:p w:rsidR="00CF5B8D" w:rsidRPr="00AA4F9D" w:rsidRDefault="007219CD" w:rsidP="00AA4F9D">
      <w:pPr>
        <w:widowControl w:val="0"/>
      </w:pPr>
      <w:r w:rsidRPr="00AA4F9D">
        <w:t>For over half a decade, the Accessibility for Ontarians with Disabilities Act Alliance has campaigned to get the Ontario Government to agree to develop an Education Accessibility Standard under the Accessibility for Ontarians with Disabilities Act (AODA).</w:t>
      </w:r>
      <w:r w:rsidR="00CF5B8D" w:rsidRPr="00AA4F9D">
        <w:t xml:space="preserve"> The AODA Alliance is a non-partisan grassroots disability coalition</w:t>
      </w:r>
      <w:r w:rsidR="00DC0CAC" w:rsidRPr="00AA4F9D">
        <w:t>. It</w:t>
      </w:r>
      <w:r w:rsidR="00CF5B8D" w:rsidRPr="00AA4F9D">
        <w:t xml:space="preserve"> advocates for the AODA's effective implementation and enforcement.</w:t>
      </w:r>
      <w:r w:rsidR="00DC0CAC" w:rsidRPr="00AA4F9D">
        <w:t xml:space="preserve"> For more background on the AODA Alliance, visit </w:t>
      </w:r>
      <w:hyperlink r:id="rId8" w:history="1">
        <w:r w:rsidR="00DC0CAC" w:rsidRPr="00AA4F9D">
          <w:rPr>
            <w:rStyle w:val="Hyperlink"/>
          </w:rPr>
          <w:t>www.aodaalliance.org</w:t>
        </w:r>
      </w:hyperlink>
      <w:r w:rsidR="00AA4F9D">
        <w:t xml:space="preserve"> </w:t>
      </w:r>
    </w:p>
    <w:p w:rsidR="00CF5B8D" w:rsidRPr="00AA4F9D" w:rsidRDefault="00CF5B8D" w:rsidP="00AA4F9D">
      <w:pPr>
        <w:widowControl w:val="0"/>
      </w:pPr>
    </w:p>
    <w:p w:rsidR="00DC0CAC" w:rsidRPr="00AA4F9D" w:rsidRDefault="007219CD" w:rsidP="00AA4F9D">
      <w:pPr>
        <w:widowControl w:val="0"/>
      </w:pPr>
      <w:r w:rsidRPr="00AA4F9D">
        <w:t>The AODA requires the Ontario Government to lead Ontario to become fully accessible to all people with disabilities by 2025.</w:t>
      </w:r>
      <w:r w:rsidR="00E06BB9" w:rsidRPr="00AA4F9D">
        <w:t xml:space="preserve"> </w:t>
      </w:r>
      <w:r w:rsidR="00DC0CAC" w:rsidRPr="00AA4F9D">
        <w:t xml:space="preserve">It </w:t>
      </w:r>
      <w:r w:rsidR="00E06BB9" w:rsidRPr="00AA4F9D">
        <w:t xml:space="preserve">requires the Ontario Government </w:t>
      </w:r>
      <w:r w:rsidRPr="00AA4F9D">
        <w:t xml:space="preserve">to develop, enact and enforce all accessibility standards needed to ensure that Ontario becomes fully accessible by 2025. </w:t>
      </w:r>
    </w:p>
    <w:p w:rsidR="00DC0CAC" w:rsidRPr="00AA4F9D" w:rsidRDefault="00DC0CAC" w:rsidP="00AA4F9D">
      <w:pPr>
        <w:widowControl w:val="0"/>
      </w:pPr>
    </w:p>
    <w:p w:rsidR="009E4A0A" w:rsidRPr="00AA4F9D" w:rsidRDefault="007219CD" w:rsidP="00AA4F9D">
      <w:pPr>
        <w:widowControl w:val="0"/>
      </w:pPr>
      <w:r w:rsidRPr="00AA4F9D">
        <w:t>What is an Education Accessibility Standard? It is an enforceable</w:t>
      </w:r>
      <w:r w:rsidR="00AA4F9D">
        <w:t xml:space="preserve"> </w:t>
      </w:r>
      <w:r w:rsidRPr="00AA4F9D">
        <w:t xml:space="preserve">regulation, </w:t>
      </w:r>
      <w:r w:rsidR="00DC0CAC" w:rsidRPr="00AA4F9D">
        <w:t xml:space="preserve">that the Ontario Government would enact under the </w:t>
      </w:r>
      <w:r w:rsidR="007612CD" w:rsidRPr="00AA4F9D">
        <w:t>AODA.</w:t>
      </w:r>
      <w:r w:rsidR="00DC0CAC" w:rsidRPr="00AA4F9D">
        <w:t xml:space="preserve"> </w:t>
      </w:r>
      <w:r w:rsidRPr="00AA4F9D">
        <w:t>It would set out measures that school boards, colleges, universities and other educational organizations must take to remove and prevent accessibility barriers that impede students with disabilities from fully participating in</w:t>
      </w:r>
      <w:r w:rsidR="00F16AD7" w:rsidRPr="00AA4F9D">
        <w:t>, being fully included in, and</w:t>
      </w:r>
      <w:r w:rsidR="00AA4F9D">
        <w:t xml:space="preserve"> </w:t>
      </w:r>
      <w:r w:rsidR="00F16AD7" w:rsidRPr="00AA4F9D">
        <w:t xml:space="preserve">fully </w:t>
      </w:r>
      <w:r w:rsidRPr="00AA4F9D">
        <w:t xml:space="preserve">benefitting from education programs in Ontario. It would set deadlines for action. </w:t>
      </w:r>
      <w:r w:rsidR="009E4A0A" w:rsidRPr="00AA4F9D">
        <w:t xml:space="preserve">An AODA accessibility standard can set longer deadlines for some organizations than others. For example, some organizations may need more time to remove accessibility barriers because the organization is smaller and has fewer resources. </w:t>
      </w:r>
    </w:p>
    <w:p w:rsidR="00F16AD7" w:rsidRPr="00AA4F9D" w:rsidRDefault="00F16AD7" w:rsidP="00AA4F9D">
      <w:pPr>
        <w:widowControl w:val="0"/>
      </w:pPr>
    </w:p>
    <w:p w:rsidR="007219CD" w:rsidRPr="00AA4F9D" w:rsidRDefault="009E4A0A" w:rsidP="00AA4F9D">
      <w:pPr>
        <w:widowControl w:val="0"/>
      </w:pPr>
      <w:r w:rsidRPr="00AA4F9D">
        <w:t>The Ontario Human Rights Code and the Canadian Charter of Rights and Freedoms</w:t>
      </w:r>
      <w:r w:rsidR="00AA4F9D">
        <w:t xml:space="preserve"> </w:t>
      </w:r>
      <w:r w:rsidRPr="00AA4F9D">
        <w:t xml:space="preserve">impose a legal duty on educational organizations </w:t>
      </w:r>
      <w:r w:rsidR="00485F0B" w:rsidRPr="00AA4F9D">
        <w:t xml:space="preserve">like school boards </w:t>
      </w:r>
      <w:r w:rsidRPr="00AA4F9D">
        <w:t xml:space="preserve">to accommodate the needs of students with disabilities up to the point of undue hardship to the organization. </w:t>
      </w:r>
      <w:r w:rsidR="00F16AD7" w:rsidRPr="00AA4F9D">
        <w:t xml:space="preserve">An Education Accessibility Standard </w:t>
      </w:r>
      <w:r w:rsidR="007219CD" w:rsidRPr="00AA4F9D">
        <w:t xml:space="preserve">would help ensure that educational organizations fulfil </w:t>
      </w:r>
      <w:r w:rsidR="00485F0B" w:rsidRPr="00AA4F9D">
        <w:t xml:space="preserve">their </w:t>
      </w:r>
      <w:r w:rsidR="007219CD" w:rsidRPr="00AA4F9D">
        <w:t>duty to accommodate students with disabilities</w:t>
      </w:r>
      <w:r w:rsidRPr="00AA4F9D">
        <w:t xml:space="preserve">. </w:t>
      </w:r>
      <w:r w:rsidR="007219CD" w:rsidRPr="00AA4F9D">
        <w:t xml:space="preserve">It </w:t>
      </w:r>
      <w:r w:rsidRPr="00AA4F9D">
        <w:t xml:space="preserve">should be designed to </w:t>
      </w:r>
      <w:r w:rsidR="007219CD" w:rsidRPr="00AA4F9D">
        <w:t>get rid of recurring accessibility barriers in Ontario's education system without students with disabilities</w:t>
      </w:r>
      <w:r w:rsidR="00AA4F9D">
        <w:t xml:space="preserve"> </w:t>
      </w:r>
      <w:r w:rsidR="007219CD" w:rsidRPr="00AA4F9D">
        <w:t>and their families having to sue one barrier at a time, one school board at a time. It would eliminate the need for each educational organization to re-invent the same solutions to recurring accessibility barriers.</w:t>
      </w:r>
      <w:r w:rsidR="00020AFC" w:rsidRPr="00AA4F9D">
        <w:t xml:space="preserve"> That would save those obligated organizations' money and time.</w:t>
      </w:r>
      <w:r w:rsidR="007219CD" w:rsidRPr="00AA4F9D">
        <w:t xml:space="preserve"> </w:t>
      </w:r>
    </w:p>
    <w:p w:rsidR="007219CD" w:rsidRPr="00AA4F9D" w:rsidRDefault="007219CD" w:rsidP="00AA4F9D">
      <w:pPr>
        <w:widowControl w:val="0"/>
      </w:pPr>
    </w:p>
    <w:p w:rsidR="007219CD" w:rsidRPr="00AA4F9D" w:rsidRDefault="007219CD" w:rsidP="00AA4F9D">
      <w:pPr>
        <w:widowControl w:val="0"/>
      </w:pPr>
      <w:r w:rsidRPr="00AA4F9D">
        <w:t xml:space="preserve">In the 2014 Ontario election, Premier Wynne promised in writing that the next accessibility standards </w:t>
      </w:r>
      <w:r w:rsidR="006B79EC" w:rsidRPr="00AA4F9D">
        <w:t xml:space="preserve">that the Government would create </w:t>
      </w:r>
      <w:r w:rsidRPr="00AA4F9D">
        <w:t>under the AODA would address barriers in health care and/or education. Premier Wynne said the Ministries of Health and Education respectively were reviewing accessibility barriers in Ontario's health care system and its education system</w:t>
      </w:r>
      <w:r w:rsidR="008E68A9" w:rsidRPr="00AA4F9D">
        <w:t>, two and a half years ago</w:t>
      </w:r>
      <w:r w:rsidRPr="00AA4F9D">
        <w:t>.</w:t>
      </w:r>
      <w:r w:rsidR="008E68A9" w:rsidRPr="00AA4F9D">
        <w:t xml:space="preserve"> In her May 14, 2014 letter to the AODA Alliance, setting out her Government's 2014 election promises on disability accessibility, Premier Wynne wrote:</w:t>
      </w:r>
    </w:p>
    <w:p w:rsidR="008E68A9" w:rsidRPr="00AA4F9D" w:rsidRDefault="008E68A9" w:rsidP="00AA4F9D">
      <w:pPr>
        <w:widowControl w:val="0"/>
      </w:pPr>
    </w:p>
    <w:p w:rsidR="008E68A9" w:rsidRPr="00AA4F9D" w:rsidRDefault="008E68A9" w:rsidP="00AA4F9D">
      <w:pPr>
        <w:widowControl w:val="0"/>
        <w:ind w:left="720" w:right="720"/>
      </w:pPr>
      <w:r w:rsidRPr="00AA4F9D">
        <w:t>"In order to develop a new accessibility standard, the Ministry of Economic Development, Trade and Employment has been actively working with the Ministries of Education, Training, Colleges and Universities as well as Health and Long-Term Care to examine where changes and new standards are required to make our education and healthcare systems more accessible."</w:t>
      </w:r>
    </w:p>
    <w:p w:rsidR="00D171BD" w:rsidRPr="00AA4F9D" w:rsidRDefault="00D171BD" w:rsidP="00AA4F9D">
      <w:pPr>
        <w:widowControl w:val="0"/>
      </w:pPr>
    </w:p>
    <w:p w:rsidR="00AC2C4A" w:rsidRPr="00AA4F9D" w:rsidRDefault="00AC2C4A" w:rsidP="00AA4F9D">
      <w:pPr>
        <w:widowControl w:val="0"/>
      </w:pPr>
      <w:r w:rsidRPr="00AA4F9D">
        <w:rPr>
          <w:b/>
        </w:rPr>
        <w:t>Premier Wynne's May 14, 2014 letter to the AODA Alliance</w:t>
      </w:r>
      <w:r w:rsidRPr="00AA4F9D">
        <w:t xml:space="preserve">, setting out your Government's 2014 accessibility election pledges, is available at </w:t>
      </w:r>
      <w:hyperlink r:id="rId9" w:history="1">
        <w:r w:rsidR="00E45917" w:rsidRPr="00AA4F9D">
          <w:rPr>
            <w:rStyle w:val="Hyperlink"/>
          </w:rPr>
          <w:t>http://www.aodaalliance.org/strong-effective-aoda/06132014.asp</w:t>
        </w:r>
      </w:hyperlink>
      <w:r w:rsidR="00E45917" w:rsidRPr="00AA4F9D">
        <w:t xml:space="preserve"> </w:t>
      </w:r>
    </w:p>
    <w:p w:rsidR="00342BED" w:rsidRPr="00AA4F9D" w:rsidRDefault="00342BED" w:rsidP="00AA4F9D">
      <w:pPr>
        <w:widowControl w:val="0"/>
      </w:pPr>
    </w:p>
    <w:p w:rsidR="00C14025" w:rsidRPr="00AA4F9D" w:rsidRDefault="000F20CA" w:rsidP="00AA4F9D">
      <w:pPr>
        <w:widowControl w:val="0"/>
      </w:pPr>
      <w:r w:rsidRPr="00AA4F9D">
        <w:t>About o</w:t>
      </w:r>
      <w:r w:rsidR="007219CD" w:rsidRPr="00AA4F9D">
        <w:t>ne year later, on March 16, 2015, the Accessibility Directorate of Ontario, part of the Ontario Government hired the KPMG consulting firm</w:t>
      </w:r>
      <w:r w:rsidR="00782B6C" w:rsidRPr="00AA4F9D">
        <w:t>. It asked KPMG</w:t>
      </w:r>
      <w:r w:rsidR="00AA4F9D">
        <w:t xml:space="preserve"> </w:t>
      </w:r>
      <w:r w:rsidR="007219CD" w:rsidRPr="00AA4F9D">
        <w:t>to prepare a report on accessibility barriers</w:t>
      </w:r>
      <w:r w:rsidR="00AA4F9D">
        <w:t xml:space="preserve"> </w:t>
      </w:r>
      <w:r w:rsidR="007219CD" w:rsidRPr="00AA4F9D">
        <w:t>that face students with disabilities</w:t>
      </w:r>
      <w:r w:rsidR="00AA4F9D">
        <w:t xml:space="preserve"> </w:t>
      </w:r>
      <w:r w:rsidR="007219CD" w:rsidRPr="00AA4F9D">
        <w:t xml:space="preserve">in Ontario's education system, and on </w:t>
      </w:r>
      <w:r w:rsidR="007219CD" w:rsidRPr="00AA4F9D">
        <w:lastRenderedPageBreak/>
        <w:t xml:space="preserve">strategies to address these </w:t>
      </w:r>
      <w:r w:rsidRPr="00AA4F9D">
        <w:t xml:space="preserve">barriers </w:t>
      </w:r>
      <w:r w:rsidR="007219CD" w:rsidRPr="00AA4F9D">
        <w:t xml:space="preserve">in different jurisdictions </w:t>
      </w:r>
      <w:r w:rsidR="00DD04DF" w:rsidRPr="00AA4F9D">
        <w:t xml:space="preserve">in </w:t>
      </w:r>
      <w:r w:rsidR="007219CD" w:rsidRPr="00AA4F9D">
        <w:t>Canada and elsewhere. On August 12, 2015, KPMG produced a final report, entitled "Accessibility in Education Final Report</w:t>
      </w:r>
      <w:r w:rsidR="000A484C">
        <w:t>.</w:t>
      </w:r>
      <w:r w:rsidR="007219CD" w:rsidRPr="00AA4F9D">
        <w:t>"</w:t>
      </w:r>
      <w:r w:rsidR="00F21F57" w:rsidRPr="00AA4F9D">
        <w:t xml:space="preserve"> </w:t>
      </w:r>
      <w:r w:rsidR="00012A24" w:rsidRPr="00AA4F9D">
        <w:t xml:space="preserve">In 2015, </w:t>
      </w:r>
      <w:r w:rsidR="00D171BD" w:rsidRPr="00AA4F9D">
        <w:t xml:space="preserve">in </w:t>
      </w:r>
      <w:r w:rsidR="00CA6933" w:rsidRPr="00AA4F9D">
        <w:t xml:space="preserve">its </w:t>
      </w:r>
      <w:r w:rsidR="00D171BD" w:rsidRPr="00AA4F9D">
        <w:t>many formal and informal discussions with the Ontario Government at all levels</w:t>
      </w:r>
      <w:r w:rsidR="00B35BF1" w:rsidRPr="00AA4F9D">
        <w:t xml:space="preserve"> over the next year</w:t>
      </w:r>
      <w:r w:rsidR="00D171BD" w:rsidRPr="00AA4F9D">
        <w:t xml:space="preserve">, </w:t>
      </w:r>
      <w:r w:rsidR="00012A24" w:rsidRPr="00AA4F9D">
        <w:t>the Ontario Government did not tell the AODA Alliance</w:t>
      </w:r>
      <w:r w:rsidR="00AA4F9D">
        <w:t xml:space="preserve"> </w:t>
      </w:r>
      <w:r w:rsidR="00012A24" w:rsidRPr="00AA4F9D">
        <w:t xml:space="preserve">that it had retained KPMG to conduct this report, or that the Government received the KPMG Report in August 2015. </w:t>
      </w:r>
    </w:p>
    <w:p w:rsidR="00C14025" w:rsidRPr="00AA4F9D" w:rsidRDefault="00C14025" w:rsidP="00AA4F9D">
      <w:pPr>
        <w:widowControl w:val="0"/>
      </w:pPr>
    </w:p>
    <w:p w:rsidR="00CA6933" w:rsidRPr="00AA4F9D" w:rsidRDefault="00012A24" w:rsidP="00AA4F9D">
      <w:pPr>
        <w:widowControl w:val="0"/>
      </w:pPr>
      <w:r w:rsidRPr="00AA4F9D">
        <w:t xml:space="preserve">Almost one year </w:t>
      </w:r>
      <w:r w:rsidR="006D397A" w:rsidRPr="00AA4F9D">
        <w:t>after the Government received the KPMG Report</w:t>
      </w:r>
      <w:r w:rsidR="00195439" w:rsidRPr="00AA4F9D">
        <w:t xml:space="preserve"> on education accessibility barriers in Ontario</w:t>
      </w:r>
      <w:r w:rsidR="006D397A" w:rsidRPr="00AA4F9D">
        <w:t>,</w:t>
      </w:r>
      <w:r w:rsidRPr="00AA4F9D">
        <w:t xml:space="preserve"> the AODA Alliance inadvertently learned </w:t>
      </w:r>
      <w:r w:rsidR="00195439" w:rsidRPr="00AA4F9D">
        <w:t xml:space="preserve">about its existence </w:t>
      </w:r>
      <w:r w:rsidR="00F21F57" w:rsidRPr="00AA4F9D">
        <w:t>from the Accessibility Directorate of Ontario</w:t>
      </w:r>
      <w:r w:rsidR="00D171BD" w:rsidRPr="00AA4F9D">
        <w:t>.</w:t>
      </w:r>
      <w:r w:rsidR="00F73C02" w:rsidRPr="00AA4F9D">
        <w:t xml:space="preserve"> The AODA Alliance</w:t>
      </w:r>
      <w:r w:rsidR="00AA4F9D">
        <w:t xml:space="preserve"> </w:t>
      </w:r>
      <w:r w:rsidR="00F73C02" w:rsidRPr="00AA4F9D">
        <w:t xml:space="preserve">asked the Ontario Government </w:t>
      </w:r>
      <w:r w:rsidR="00C14025" w:rsidRPr="00AA4F9D">
        <w:t xml:space="preserve">for an accessible copy of it. </w:t>
      </w:r>
      <w:r w:rsidR="00F73C02" w:rsidRPr="00AA4F9D">
        <w:t xml:space="preserve">The Government </w:t>
      </w:r>
      <w:r w:rsidR="00C14025" w:rsidRPr="00AA4F9D">
        <w:t xml:space="preserve">disclosed it. </w:t>
      </w:r>
      <w:r w:rsidR="00F73C02" w:rsidRPr="00AA4F9D">
        <w:t>The</w:t>
      </w:r>
      <w:r w:rsidR="00AA4F9D">
        <w:t xml:space="preserve"> </w:t>
      </w:r>
      <w:r w:rsidR="00F73C02" w:rsidRPr="00AA4F9D">
        <w:t>AODA Alliance has posted the KPMG Report online for the public to see.</w:t>
      </w:r>
      <w:r w:rsidR="00CD662C" w:rsidRPr="00AA4F9D">
        <w:t xml:space="preserve"> </w:t>
      </w:r>
      <w:r w:rsidR="007C7416" w:rsidRPr="00AA4F9D">
        <w:t>We are not aware of the Ontario Government broadly circulating the KPMG Report for public use or input.</w:t>
      </w:r>
      <w:r w:rsidR="00CA6933" w:rsidRPr="00AA4F9D">
        <w:t xml:space="preserve"> The KPMG Report is available </w:t>
      </w:r>
      <w:r w:rsidR="00F21F57" w:rsidRPr="00AA4F9D">
        <w:t xml:space="preserve">on the AODA Alliance's website </w:t>
      </w:r>
      <w:r w:rsidR="00CA6933" w:rsidRPr="00AA4F9D">
        <w:t xml:space="preserve">for download in an accessible MS Word format at </w:t>
      </w:r>
      <w:hyperlink r:id="rId10" w:history="1">
        <w:r w:rsidR="00CA6933" w:rsidRPr="00AA4F9D">
          <w:rPr>
            <w:rStyle w:val="Hyperlink"/>
          </w:rPr>
          <w:t>http://www.aodaalliance.org/strong-effective-aoda/KPMG-ADO-Final-Report-Education-Sep-8-vF.docx</w:t>
        </w:r>
      </w:hyperlink>
    </w:p>
    <w:p w:rsidR="007C7416" w:rsidRPr="00AA4F9D" w:rsidRDefault="007C7416" w:rsidP="00AA4F9D">
      <w:pPr>
        <w:widowControl w:val="0"/>
      </w:pPr>
      <w:r w:rsidRPr="00AA4F9D">
        <w:t xml:space="preserve"> </w:t>
      </w:r>
    </w:p>
    <w:p w:rsidR="00781866" w:rsidRPr="000A484C" w:rsidRDefault="00B93D2B" w:rsidP="00AA4F9D">
      <w:pPr>
        <w:pStyle w:val="Heading2"/>
        <w:keepNext w:val="0"/>
        <w:keepLines w:val="0"/>
        <w:widowControl w:val="0"/>
        <w:spacing w:before="0"/>
        <w:rPr>
          <w:rStyle w:val="Heading2Char"/>
          <w:rFonts w:ascii="Times New Roman" w:hAnsi="Times New Roman" w:cs="Times New Roman"/>
          <w:b/>
          <w:sz w:val="24"/>
          <w:szCs w:val="24"/>
        </w:rPr>
      </w:pPr>
      <w:r w:rsidRPr="000A484C">
        <w:rPr>
          <w:rStyle w:val="Heading2Char"/>
          <w:rFonts w:ascii="Times New Roman" w:hAnsi="Times New Roman" w:cs="Times New Roman"/>
          <w:b/>
          <w:sz w:val="24"/>
          <w:szCs w:val="24"/>
        </w:rPr>
        <w:t>I</w:t>
      </w:r>
      <w:r w:rsidR="0092234A" w:rsidRPr="000A484C">
        <w:rPr>
          <w:rStyle w:val="Heading2Char"/>
          <w:rFonts w:ascii="Times New Roman" w:hAnsi="Times New Roman" w:cs="Times New Roman"/>
          <w:b/>
          <w:sz w:val="24"/>
          <w:szCs w:val="24"/>
        </w:rPr>
        <w:t>II.</w:t>
      </w:r>
      <w:r w:rsidR="00781866" w:rsidRPr="000A484C">
        <w:rPr>
          <w:rStyle w:val="Heading2Char"/>
          <w:rFonts w:ascii="Times New Roman" w:hAnsi="Times New Roman" w:cs="Times New Roman"/>
          <w:b/>
          <w:sz w:val="24"/>
          <w:szCs w:val="24"/>
        </w:rPr>
        <w:t xml:space="preserve"> Summary of the AODA Alliance's Analysis of the KPMG Report</w:t>
      </w:r>
    </w:p>
    <w:p w:rsidR="00781866" w:rsidRPr="00AA4F9D" w:rsidRDefault="00781866" w:rsidP="00AA4F9D">
      <w:pPr>
        <w:widowControl w:val="0"/>
      </w:pPr>
    </w:p>
    <w:p w:rsidR="00A657DC" w:rsidRPr="00AA4F9D" w:rsidRDefault="00A657DC" w:rsidP="00AA4F9D">
      <w:pPr>
        <w:widowControl w:val="0"/>
      </w:pPr>
      <w:r w:rsidRPr="00AA4F9D">
        <w:t xml:space="preserve">This Analysis of the KPMG Report shows that </w:t>
      </w:r>
      <w:r w:rsidR="00D80CFB" w:rsidRPr="00AA4F9D">
        <w:t xml:space="preserve">the Report's </w:t>
      </w:r>
      <w:r w:rsidRPr="00AA4F9D">
        <w:t xml:space="preserve">contents and findings </w:t>
      </w:r>
      <w:r w:rsidR="00D80CFB" w:rsidRPr="00AA4F9D">
        <w:t xml:space="preserve">amply </w:t>
      </w:r>
      <w:r w:rsidR="00353A4F" w:rsidRPr="00AA4F9D">
        <w:t xml:space="preserve">support the AODA Alliance's call for the Ontario Government to create an </w:t>
      </w:r>
      <w:r w:rsidRPr="00AA4F9D">
        <w:t xml:space="preserve">AODA </w:t>
      </w:r>
      <w:r w:rsidR="00353A4F" w:rsidRPr="00AA4F9D">
        <w:t xml:space="preserve">Education Accessibility Standard, </w:t>
      </w:r>
      <w:r w:rsidRPr="00AA4F9D">
        <w:t>for the following reasons.</w:t>
      </w:r>
    </w:p>
    <w:p w:rsidR="00353A4F" w:rsidRPr="00AA4F9D" w:rsidRDefault="00353A4F" w:rsidP="00AA4F9D">
      <w:pPr>
        <w:widowControl w:val="0"/>
      </w:pPr>
    </w:p>
    <w:p w:rsidR="00367109" w:rsidRPr="000A484C" w:rsidRDefault="0092234A" w:rsidP="00AA4F9D">
      <w:pPr>
        <w:pStyle w:val="Heading3"/>
        <w:keepNext w:val="0"/>
        <w:keepLines w:val="0"/>
        <w:widowControl w:val="0"/>
        <w:spacing w:before="0"/>
        <w:rPr>
          <w:rStyle w:val="Heading3Char"/>
          <w:rFonts w:ascii="Times New Roman" w:hAnsi="Times New Roman" w:cs="Times New Roman"/>
          <w:b/>
        </w:rPr>
      </w:pPr>
      <w:r w:rsidRPr="000A484C">
        <w:rPr>
          <w:rStyle w:val="Heading3Char"/>
          <w:rFonts w:ascii="Times New Roman" w:hAnsi="Times New Roman" w:cs="Times New Roman"/>
          <w:b/>
        </w:rPr>
        <w:t>1.</w:t>
      </w:r>
      <w:r w:rsidR="003D6941" w:rsidRPr="000A484C">
        <w:rPr>
          <w:rStyle w:val="Heading3Char"/>
          <w:rFonts w:ascii="Times New Roman" w:hAnsi="Times New Roman" w:cs="Times New Roman"/>
          <w:b/>
        </w:rPr>
        <w:t xml:space="preserve"> </w:t>
      </w:r>
      <w:bookmarkStart w:id="0" w:name="OLE_LINK13"/>
      <w:bookmarkStart w:id="1" w:name="OLE_LINK14"/>
      <w:r w:rsidR="0000789C" w:rsidRPr="000A484C">
        <w:rPr>
          <w:rStyle w:val="Heading3Char"/>
          <w:rFonts w:ascii="Times New Roman" w:hAnsi="Times New Roman" w:cs="Times New Roman"/>
          <w:b/>
        </w:rPr>
        <w:t xml:space="preserve">The Report </w:t>
      </w:r>
      <w:r w:rsidR="000A484C" w:rsidRPr="000A484C">
        <w:rPr>
          <w:rStyle w:val="Heading3Char"/>
          <w:rFonts w:ascii="Times New Roman" w:hAnsi="Times New Roman" w:cs="Times New Roman"/>
          <w:b/>
        </w:rPr>
        <w:t>shows that Ontario's education system still has serious accessibility</w:t>
      </w:r>
      <w:r w:rsidR="00367109" w:rsidRPr="000A484C">
        <w:rPr>
          <w:rStyle w:val="Heading3Char"/>
          <w:rFonts w:ascii="Times New Roman" w:hAnsi="Times New Roman" w:cs="Times New Roman"/>
          <w:b/>
        </w:rPr>
        <w:t xml:space="preserve"> barriers.</w:t>
      </w:r>
    </w:p>
    <w:bookmarkEnd w:id="0"/>
    <w:bookmarkEnd w:id="1"/>
    <w:p w:rsidR="00367109" w:rsidRPr="00AA4F9D" w:rsidRDefault="00367109" w:rsidP="00AA4F9D">
      <w:pPr>
        <w:widowControl w:val="0"/>
      </w:pPr>
    </w:p>
    <w:p w:rsidR="00652D1E" w:rsidRPr="00AA4F9D" w:rsidRDefault="00367109" w:rsidP="00AA4F9D">
      <w:pPr>
        <w:widowControl w:val="0"/>
      </w:pPr>
      <w:r w:rsidRPr="00AA4F9D">
        <w:t>T</w:t>
      </w:r>
      <w:r w:rsidR="00A657DC" w:rsidRPr="00AA4F9D">
        <w:t xml:space="preserve">he KPMG Report's </w:t>
      </w:r>
      <w:r w:rsidR="003D6941" w:rsidRPr="00AA4F9D">
        <w:t>contents show that Ontario's education system still has significant accessibility barriers</w:t>
      </w:r>
      <w:r w:rsidR="00A657DC" w:rsidRPr="00AA4F9D">
        <w:t xml:space="preserve">. These </w:t>
      </w:r>
      <w:r w:rsidR="003D6941" w:rsidRPr="00AA4F9D">
        <w:t>impede students with disabilities</w:t>
      </w:r>
      <w:r w:rsidR="00AA4F9D">
        <w:t xml:space="preserve"> </w:t>
      </w:r>
      <w:r w:rsidR="003D6941" w:rsidRPr="00AA4F9D">
        <w:t>from being able to fully participate in and be fully included in Ontario's education system on a</w:t>
      </w:r>
      <w:r w:rsidR="006F7672" w:rsidRPr="00AA4F9D">
        <w:t xml:space="preserve"> </w:t>
      </w:r>
      <w:r w:rsidR="003D6941" w:rsidRPr="00AA4F9D">
        <w:t>footing of equality.</w:t>
      </w:r>
      <w:r w:rsidR="00ED1FBD" w:rsidRPr="00AA4F9D">
        <w:t xml:space="preserve"> </w:t>
      </w:r>
      <w:r w:rsidR="00652D1E" w:rsidRPr="00AA4F9D">
        <w:t>Examples of accessibility barriers that the Report identified were the following:</w:t>
      </w:r>
    </w:p>
    <w:p w:rsidR="00ED1FBD" w:rsidRPr="00AA4F9D" w:rsidRDefault="00ED1FBD" w:rsidP="00AA4F9D">
      <w:pPr>
        <w:widowControl w:val="0"/>
      </w:pPr>
    </w:p>
    <w:p w:rsidR="00ED1FBD" w:rsidRPr="00AA4F9D" w:rsidRDefault="00ED1FBD" w:rsidP="00AA4F9D">
      <w:pPr>
        <w:widowControl w:val="0"/>
      </w:pPr>
      <w:r w:rsidRPr="00AA4F9D">
        <w:t>a) Long delays in getting needed individual accommodations and needed professional assessments.</w:t>
      </w:r>
    </w:p>
    <w:p w:rsidR="00ED1FBD" w:rsidRPr="00AA4F9D" w:rsidRDefault="00ED1FBD" w:rsidP="00AA4F9D">
      <w:pPr>
        <w:widowControl w:val="0"/>
      </w:pPr>
    </w:p>
    <w:p w:rsidR="00ED1FBD" w:rsidRPr="00AA4F9D" w:rsidRDefault="00ED1FBD" w:rsidP="00AA4F9D">
      <w:pPr>
        <w:widowControl w:val="0"/>
      </w:pPr>
      <w:r w:rsidRPr="00AA4F9D">
        <w:t>b) Bureaucratic barriers that impede access to needed educational supports and accommodations.</w:t>
      </w:r>
    </w:p>
    <w:p w:rsidR="00ED1FBD" w:rsidRPr="00AA4F9D" w:rsidRDefault="00ED1FBD" w:rsidP="00AA4F9D">
      <w:pPr>
        <w:widowControl w:val="0"/>
      </w:pPr>
    </w:p>
    <w:p w:rsidR="00ED1FBD" w:rsidRPr="00AA4F9D" w:rsidRDefault="00ED1FBD" w:rsidP="00AA4F9D">
      <w:pPr>
        <w:widowControl w:val="0"/>
      </w:pPr>
      <w:r w:rsidRPr="00AA4F9D">
        <w:t xml:space="preserve">c) Recurring poor transition planning for students with disabilities. </w:t>
      </w:r>
    </w:p>
    <w:p w:rsidR="00ED1FBD" w:rsidRPr="00AA4F9D" w:rsidRDefault="00ED1FBD" w:rsidP="00AA4F9D">
      <w:pPr>
        <w:widowControl w:val="0"/>
      </w:pPr>
    </w:p>
    <w:p w:rsidR="00ED1FBD" w:rsidRPr="00AA4F9D" w:rsidRDefault="00ED1FBD" w:rsidP="00AA4F9D">
      <w:pPr>
        <w:widowControl w:val="0"/>
      </w:pPr>
      <w:r w:rsidRPr="00AA4F9D">
        <w:t>d) Insufficiently including students with disabilities</w:t>
      </w:r>
      <w:r w:rsidR="00AA4F9D">
        <w:t xml:space="preserve"> </w:t>
      </w:r>
      <w:r w:rsidRPr="00AA4F9D">
        <w:t xml:space="preserve">and their families in educational planning to meet the student's accommodation needs. </w:t>
      </w:r>
    </w:p>
    <w:p w:rsidR="00ED1FBD" w:rsidRPr="00AA4F9D" w:rsidRDefault="00ED1FBD" w:rsidP="00AA4F9D">
      <w:pPr>
        <w:widowControl w:val="0"/>
      </w:pPr>
    </w:p>
    <w:p w:rsidR="00ED1FBD" w:rsidRPr="00AA4F9D" w:rsidRDefault="00ED1FBD" w:rsidP="00AA4F9D">
      <w:pPr>
        <w:widowControl w:val="0"/>
      </w:pPr>
      <w:r w:rsidRPr="00AA4F9D">
        <w:t>e) The lack of a formal appeal process for students with disabilities</w:t>
      </w:r>
      <w:r w:rsidR="00AA4F9D">
        <w:t xml:space="preserve"> </w:t>
      </w:r>
      <w:r w:rsidRPr="00AA4F9D">
        <w:t xml:space="preserve">or their families to question the educational </w:t>
      </w:r>
      <w:r w:rsidR="00F7463B" w:rsidRPr="00AA4F9D">
        <w:t xml:space="preserve">organization's </w:t>
      </w:r>
      <w:r w:rsidRPr="00AA4F9D">
        <w:t>plans and actions to meet the accommodation needs of the student.</w:t>
      </w:r>
      <w:r w:rsidR="00AA4F9D">
        <w:t xml:space="preserve"> </w:t>
      </w:r>
    </w:p>
    <w:p w:rsidR="00ED1FBD" w:rsidRPr="00AA4F9D" w:rsidRDefault="00ED1FBD" w:rsidP="00AA4F9D">
      <w:pPr>
        <w:widowControl w:val="0"/>
      </w:pPr>
    </w:p>
    <w:p w:rsidR="00ED1FBD" w:rsidRPr="00AA4F9D" w:rsidRDefault="00ED1FBD" w:rsidP="00AA4F9D">
      <w:pPr>
        <w:widowControl w:val="0"/>
      </w:pPr>
      <w:r w:rsidRPr="00AA4F9D">
        <w:t>f) Specific barriers to STEM (science, technology, engineering and mathematics) curriculum, e.g. for students with vision loss.</w:t>
      </w:r>
    </w:p>
    <w:p w:rsidR="00ED1FBD" w:rsidRPr="00AA4F9D" w:rsidRDefault="00ED1FBD" w:rsidP="00AA4F9D">
      <w:pPr>
        <w:widowControl w:val="0"/>
      </w:pPr>
    </w:p>
    <w:p w:rsidR="00ED1FBD" w:rsidRPr="00AA4F9D" w:rsidRDefault="00ED1FBD" w:rsidP="00AA4F9D">
      <w:pPr>
        <w:widowControl w:val="0"/>
      </w:pPr>
      <w:r w:rsidRPr="00AA4F9D">
        <w:lastRenderedPageBreak/>
        <w:t>g) Barriers to the accessibility of online learning resources such as those on the internet.</w:t>
      </w:r>
    </w:p>
    <w:p w:rsidR="00ED1FBD" w:rsidRPr="00AA4F9D" w:rsidRDefault="00ED1FBD" w:rsidP="00AA4F9D">
      <w:pPr>
        <w:widowControl w:val="0"/>
      </w:pPr>
    </w:p>
    <w:p w:rsidR="00ED1FBD" w:rsidRPr="00AA4F9D" w:rsidRDefault="00ED1FBD" w:rsidP="00AA4F9D">
      <w:pPr>
        <w:widowControl w:val="0"/>
      </w:pPr>
      <w:r w:rsidRPr="00AA4F9D">
        <w:t>h) Insufficient Government</w:t>
      </w:r>
      <w:r w:rsidR="00AA4F9D">
        <w:t xml:space="preserve"> </w:t>
      </w:r>
      <w:r w:rsidRPr="00AA4F9D">
        <w:t>monitoring of the implementation of Individual Education Plans (IEPs) for students with disabilities</w:t>
      </w:r>
      <w:r w:rsidR="00AA4F9D">
        <w:t xml:space="preserve"> </w:t>
      </w:r>
      <w:r w:rsidRPr="00AA4F9D">
        <w:t xml:space="preserve">in school, college or university. </w:t>
      </w:r>
    </w:p>
    <w:p w:rsidR="00ED1FBD" w:rsidRPr="00AA4F9D" w:rsidRDefault="00ED1FBD" w:rsidP="00AA4F9D">
      <w:pPr>
        <w:widowControl w:val="0"/>
      </w:pPr>
    </w:p>
    <w:p w:rsidR="003D6941" w:rsidRPr="00AA4F9D" w:rsidRDefault="00F5134B" w:rsidP="00AA4F9D">
      <w:pPr>
        <w:widowControl w:val="0"/>
      </w:pPr>
      <w:r w:rsidRPr="00AA4F9D">
        <w:t>It is</w:t>
      </w:r>
      <w:r w:rsidR="00AA4F9D">
        <w:t xml:space="preserve"> </w:t>
      </w:r>
      <w:r w:rsidRPr="00AA4F9D">
        <w:t xml:space="preserve">because </w:t>
      </w:r>
      <w:r w:rsidR="0064777E" w:rsidRPr="00AA4F9D">
        <w:t xml:space="preserve">of persistent </w:t>
      </w:r>
      <w:r w:rsidRPr="00AA4F9D">
        <w:t xml:space="preserve">accessibility barriers </w:t>
      </w:r>
      <w:r w:rsidR="00810231" w:rsidRPr="00AA4F9D">
        <w:t xml:space="preserve">like these </w:t>
      </w:r>
      <w:r w:rsidRPr="00AA4F9D">
        <w:t>that the AODA Alliance urges the Ontario Government to agree to develop an Education Accessibility Standard.</w:t>
      </w:r>
    </w:p>
    <w:p w:rsidR="00F5134B" w:rsidRPr="00AA4F9D" w:rsidRDefault="00F5134B" w:rsidP="00AA4F9D">
      <w:pPr>
        <w:widowControl w:val="0"/>
      </w:pPr>
    </w:p>
    <w:p w:rsidR="00367109" w:rsidRPr="000A484C" w:rsidRDefault="00B06452" w:rsidP="00AA4F9D">
      <w:pPr>
        <w:pStyle w:val="Heading3"/>
        <w:keepNext w:val="0"/>
        <w:keepLines w:val="0"/>
        <w:widowControl w:val="0"/>
        <w:spacing w:before="0"/>
        <w:rPr>
          <w:rStyle w:val="Heading3Char"/>
          <w:rFonts w:ascii="Times New Roman" w:hAnsi="Times New Roman" w:cs="Times New Roman"/>
          <w:b/>
        </w:rPr>
      </w:pPr>
      <w:bookmarkStart w:id="2" w:name="OLE_LINK15"/>
      <w:bookmarkStart w:id="3" w:name="OLE_LINK16"/>
      <w:r w:rsidRPr="000A484C">
        <w:rPr>
          <w:rStyle w:val="Heading3Char"/>
          <w:rFonts w:ascii="Times New Roman" w:hAnsi="Times New Roman" w:cs="Times New Roman"/>
          <w:b/>
        </w:rPr>
        <w:t xml:space="preserve">2. </w:t>
      </w:r>
      <w:r w:rsidR="00367109" w:rsidRPr="000A484C">
        <w:rPr>
          <w:rStyle w:val="Heading3Char"/>
          <w:rFonts w:ascii="Times New Roman" w:hAnsi="Times New Roman" w:cs="Times New Roman"/>
          <w:b/>
        </w:rPr>
        <w:t xml:space="preserve">Nothing in the Report </w:t>
      </w:r>
      <w:r w:rsidR="000A484C" w:rsidRPr="000A484C">
        <w:rPr>
          <w:rStyle w:val="Heading3Char"/>
          <w:rFonts w:ascii="Times New Roman" w:hAnsi="Times New Roman" w:cs="Times New Roman"/>
          <w:b/>
        </w:rPr>
        <w:t>s</w:t>
      </w:r>
      <w:r w:rsidR="00367109" w:rsidRPr="000A484C">
        <w:rPr>
          <w:rStyle w:val="Heading3Char"/>
          <w:rFonts w:ascii="Times New Roman" w:hAnsi="Times New Roman" w:cs="Times New Roman"/>
          <w:b/>
        </w:rPr>
        <w:t xml:space="preserve">hows an Education Accessibility Standard is </w:t>
      </w:r>
      <w:r w:rsidR="000A484C" w:rsidRPr="000A484C">
        <w:rPr>
          <w:rStyle w:val="Heading3Char"/>
          <w:rFonts w:ascii="Times New Roman" w:hAnsi="Times New Roman" w:cs="Times New Roman"/>
          <w:b/>
        </w:rPr>
        <w:t>u</w:t>
      </w:r>
      <w:r w:rsidR="00367109" w:rsidRPr="000A484C">
        <w:rPr>
          <w:rStyle w:val="Heading3Char"/>
          <w:rFonts w:ascii="Times New Roman" w:hAnsi="Times New Roman" w:cs="Times New Roman"/>
          <w:b/>
        </w:rPr>
        <w:t>nnecessary</w:t>
      </w:r>
      <w:r w:rsidR="000A484C" w:rsidRPr="000A484C">
        <w:rPr>
          <w:rStyle w:val="Heading3Char"/>
          <w:rFonts w:ascii="Times New Roman" w:hAnsi="Times New Roman" w:cs="Times New Roman"/>
          <w:b/>
        </w:rPr>
        <w:t>.</w:t>
      </w:r>
      <w:r w:rsidR="00367109" w:rsidRPr="000A484C">
        <w:rPr>
          <w:rStyle w:val="Heading3Char"/>
          <w:rFonts w:ascii="Times New Roman" w:hAnsi="Times New Roman" w:cs="Times New Roman"/>
          <w:b/>
        </w:rPr>
        <w:t xml:space="preserve"> </w:t>
      </w:r>
    </w:p>
    <w:bookmarkEnd w:id="2"/>
    <w:bookmarkEnd w:id="3"/>
    <w:p w:rsidR="00367109" w:rsidRPr="00AA4F9D" w:rsidRDefault="00367109" w:rsidP="00AA4F9D">
      <w:pPr>
        <w:widowControl w:val="0"/>
      </w:pPr>
    </w:p>
    <w:p w:rsidR="001F75E9" w:rsidRPr="00AA4F9D" w:rsidRDefault="00036C15" w:rsidP="00AA4F9D">
      <w:pPr>
        <w:widowControl w:val="0"/>
      </w:pPr>
      <w:r w:rsidRPr="00AA4F9D">
        <w:t xml:space="preserve">The Report did not conclude that Ontario's education system is now on track to become fully accessible by 2025. </w:t>
      </w:r>
      <w:r w:rsidR="00B06452" w:rsidRPr="00AA4F9D">
        <w:t xml:space="preserve">Nothing in the KPMG Report shows or suggests that all the recurring disability accessibility barriers in Ontario's education system will be eliminated and that new ones will be prevented </w:t>
      </w:r>
      <w:r w:rsidR="00A12122" w:rsidRPr="00AA4F9D">
        <w:t xml:space="preserve">by the </w:t>
      </w:r>
      <w:r w:rsidR="001F75E9" w:rsidRPr="00AA4F9D">
        <w:t xml:space="preserve">AODA's </w:t>
      </w:r>
      <w:r w:rsidR="00A12122" w:rsidRPr="00AA4F9D">
        <w:t>2025 deadline</w:t>
      </w:r>
      <w:r w:rsidR="001F75E9" w:rsidRPr="00AA4F9D">
        <w:t xml:space="preserve"> for reaching full accessibility.</w:t>
      </w:r>
      <w:r w:rsidR="00A12122" w:rsidRPr="00AA4F9D">
        <w:t xml:space="preserve"> </w:t>
      </w:r>
      <w:r w:rsidR="00B06452" w:rsidRPr="00AA4F9D">
        <w:t xml:space="preserve">As such, </w:t>
      </w:r>
      <w:r w:rsidR="00F46C3D" w:rsidRPr="00AA4F9D">
        <w:t xml:space="preserve">the Report </w:t>
      </w:r>
      <w:r w:rsidR="00877493" w:rsidRPr="00AA4F9D">
        <w:t xml:space="preserve">does not conclude or show </w:t>
      </w:r>
      <w:r w:rsidR="00F46C3D" w:rsidRPr="00AA4F9D">
        <w:t xml:space="preserve">that </w:t>
      </w:r>
      <w:r w:rsidR="001F75E9" w:rsidRPr="00AA4F9D">
        <w:t xml:space="preserve">there is no need in Ontario for an AODA Education Accessibility Standard. </w:t>
      </w:r>
    </w:p>
    <w:p w:rsidR="001F75E9" w:rsidRPr="00AA4F9D" w:rsidRDefault="001F75E9" w:rsidP="00AA4F9D">
      <w:pPr>
        <w:widowControl w:val="0"/>
      </w:pPr>
    </w:p>
    <w:p w:rsidR="00B06452" w:rsidRPr="00AA4F9D" w:rsidRDefault="00723D05" w:rsidP="00AA4F9D">
      <w:pPr>
        <w:widowControl w:val="0"/>
      </w:pPr>
      <w:r w:rsidRPr="00AA4F9D">
        <w:t>T</w:t>
      </w:r>
      <w:r w:rsidR="00431C60" w:rsidRPr="00AA4F9D">
        <w:t xml:space="preserve">o the contrary, the Report shows that </w:t>
      </w:r>
      <w:r w:rsidR="00FC4B25" w:rsidRPr="00AA4F9D">
        <w:t xml:space="preserve">Ontario's </w:t>
      </w:r>
      <w:r w:rsidR="00431C60" w:rsidRPr="00AA4F9D">
        <w:t xml:space="preserve">main vehicle for addressing these barriers </w:t>
      </w:r>
      <w:r w:rsidR="00FC4B25" w:rsidRPr="00AA4F9D">
        <w:t xml:space="preserve">is </w:t>
      </w:r>
      <w:r w:rsidR="00431C60" w:rsidRPr="00AA4F9D">
        <w:t>by students with disabilities</w:t>
      </w:r>
      <w:r w:rsidR="00AA4F9D">
        <w:t xml:space="preserve"> </w:t>
      </w:r>
      <w:r w:rsidR="00431C60" w:rsidRPr="00AA4F9D">
        <w:t xml:space="preserve">or their families </w:t>
      </w:r>
      <w:r w:rsidR="00AB01B0" w:rsidRPr="00AA4F9D">
        <w:t xml:space="preserve">each </w:t>
      </w:r>
      <w:r w:rsidR="00FC4B25" w:rsidRPr="00AA4F9D">
        <w:t xml:space="preserve">having to </w:t>
      </w:r>
      <w:r w:rsidR="00AB01B0" w:rsidRPr="00AA4F9D">
        <w:t xml:space="preserve">separately </w:t>
      </w:r>
      <w:r w:rsidR="00431C60" w:rsidRPr="00AA4F9D">
        <w:t xml:space="preserve">seek individual one-off </w:t>
      </w:r>
      <w:r w:rsidR="00FD48C5" w:rsidRPr="00AA4F9D">
        <w:t>accommodations</w:t>
      </w:r>
      <w:r w:rsidR="00431C60" w:rsidRPr="00AA4F9D">
        <w:t xml:space="preserve"> for them. the Report shows that students with disabilities</w:t>
      </w:r>
      <w:r w:rsidR="00AA4F9D">
        <w:t xml:space="preserve"> </w:t>
      </w:r>
      <w:r w:rsidR="00431C60" w:rsidRPr="00AA4F9D">
        <w:t xml:space="preserve">and their families can run into serious difficulties </w:t>
      </w:r>
      <w:r w:rsidR="00E50438" w:rsidRPr="00AA4F9D">
        <w:t xml:space="preserve">when trying to do </w:t>
      </w:r>
      <w:r w:rsidR="00431C60" w:rsidRPr="00AA4F9D">
        <w:t xml:space="preserve">this. Moreover, the AODA Alliance emphasizes that </w:t>
      </w:r>
      <w:r w:rsidR="00AB01B0" w:rsidRPr="00AA4F9D">
        <w:t xml:space="preserve">such one-off accommodations </w:t>
      </w:r>
      <w:r w:rsidR="004A5DE3" w:rsidRPr="00AA4F9D">
        <w:t xml:space="preserve">fall far short of </w:t>
      </w:r>
      <w:r w:rsidR="007D04F7" w:rsidRPr="00AA4F9D">
        <w:t xml:space="preserve">implementing </w:t>
      </w:r>
      <w:r w:rsidR="00431C60" w:rsidRPr="00AA4F9D">
        <w:t xml:space="preserve">provincial accessibility standards to </w:t>
      </w:r>
      <w:r w:rsidR="00FC4B25" w:rsidRPr="00AA4F9D">
        <w:t xml:space="preserve">systematically </w:t>
      </w:r>
      <w:r w:rsidR="00431C60" w:rsidRPr="00AA4F9D">
        <w:t>remove and prevent recurring accessibility barriers. An Education Accessibility Standard would reduce the need for one-off individual accommodations for each student</w:t>
      </w:r>
      <w:r w:rsidR="004A5DE3" w:rsidRPr="00AA4F9D">
        <w:t xml:space="preserve"> with a disability</w:t>
      </w:r>
      <w:r w:rsidR="00431C60" w:rsidRPr="00AA4F9D">
        <w:t>.</w:t>
      </w:r>
    </w:p>
    <w:p w:rsidR="00B06452" w:rsidRPr="00AA4F9D" w:rsidRDefault="00B06452" w:rsidP="00AA4F9D">
      <w:pPr>
        <w:widowControl w:val="0"/>
      </w:pPr>
    </w:p>
    <w:p w:rsidR="003F1175" w:rsidRPr="00AA4F9D" w:rsidRDefault="005849F9" w:rsidP="00AA4F9D">
      <w:pPr>
        <w:widowControl w:val="0"/>
      </w:pPr>
      <w:r w:rsidRPr="00AA4F9D">
        <w:t xml:space="preserve">The Report identifies no comprehensive accessibility standard in force now in Ontario, elsewhere in Canada or around the world, that does what an Education Accessibility Standard would do, namely </w:t>
      </w:r>
      <w:r w:rsidR="00701DD1" w:rsidRPr="00AA4F9D">
        <w:t xml:space="preserve">implementing </w:t>
      </w:r>
      <w:r w:rsidRPr="00AA4F9D">
        <w:t>a comprehensive</w:t>
      </w:r>
      <w:r w:rsidR="00701DD1" w:rsidRPr="00AA4F9D">
        <w:t>, enforceable</w:t>
      </w:r>
      <w:r w:rsidR="00AA4F9D">
        <w:t xml:space="preserve"> </w:t>
      </w:r>
      <w:r w:rsidRPr="00AA4F9D">
        <w:t xml:space="preserve">regime of requirements to remove and prevent </w:t>
      </w:r>
      <w:r w:rsidR="00701DD1" w:rsidRPr="00AA4F9D">
        <w:t xml:space="preserve">recurring </w:t>
      </w:r>
      <w:r w:rsidRPr="00AA4F9D">
        <w:t xml:space="preserve">accessibility barriers in the education system. </w:t>
      </w:r>
    </w:p>
    <w:p w:rsidR="003F1175" w:rsidRPr="00AA4F9D" w:rsidRDefault="003F1175" w:rsidP="00AA4F9D">
      <w:pPr>
        <w:widowControl w:val="0"/>
      </w:pPr>
    </w:p>
    <w:p w:rsidR="005849F9" w:rsidRPr="00AA4F9D" w:rsidRDefault="005849F9" w:rsidP="00AA4F9D">
      <w:pPr>
        <w:widowControl w:val="0"/>
      </w:pPr>
      <w:r w:rsidRPr="00AA4F9D">
        <w:t>The KPMG Report identifies no comprehensive and effective strategy ever undertaken in Ontario to</w:t>
      </w:r>
      <w:r w:rsidR="00395288" w:rsidRPr="00AA4F9D">
        <w:t xml:space="preserve"> </w:t>
      </w:r>
      <w:r w:rsidRPr="00AA4F9D">
        <w:t>remove and prevent all recurring barriers in Ontario's education system. Had there been such a strategy, the Ontario Government would have told KPMG about it.</w:t>
      </w:r>
      <w:r w:rsidR="003A69B1" w:rsidRPr="00AA4F9D">
        <w:t xml:space="preserve"> </w:t>
      </w:r>
      <w:r w:rsidRPr="00AA4F9D">
        <w:t xml:space="preserve">Ontario has </w:t>
      </w:r>
      <w:r w:rsidR="005B09F3" w:rsidRPr="00AA4F9D">
        <w:t xml:space="preserve">certainly </w:t>
      </w:r>
      <w:r w:rsidRPr="00AA4F9D">
        <w:t>adopted no such strategy or initiative since the Ontario Human Rights Commission</w:t>
      </w:r>
      <w:r w:rsidR="00D26D41" w:rsidRPr="00AA4F9D">
        <w:t>'</w:t>
      </w:r>
      <w:r w:rsidRPr="00AA4F9D">
        <w:t xml:space="preserve">s ground-breaking </w:t>
      </w:r>
      <w:r w:rsidR="00766AF3" w:rsidRPr="00AA4F9D">
        <w:t xml:space="preserve">2003 </w:t>
      </w:r>
      <w:r w:rsidRPr="00AA4F9D">
        <w:t>repor</w:t>
      </w:r>
      <w:r w:rsidR="00766AF3" w:rsidRPr="00AA4F9D">
        <w:t>t</w:t>
      </w:r>
      <w:r w:rsidRPr="00AA4F9D">
        <w:t xml:space="preserve">, </w:t>
      </w:r>
      <w:hyperlink r:id="rId11" w:history="1">
        <w:r w:rsidR="009E482A" w:rsidRPr="00AA4F9D">
          <w:rPr>
            <w:rStyle w:val="Hyperlink"/>
          </w:rPr>
          <w:t>The opportunity to succeed: Achieving barrier-free education for students with disabilities</w:t>
        </w:r>
      </w:hyperlink>
      <w:r w:rsidR="00F0735A" w:rsidRPr="00AA4F9D">
        <w:t>.</w:t>
      </w:r>
      <w:r w:rsidR="009E482A" w:rsidRPr="00AA4F9D">
        <w:t xml:space="preserve"> </w:t>
      </w:r>
      <w:r w:rsidR="00F0735A" w:rsidRPr="00AA4F9D">
        <w:t xml:space="preserve">That report </w:t>
      </w:r>
      <w:r w:rsidRPr="00AA4F9D">
        <w:t xml:space="preserve">identified serious recurring accessibility barriers in Ontario's education system. </w:t>
      </w:r>
    </w:p>
    <w:p w:rsidR="005849F9" w:rsidRPr="00AA4F9D" w:rsidRDefault="005849F9" w:rsidP="00AA4F9D">
      <w:pPr>
        <w:widowControl w:val="0"/>
      </w:pPr>
    </w:p>
    <w:p w:rsidR="008D1EA1" w:rsidRPr="000A484C" w:rsidRDefault="00367109" w:rsidP="00AA4F9D">
      <w:pPr>
        <w:pStyle w:val="Heading3"/>
        <w:keepNext w:val="0"/>
        <w:keepLines w:val="0"/>
        <w:widowControl w:val="0"/>
        <w:spacing w:before="0"/>
        <w:rPr>
          <w:rFonts w:ascii="Times New Roman" w:hAnsi="Times New Roman" w:cs="Times New Roman"/>
          <w:b w:val="0"/>
        </w:rPr>
      </w:pPr>
      <w:bookmarkStart w:id="4" w:name="OLE_LINK17"/>
      <w:bookmarkStart w:id="5" w:name="OLE_LINK18"/>
      <w:r w:rsidRPr="000A484C">
        <w:rPr>
          <w:rStyle w:val="Heading3Char"/>
          <w:rFonts w:ascii="Times New Roman" w:hAnsi="Times New Roman" w:cs="Times New Roman"/>
          <w:b/>
        </w:rPr>
        <w:t>3</w:t>
      </w:r>
      <w:r w:rsidR="00257987" w:rsidRPr="000A484C">
        <w:rPr>
          <w:rStyle w:val="Heading3Char"/>
          <w:rFonts w:ascii="Times New Roman" w:hAnsi="Times New Roman" w:cs="Times New Roman"/>
          <w:b/>
        </w:rPr>
        <w:t xml:space="preserve">. </w:t>
      </w:r>
      <w:r w:rsidR="008D1EA1" w:rsidRPr="000A484C">
        <w:rPr>
          <w:rStyle w:val="Heading3Char"/>
          <w:rFonts w:ascii="Times New Roman" w:hAnsi="Times New Roman" w:cs="Times New Roman"/>
          <w:b/>
        </w:rPr>
        <w:t xml:space="preserve">The Report </w:t>
      </w:r>
      <w:r w:rsidR="000A484C">
        <w:rPr>
          <w:rStyle w:val="Heading3Char"/>
          <w:rFonts w:ascii="Times New Roman" w:hAnsi="Times New Roman" w:cs="Times New Roman"/>
          <w:b/>
        </w:rPr>
        <w:t>r</w:t>
      </w:r>
      <w:r w:rsidR="008D1EA1" w:rsidRPr="000A484C">
        <w:rPr>
          <w:rStyle w:val="Heading3Char"/>
          <w:rFonts w:ascii="Times New Roman" w:hAnsi="Times New Roman" w:cs="Times New Roman"/>
          <w:b/>
        </w:rPr>
        <w:t xml:space="preserve">eveals </w:t>
      </w:r>
      <w:r w:rsidR="000A484C">
        <w:rPr>
          <w:rStyle w:val="Heading3Char"/>
          <w:rFonts w:ascii="Times New Roman" w:hAnsi="Times New Roman" w:cs="Times New Roman"/>
          <w:b/>
        </w:rPr>
        <w:t>m</w:t>
      </w:r>
      <w:r w:rsidR="008D1EA1" w:rsidRPr="000A484C">
        <w:rPr>
          <w:rStyle w:val="Heading3Char"/>
          <w:rFonts w:ascii="Times New Roman" w:hAnsi="Times New Roman" w:cs="Times New Roman"/>
          <w:b/>
        </w:rPr>
        <w:t xml:space="preserve">easures in </w:t>
      </w:r>
      <w:r w:rsidR="000A484C">
        <w:rPr>
          <w:rStyle w:val="Heading3Char"/>
          <w:rFonts w:ascii="Times New Roman" w:hAnsi="Times New Roman" w:cs="Times New Roman"/>
          <w:b/>
        </w:rPr>
        <w:t>o</w:t>
      </w:r>
      <w:r w:rsidR="008D1EA1" w:rsidRPr="000A484C">
        <w:rPr>
          <w:rStyle w:val="Heading3Char"/>
          <w:rFonts w:ascii="Times New Roman" w:hAnsi="Times New Roman" w:cs="Times New Roman"/>
          <w:b/>
        </w:rPr>
        <w:t xml:space="preserve">ther </w:t>
      </w:r>
      <w:r w:rsidR="000A484C">
        <w:rPr>
          <w:rStyle w:val="Heading3Char"/>
          <w:rFonts w:ascii="Times New Roman" w:hAnsi="Times New Roman" w:cs="Times New Roman"/>
          <w:b/>
        </w:rPr>
        <w:t>j</w:t>
      </w:r>
      <w:r w:rsidR="008D1EA1" w:rsidRPr="000A484C">
        <w:rPr>
          <w:rStyle w:val="Heading3Char"/>
          <w:rFonts w:ascii="Times New Roman" w:hAnsi="Times New Roman" w:cs="Times New Roman"/>
          <w:b/>
        </w:rPr>
        <w:t xml:space="preserve">urisdictions </w:t>
      </w:r>
      <w:r w:rsidR="000A484C">
        <w:rPr>
          <w:rStyle w:val="Heading3Char"/>
          <w:rFonts w:ascii="Times New Roman" w:hAnsi="Times New Roman" w:cs="Times New Roman"/>
          <w:b/>
        </w:rPr>
        <w:t>f</w:t>
      </w:r>
      <w:r w:rsidR="008D1EA1" w:rsidRPr="000A484C">
        <w:rPr>
          <w:rStyle w:val="Heading3Char"/>
          <w:rFonts w:ascii="Times New Roman" w:hAnsi="Times New Roman" w:cs="Times New Roman"/>
          <w:b/>
        </w:rPr>
        <w:t xml:space="preserve">rom </w:t>
      </w:r>
      <w:r w:rsidR="000A484C">
        <w:rPr>
          <w:rStyle w:val="Heading3Char"/>
          <w:rFonts w:ascii="Times New Roman" w:hAnsi="Times New Roman" w:cs="Times New Roman"/>
          <w:b/>
        </w:rPr>
        <w:t>w</w:t>
      </w:r>
      <w:r w:rsidR="008D1EA1" w:rsidRPr="000A484C">
        <w:rPr>
          <w:rStyle w:val="Heading3Char"/>
          <w:rFonts w:ascii="Times New Roman" w:hAnsi="Times New Roman" w:cs="Times New Roman"/>
          <w:b/>
        </w:rPr>
        <w:t xml:space="preserve">hich Ontario's </w:t>
      </w:r>
      <w:r w:rsidR="000A484C">
        <w:rPr>
          <w:rStyle w:val="Heading3Char"/>
          <w:rFonts w:ascii="Times New Roman" w:hAnsi="Times New Roman" w:cs="Times New Roman"/>
          <w:b/>
        </w:rPr>
        <w:t>e</w:t>
      </w:r>
      <w:r w:rsidR="008D1EA1" w:rsidRPr="000A484C">
        <w:rPr>
          <w:rStyle w:val="Heading3Char"/>
          <w:rFonts w:ascii="Times New Roman" w:hAnsi="Times New Roman" w:cs="Times New Roman"/>
          <w:b/>
        </w:rPr>
        <w:t xml:space="preserve">ducation system </w:t>
      </w:r>
      <w:r w:rsidR="000A484C">
        <w:rPr>
          <w:rStyle w:val="Heading3Char"/>
          <w:rFonts w:ascii="Times New Roman" w:hAnsi="Times New Roman" w:cs="Times New Roman"/>
          <w:b/>
        </w:rPr>
        <w:t>c</w:t>
      </w:r>
      <w:r w:rsidR="008D1EA1" w:rsidRPr="000A484C">
        <w:rPr>
          <w:rStyle w:val="Heading3Char"/>
          <w:rFonts w:ascii="Times New Roman" w:hAnsi="Times New Roman" w:cs="Times New Roman"/>
          <w:b/>
        </w:rPr>
        <w:t xml:space="preserve">ould </w:t>
      </w:r>
      <w:r w:rsidR="000A484C">
        <w:rPr>
          <w:rStyle w:val="Heading3Char"/>
          <w:rFonts w:ascii="Times New Roman" w:hAnsi="Times New Roman" w:cs="Times New Roman"/>
          <w:b/>
        </w:rPr>
        <w:t>b</w:t>
      </w:r>
      <w:r w:rsidR="008D1EA1" w:rsidRPr="000A484C">
        <w:rPr>
          <w:rStyle w:val="Heading3Char"/>
          <w:rFonts w:ascii="Times New Roman" w:hAnsi="Times New Roman" w:cs="Times New Roman"/>
          <w:b/>
        </w:rPr>
        <w:t>enefit</w:t>
      </w:r>
      <w:r w:rsidR="000A484C">
        <w:rPr>
          <w:rStyle w:val="Heading3Char"/>
          <w:rFonts w:ascii="Times New Roman" w:hAnsi="Times New Roman" w:cs="Times New Roman"/>
          <w:b/>
        </w:rPr>
        <w:t>.</w:t>
      </w:r>
    </w:p>
    <w:bookmarkEnd w:id="4"/>
    <w:bookmarkEnd w:id="5"/>
    <w:p w:rsidR="008D1EA1" w:rsidRPr="00AA4F9D" w:rsidRDefault="008D1EA1" w:rsidP="00AA4F9D">
      <w:pPr>
        <w:widowControl w:val="0"/>
      </w:pPr>
    </w:p>
    <w:p w:rsidR="00453923" w:rsidRPr="00AA4F9D" w:rsidRDefault="00257987" w:rsidP="00AA4F9D">
      <w:pPr>
        <w:widowControl w:val="0"/>
      </w:pPr>
      <w:r w:rsidRPr="00AA4F9D">
        <w:t xml:space="preserve">The KPMG Report </w:t>
      </w:r>
      <w:r w:rsidR="009352F0" w:rsidRPr="00AA4F9D">
        <w:t xml:space="preserve">also </w:t>
      </w:r>
      <w:r w:rsidRPr="00AA4F9D">
        <w:t xml:space="preserve">describes a number of </w:t>
      </w:r>
      <w:r w:rsidR="00167864" w:rsidRPr="00AA4F9D">
        <w:t xml:space="preserve">other </w:t>
      </w:r>
      <w:r w:rsidR="00692932" w:rsidRPr="00AA4F9D">
        <w:t xml:space="preserve">helpful </w:t>
      </w:r>
      <w:r w:rsidR="00064242" w:rsidRPr="00AA4F9D">
        <w:t xml:space="preserve">laws, policies or other initiatives </w:t>
      </w:r>
      <w:r w:rsidRPr="00AA4F9D">
        <w:t>in place in other jurisdictions</w:t>
      </w:r>
      <w:r w:rsidR="00692932" w:rsidRPr="00AA4F9D">
        <w:t>,</w:t>
      </w:r>
      <w:r w:rsidR="00AA4F9D">
        <w:t xml:space="preserve"> </w:t>
      </w:r>
      <w:r w:rsidR="00692932" w:rsidRPr="00AA4F9D">
        <w:t xml:space="preserve">that the Report shows or the AODA Alliance knows </w:t>
      </w:r>
      <w:r w:rsidR="00167864" w:rsidRPr="00AA4F9D">
        <w:t xml:space="preserve">are not </w:t>
      </w:r>
      <w:r w:rsidR="00692932" w:rsidRPr="00AA4F9D">
        <w:t>in place in Ontario</w:t>
      </w:r>
      <w:r w:rsidR="006F7DE7" w:rsidRPr="00AA4F9D">
        <w:t xml:space="preserve">. These </w:t>
      </w:r>
      <w:r w:rsidR="00692932" w:rsidRPr="00AA4F9D">
        <w:t xml:space="preserve">could </w:t>
      </w:r>
      <w:r w:rsidRPr="00AA4F9D">
        <w:t xml:space="preserve">help promote the accessibility of </w:t>
      </w:r>
      <w:r w:rsidR="00692932" w:rsidRPr="00AA4F9D">
        <w:t xml:space="preserve">Ontario's </w:t>
      </w:r>
      <w:r w:rsidRPr="00AA4F9D">
        <w:t>education system</w:t>
      </w:r>
      <w:r w:rsidR="00692932" w:rsidRPr="00AA4F9D">
        <w:t>.</w:t>
      </w:r>
      <w:r w:rsidRPr="00AA4F9D">
        <w:t xml:space="preserve"> </w:t>
      </w:r>
    </w:p>
    <w:p w:rsidR="00453923" w:rsidRPr="00AA4F9D" w:rsidRDefault="00453923" w:rsidP="00AA4F9D">
      <w:pPr>
        <w:widowControl w:val="0"/>
      </w:pPr>
    </w:p>
    <w:p w:rsidR="006F62F3" w:rsidRPr="00AA4F9D" w:rsidRDefault="00A25F72" w:rsidP="00AA4F9D">
      <w:pPr>
        <w:widowControl w:val="0"/>
      </w:pPr>
      <w:r w:rsidRPr="00AA4F9D">
        <w:lastRenderedPageBreak/>
        <w:t xml:space="preserve">The KPMG Report recommended further action in Ontario </w:t>
      </w:r>
      <w:r w:rsidR="009E3737" w:rsidRPr="00AA4F9D">
        <w:t>in these areas</w:t>
      </w:r>
      <w:r w:rsidR="00184A58" w:rsidRPr="00AA4F9D">
        <w:t xml:space="preserve">, which it identified as </w:t>
      </w:r>
      <w:r w:rsidR="005B6C53" w:rsidRPr="00AA4F9D">
        <w:t>priorities</w:t>
      </w:r>
      <w:r w:rsidR="006F62F3" w:rsidRPr="00AA4F9D">
        <w:t>:</w:t>
      </w:r>
    </w:p>
    <w:p w:rsidR="006F7DE7" w:rsidRPr="00AA4F9D" w:rsidRDefault="006F7DE7" w:rsidP="00AA4F9D">
      <w:pPr>
        <w:widowControl w:val="0"/>
      </w:pPr>
    </w:p>
    <w:p w:rsidR="002F786E" w:rsidRPr="00AA4F9D" w:rsidRDefault="002F786E" w:rsidP="00AA4F9D">
      <w:pPr>
        <w:widowControl w:val="0"/>
      </w:pPr>
      <w:r w:rsidRPr="00AA4F9D">
        <w:t xml:space="preserve">a) </w:t>
      </w:r>
      <w:r w:rsidR="000A484C">
        <w:t>N</w:t>
      </w:r>
      <w:r w:rsidRPr="00AA4F9D">
        <w:t>ew inclusive strategies for education, beyond incorporating st</w:t>
      </w:r>
      <w:r w:rsidR="000A484C">
        <w:t>udents into mainstream classes</w:t>
      </w:r>
      <w:r w:rsidR="004E0FFE" w:rsidRPr="00AA4F9D">
        <w:t xml:space="preserve">. These would aim </w:t>
      </w:r>
      <w:r w:rsidR="00D85D72" w:rsidRPr="00AA4F9D">
        <w:t>t</w:t>
      </w:r>
      <w:r w:rsidRPr="00AA4F9D">
        <w:t xml:space="preserve">o ensure students with disabilities have an inclusive experience in the </w:t>
      </w:r>
      <w:r w:rsidR="002058FD" w:rsidRPr="00AA4F9D">
        <w:t xml:space="preserve">entire </w:t>
      </w:r>
      <w:r w:rsidRPr="00AA4F9D">
        <w:t>school community.</w:t>
      </w:r>
    </w:p>
    <w:p w:rsidR="002058FD" w:rsidRPr="00AA4F9D" w:rsidRDefault="002058FD" w:rsidP="00AA4F9D">
      <w:pPr>
        <w:widowControl w:val="0"/>
      </w:pPr>
    </w:p>
    <w:p w:rsidR="002F786E" w:rsidRPr="00AA4F9D" w:rsidRDefault="002F786E" w:rsidP="00AA4F9D">
      <w:pPr>
        <w:widowControl w:val="0"/>
      </w:pPr>
      <w:r w:rsidRPr="00AA4F9D">
        <w:t xml:space="preserve">b) </w:t>
      </w:r>
      <w:r w:rsidR="000A484C">
        <w:t>L</w:t>
      </w:r>
      <w:r w:rsidR="00281663" w:rsidRPr="00AA4F9D">
        <w:t>etting some students with disabilities</w:t>
      </w:r>
      <w:r w:rsidR="00AA4F9D">
        <w:t xml:space="preserve"> </w:t>
      </w:r>
      <w:r w:rsidR="00281663" w:rsidRPr="00AA4F9D">
        <w:t>graduate later if they need more time to complete their studies</w:t>
      </w:r>
      <w:r w:rsidR="00240145">
        <w:t>.</w:t>
      </w:r>
    </w:p>
    <w:p w:rsidR="00281663" w:rsidRPr="00AA4F9D" w:rsidRDefault="00281663" w:rsidP="00AA4F9D">
      <w:pPr>
        <w:widowControl w:val="0"/>
      </w:pPr>
    </w:p>
    <w:p w:rsidR="00315C57" w:rsidRPr="00AA4F9D" w:rsidRDefault="00281663" w:rsidP="00AA4F9D">
      <w:pPr>
        <w:widowControl w:val="0"/>
      </w:pPr>
      <w:r w:rsidRPr="00AA4F9D">
        <w:t>c)</w:t>
      </w:r>
      <w:r w:rsidR="00315C57" w:rsidRPr="00AA4F9D">
        <w:t xml:space="preserve"> Anti-bullying legislation aiming at schools, that protects students with disabilities.</w:t>
      </w:r>
    </w:p>
    <w:p w:rsidR="00315C57" w:rsidRPr="00AA4F9D" w:rsidRDefault="00315C57" w:rsidP="00AA4F9D">
      <w:pPr>
        <w:widowControl w:val="0"/>
      </w:pPr>
    </w:p>
    <w:p w:rsidR="0087687D" w:rsidRPr="00AA4F9D" w:rsidRDefault="00315C57" w:rsidP="00AA4F9D">
      <w:pPr>
        <w:widowControl w:val="0"/>
      </w:pPr>
      <w:r w:rsidRPr="00AA4F9D">
        <w:t>d)</w:t>
      </w:r>
      <w:r w:rsidR="0087687D" w:rsidRPr="00AA4F9D">
        <w:t xml:space="preserve"> Improved data collection on serving and accommodating students with disabilities.</w:t>
      </w:r>
    </w:p>
    <w:p w:rsidR="0087687D" w:rsidRPr="00AA4F9D" w:rsidRDefault="0087687D" w:rsidP="00AA4F9D">
      <w:pPr>
        <w:widowControl w:val="0"/>
      </w:pPr>
    </w:p>
    <w:p w:rsidR="00BE22EC" w:rsidRPr="00AA4F9D" w:rsidRDefault="0087687D" w:rsidP="00AA4F9D">
      <w:pPr>
        <w:widowControl w:val="0"/>
      </w:pPr>
      <w:r w:rsidRPr="00AA4F9D">
        <w:t>e)</w:t>
      </w:r>
      <w:r w:rsidR="00C2577D" w:rsidRPr="00AA4F9D">
        <w:t xml:space="preserve"> To improve the accommodation of individual students with disabilities the Report</w:t>
      </w:r>
      <w:r w:rsidR="00AA4F9D">
        <w:t xml:space="preserve"> </w:t>
      </w:r>
      <w:r w:rsidR="00C2577D" w:rsidRPr="00AA4F9D">
        <w:t xml:space="preserve">emphasized trends emerging elsewhere, focusing on </w:t>
      </w:r>
      <w:r w:rsidR="00240145">
        <w:t>p</w:t>
      </w:r>
      <w:r w:rsidR="00C2577D" w:rsidRPr="00AA4F9D">
        <w:t xml:space="preserve">utting the individual </w:t>
      </w:r>
      <w:r w:rsidR="004D3E6C" w:rsidRPr="00AA4F9D">
        <w:t>first, targeting</w:t>
      </w:r>
      <w:r w:rsidR="007E1620" w:rsidRPr="00AA4F9D">
        <w:t xml:space="preserve"> financial supports for students with disabilities, more effectively defining and implementing reasonable accommodations of individual students with disabilities, </w:t>
      </w:r>
      <w:r w:rsidR="007E0D4E" w:rsidRPr="00AA4F9D">
        <w:t xml:space="preserve">better ensuring accessibility of websites associated with learning and teaching, </w:t>
      </w:r>
      <w:r w:rsidR="00744F76" w:rsidRPr="00AA4F9D">
        <w:t>more effectively providing students with disabilities</w:t>
      </w:r>
      <w:r w:rsidR="00AA4F9D">
        <w:t xml:space="preserve"> </w:t>
      </w:r>
      <w:r w:rsidR="00744F76" w:rsidRPr="00AA4F9D">
        <w:t xml:space="preserve">with needed </w:t>
      </w:r>
      <w:r w:rsidR="00BE22EC" w:rsidRPr="00AA4F9D">
        <w:t>adaptive technology used in the education system</w:t>
      </w:r>
      <w:r w:rsidR="00744F76" w:rsidRPr="00AA4F9D">
        <w:t xml:space="preserve">, and more effective planning for transition within the education system and from the education system to the post-education </w:t>
      </w:r>
      <w:r w:rsidR="00A1514A" w:rsidRPr="00AA4F9D">
        <w:t>phase of life for students with disabilities, and policies to facilitate conflict resolution between parents and schools</w:t>
      </w:r>
      <w:r w:rsidR="00BE22EC" w:rsidRPr="00AA4F9D">
        <w:t xml:space="preserve">. </w:t>
      </w:r>
    </w:p>
    <w:p w:rsidR="00281663" w:rsidRPr="00AA4F9D" w:rsidRDefault="00281663" w:rsidP="00AA4F9D">
      <w:pPr>
        <w:widowControl w:val="0"/>
      </w:pPr>
    </w:p>
    <w:p w:rsidR="003519E5" w:rsidRPr="00AA4F9D" w:rsidRDefault="00257987" w:rsidP="00AA4F9D">
      <w:pPr>
        <w:widowControl w:val="0"/>
      </w:pPr>
      <w:r w:rsidRPr="00AA4F9D">
        <w:t>The AODA Alliance</w:t>
      </w:r>
      <w:r w:rsidR="00AA4F9D">
        <w:t xml:space="preserve"> </w:t>
      </w:r>
      <w:r w:rsidR="00E339F5" w:rsidRPr="00AA4F9D">
        <w:t xml:space="preserve">adds </w:t>
      </w:r>
      <w:r w:rsidRPr="00AA4F9D">
        <w:t xml:space="preserve">that these could </w:t>
      </w:r>
      <w:r w:rsidR="009E3737" w:rsidRPr="00AA4F9D">
        <w:t xml:space="preserve">all </w:t>
      </w:r>
      <w:r w:rsidRPr="00AA4F9D">
        <w:t xml:space="preserve">be worthwhile ingredients in an </w:t>
      </w:r>
      <w:r w:rsidR="006837C3" w:rsidRPr="00AA4F9D">
        <w:t xml:space="preserve">AODA </w:t>
      </w:r>
      <w:r w:rsidRPr="00AA4F9D">
        <w:t>Education Accessibility Standard.</w:t>
      </w:r>
      <w:r w:rsidR="00BD1547" w:rsidRPr="00AA4F9D">
        <w:t xml:space="preserve"> </w:t>
      </w:r>
      <w:r w:rsidR="00E339F5" w:rsidRPr="00AA4F9D">
        <w:t>Yet t</w:t>
      </w:r>
      <w:r w:rsidR="003519E5" w:rsidRPr="00AA4F9D">
        <w:t xml:space="preserve">he </w:t>
      </w:r>
      <w:r w:rsidR="0009599E" w:rsidRPr="00AA4F9D">
        <w:t xml:space="preserve">foregoing </w:t>
      </w:r>
      <w:r w:rsidR="003519E5" w:rsidRPr="00AA4F9D">
        <w:t xml:space="preserve">measures </w:t>
      </w:r>
      <w:r w:rsidR="0009599E" w:rsidRPr="00AA4F9D">
        <w:t xml:space="preserve">that </w:t>
      </w:r>
      <w:r w:rsidR="00E339F5" w:rsidRPr="00AA4F9D">
        <w:t xml:space="preserve">the </w:t>
      </w:r>
      <w:r w:rsidR="003519E5" w:rsidRPr="00AA4F9D">
        <w:t xml:space="preserve">KPMG </w:t>
      </w:r>
      <w:r w:rsidR="00E339F5" w:rsidRPr="00AA4F9D">
        <w:t xml:space="preserve">report </w:t>
      </w:r>
      <w:r w:rsidR="003519E5" w:rsidRPr="00AA4F9D">
        <w:t>identifie</w:t>
      </w:r>
      <w:r w:rsidR="00E339F5" w:rsidRPr="00AA4F9D">
        <w:t>d</w:t>
      </w:r>
      <w:r w:rsidR="003519E5" w:rsidRPr="00AA4F9D">
        <w:t xml:space="preserve"> as priorities are far too narrow. They </w:t>
      </w:r>
      <w:r w:rsidR="00BD1547" w:rsidRPr="00AA4F9D">
        <w:t>are not the only ones that should be considered for inclusion in an AODA Education Accessibility Standard</w:t>
      </w:r>
      <w:r w:rsidR="00502A0A" w:rsidRPr="00AA4F9D">
        <w:t>, or that should be treated as priorities</w:t>
      </w:r>
      <w:r w:rsidR="00BD1547" w:rsidRPr="00AA4F9D">
        <w:t xml:space="preserve">. </w:t>
      </w:r>
    </w:p>
    <w:p w:rsidR="003519E5" w:rsidRPr="00AA4F9D" w:rsidRDefault="003519E5" w:rsidP="00AA4F9D">
      <w:pPr>
        <w:widowControl w:val="0"/>
      </w:pPr>
    </w:p>
    <w:p w:rsidR="009E3737" w:rsidRPr="00AA4F9D" w:rsidRDefault="009E3737" w:rsidP="00AA4F9D">
      <w:pPr>
        <w:widowControl w:val="0"/>
      </w:pPr>
      <w:r w:rsidRPr="00AA4F9D">
        <w:t xml:space="preserve">Although not </w:t>
      </w:r>
      <w:r w:rsidR="006A15BD" w:rsidRPr="00AA4F9D">
        <w:t xml:space="preserve">explicitly </w:t>
      </w:r>
      <w:r w:rsidRPr="00AA4F9D">
        <w:t xml:space="preserve">included in </w:t>
      </w:r>
      <w:r w:rsidR="0009599E" w:rsidRPr="00AA4F9D">
        <w:t xml:space="preserve">KPMG's </w:t>
      </w:r>
      <w:r w:rsidRPr="00AA4F9D">
        <w:t xml:space="preserve">list of priority areas for future action, the KPMG Report's pages </w:t>
      </w:r>
      <w:r w:rsidR="008C1F4E" w:rsidRPr="00AA4F9D">
        <w:t xml:space="preserve">also refer </w:t>
      </w:r>
      <w:r w:rsidRPr="00AA4F9D">
        <w:t>to other measures in other jurisdictions, which the AODA Alliance knows are not in place in Ontario</w:t>
      </w:r>
      <w:r w:rsidR="00B24C1E" w:rsidRPr="00AA4F9D">
        <w:t xml:space="preserve">. These </w:t>
      </w:r>
      <w:r w:rsidRPr="00AA4F9D">
        <w:t>would also help achieve accessibility in Ontario's education system</w:t>
      </w:r>
      <w:r w:rsidR="0030647E" w:rsidRPr="00AA4F9D">
        <w:t xml:space="preserve">. </w:t>
      </w:r>
      <w:r w:rsidR="00B24C1E" w:rsidRPr="00AA4F9D">
        <w:t xml:space="preserve">These too are </w:t>
      </w:r>
      <w:r w:rsidR="0030647E" w:rsidRPr="00AA4F9D">
        <w:t xml:space="preserve">worthy of inclusion in </w:t>
      </w:r>
      <w:r w:rsidRPr="00AA4F9D">
        <w:t>an Education Accessibility Standard. These include:</w:t>
      </w:r>
    </w:p>
    <w:p w:rsidR="009E3737" w:rsidRPr="00AA4F9D" w:rsidRDefault="009E3737" w:rsidP="00AA4F9D">
      <w:pPr>
        <w:widowControl w:val="0"/>
      </w:pPr>
    </w:p>
    <w:p w:rsidR="006A15BD" w:rsidRPr="00AA4F9D" w:rsidRDefault="009D05C0" w:rsidP="00AA4F9D">
      <w:pPr>
        <w:widowControl w:val="0"/>
      </w:pPr>
      <w:r w:rsidRPr="00AA4F9D">
        <w:t xml:space="preserve">a) The Report refers to rights of appeal from decisions by educational organizations such as schools, on what they will do to accommodate a student with a disability, in other jurisdictions, such as Alberta and British Columbia. It </w:t>
      </w:r>
      <w:r w:rsidR="00941302" w:rsidRPr="00AA4F9D">
        <w:t xml:space="preserve">also </w:t>
      </w:r>
      <w:r w:rsidRPr="00AA4F9D">
        <w:t>details far more extensive due process rights in the U.S. under the Individuals with Disabilities Education Act IDEA.</w:t>
      </w:r>
      <w:r w:rsidR="006A15BD" w:rsidRPr="00AA4F9D">
        <w:t xml:space="preserve"> The Report talks about ways to resolve conflicts with families and students with disabilities. The AODA Alliance</w:t>
      </w:r>
      <w:r w:rsidR="00AA4F9D">
        <w:t xml:space="preserve"> </w:t>
      </w:r>
      <w:r w:rsidR="006A15BD" w:rsidRPr="00AA4F9D">
        <w:t>notes that a new formal appeal process in Ontario could be part of this.</w:t>
      </w:r>
    </w:p>
    <w:p w:rsidR="009D05C0" w:rsidRPr="00AA4F9D" w:rsidRDefault="009D05C0" w:rsidP="00AA4F9D">
      <w:pPr>
        <w:widowControl w:val="0"/>
      </w:pPr>
    </w:p>
    <w:p w:rsidR="002478BE" w:rsidRPr="00AA4F9D" w:rsidRDefault="009D05C0" w:rsidP="00AA4F9D">
      <w:pPr>
        <w:widowControl w:val="0"/>
      </w:pPr>
      <w:r w:rsidRPr="00AA4F9D">
        <w:t>b)</w:t>
      </w:r>
      <w:r w:rsidR="002478BE" w:rsidRPr="00AA4F9D">
        <w:t xml:space="preserve"> The KPMG Report does not explain why it did not identify the removal and prevention of accessibility barriers in the built environment in educational facilities in Ontario as an important area to address in the future. Yet the Report </w:t>
      </w:r>
      <w:r w:rsidR="000523A0" w:rsidRPr="00AA4F9D">
        <w:t xml:space="preserve">gave </w:t>
      </w:r>
      <w:r w:rsidR="002478BE" w:rsidRPr="00AA4F9D">
        <w:t>examples of action in other jurisdictions which could be helpful, including those in Alberta, New York City,</w:t>
      </w:r>
      <w:r w:rsidR="00AA4F9D">
        <w:t xml:space="preserve"> </w:t>
      </w:r>
      <w:r w:rsidR="002478BE" w:rsidRPr="00AA4F9D">
        <w:t xml:space="preserve">and, in more general terms, </w:t>
      </w:r>
      <w:r w:rsidR="002478BE" w:rsidRPr="00AA4F9D">
        <w:lastRenderedPageBreak/>
        <w:t xml:space="preserve">Saskatchewan. </w:t>
      </w:r>
    </w:p>
    <w:p w:rsidR="007C3390" w:rsidRPr="00AA4F9D" w:rsidRDefault="007C3390" w:rsidP="00AA4F9D">
      <w:pPr>
        <w:widowControl w:val="0"/>
      </w:pPr>
    </w:p>
    <w:p w:rsidR="00D3706D" w:rsidRPr="00AA4F9D" w:rsidRDefault="007C3390" w:rsidP="00AA4F9D">
      <w:pPr>
        <w:widowControl w:val="0"/>
      </w:pPr>
      <w:r w:rsidRPr="00AA4F9D">
        <w:t>c)</w:t>
      </w:r>
      <w:r w:rsidR="00D3706D" w:rsidRPr="00AA4F9D">
        <w:t xml:space="preserve"> The Report identified measures aimed at ensuring the accessibility of instructional materials, referring to the U.S., including Arizona.</w:t>
      </w:r>
    </w:p>
    <w:p w:rsidR="00D3706D" w:rsidRPr="00AA4F9D" w:rsidRDefault="00D3706D" w:rsidP="00AA4F9D">
      <w:pPr>
        <w:widowControl w:val="0"/>
      </w:pPr>
    </w:p>
    <w:p w:rsidR="00D937D3" w:rsidRPr="00AA4F9D" w:rsidRDefault="00D3706D" w:rsidP="00AA4F9D">
      <w:pPr>
        <w:widowControl w:val="0"/>
      </w:pPr>
      <w:r w:rsidRPr="00AA4F9D">
        <w:t>d)</w:t>
      </w:r>
      <w:r w:rsidR="00D937D3" w:rsidRPr="00AA4F9D">
        <w:t xml:space="preserve"> To effectively include students with disabilities</w:t>
      </w:r>
      <w:r w:rsidR="00AA4F9D">
        <w:t xml:space="preserve"> </w:t>
      </w:r>
      <w:r w:rsidR="00D937D3" w:rsidRPr="00AA4F9D">
        <w:t>in the mainstream classroom, it is important to ensure that there are no attitudinal barriers to their inclusion, among students without disabilities. The Report refer</w:t>
      </w:r>
      <w:r w:rsidR="00F41F43" w:rsidRPr="00AA4F9D">
        <w:t>red</w:t>
      </w:r>
      <w:r w:rsidR="00D937D3" w:rsidRPr="00AA4F9D">
        <w:t xml:space="preserve"> to concerted effort</w:t>
      </w:r>
      <w:r w:rsidR="00B22F51" w:rsidRPr="00AA4F9D">
        <w:t>s</w:t>
      </w:r>
      <w:r w:rsidR="00D937D3" w:rsidRPr="00AA4F9D">
        <w:t xml:space="preserve"> in California and New York to include disability issues in the mainstream school curriculum. This can help support barrier-free inclusive education. </w:t>
      </w:r>
      <w:r w:rsidR="00382028" w:rsidRPr="00AA4F9D">
        <w:t xml:space="preserve">This </w:t>
      </w:r>
      <w:r w:rsidR="00D937D3" w:rsidRPr="00AA4F9D">
        <w:t xml:space="preserve">goes far beyond anti-bullying laws. </w:t>
      </w:r>
      <w:r w:rsidR="001D1B8E" w:rsidRPr="00AA4F9D">
        <w:t xml:space="preserve">The Report does not note that </w:t>
      </w:r>
      <w:r w:rsidR="00D937D3" w:rsidRPr="00AA4F9D">
        <w:t xml:space="preserve">The Ontario Government promised such action </w:t>
      </w:r>
      <w:hyperlink r:id="rId12" w:history="1">
        <w:r w:rsidR="00D937D3" w:rsidRPr="00AA4F9D">
          <w:rPr>
            <w:rStyle w:val="Hyperlink"/>
          </w:rPr>
          <w:t>in the 200</w:t>
        </w:r>
        <w:r w:rsidR="00D937D3" w:rsidRPr="00AA4F9D">
          <w:rPr>
            <w:rStyle w:val="Hyperlink"/>
          </w:rPr>
          <w:t>7</w:t>
        </w:r>
        <w:r w:rsidR="00D937D3" w:rsidRPr="00AA4F9D">
          <w:rPr>
            <w:rStyle w:val="Hyperlink"/>
          </w:rPr>
          <w:t xml:space="preserve"> Ontario election</w:t>
        </w:r>
      </w:hyperlink>
      <w:r w:rsidR="00D937D3" w:rsidRPr="00AA4F9D">
        <w:t xml:space="preserve">, but has </w:t>
      </w:r>
      <w:r w:rsidR="00172D78" w:rsidRPr="00AA4F9D">
        <w:t xml:space="preserve">told the AODA Alliance of </w:t>
      </w:r>
      <w:r w:rsidR="00D937D3" w:rsidRPr="00AA4F9D">
        <w:t>no action to fulfil that promise.</w:t>
      </w:r>
    </w:p>
    <w:p w:rsidR="00D937D3" w:rsidRPr="00AA4F9D" w:rsidRDefault="00D937D3" w:rsidP="00AA4F9D">
      <w:pPr>
        <w:widowControl w:val="0"/>
      </w:pPr>
    </w:p>
    <w:p w:rsidR="00D77919" w:rsidRPr="00AA4F9D" w:rsidRDefault="001D1B8E" w:rsidP="00AA4F9D">
      <w:pPr>
        <w:widowControl w:val="0"/>
      </w:pPr>
      <w:r w:rsidRPr="00AA4F9D">
        <w:t xml:space="preserve">e) </w:t>
      </w:r>
      <w:r w:rsidR="00D77919" w:rsidRPr="00AA4F9D">
        <w:t>The Report identified efforts in certain other jurisdictions to more effectively train mainstream classroom teachers on meeting the needs of students with disabilities</w:t>
      </w:r>
      <w:r w:rsidR="00AA4F9D">
        <w:t xml:space="preserve"> </w:t>
      </w:r>
      <w:r w:rsidR="00D77919" w:rsidRPr="00AA4F9D">
        <w:t>in their classes. The AODA Alliance</w:t>
      </w:r>
      <w:r w:rsidR="00AA4F9D">
        <w:t xml:space="preserve"> </w:t>
      </w:r>
      <w:r w:rsidR="00D77919" w:rsidRPr="00AA4F9D">
        <w:t xml:space="preserve">contends that </w:t>
      </w:r>
      <w:r w:rsidR="00AE1C56" w:rsidRPr="00AA4F9D">
        <w:t xml:space="preserve">Ontario needs this </w:t>
      </w:r>
      <w:r w:rsidR="00D77919" w:rsidRPr="00AA4F9D">
        <w:t xml:space="preserve">to help counteract the </w:t>
      </w:r>
      <w:proofErr w:type="gramStart"/>
      <w:r w:rsidR="00D77919" w:rsidRPr="00AA4F9D">
        <w:t>long term</w:t>
      </w:r>
      <w:proofErr w:type="gramEnd"/>
      <w:r w:rsidR="00D77919" w:rsidRPr="00AA4F9D">
        <w:t xml:space="preserve"> design of Ontario's education system</w:t>
      </w:r>
      <w:r w:rsidR="00AE1C56" w:rsidRPr="00AA4F9D">
        <w:t>. Mainstream teachers were traditionally trained in Ontario to only teach students without disabilities.</w:t>
      </w:r>
      <w:r w:rsidR="00AA4F9D">
        <w:t xml:space="preserve"> </w:t>
      </w:r>
      <w:r w:rsidR="00240145">
        <w:t>T</w:t>
      </w:r>
      <w:r w:rsidR="00D77919" w:rsidRPr="00AA4F9D">
        <w:t>he KPMG Report described measures in Singapore and California.</w:t>
      </w:r>
      <w:r w:rsidR="00AA4F9D">
        <w:t xml:space="preserve"> </w:t>
      </w:r>
    </w:p>
    <w:p w:rsidR="009E3737" w:rsidRPr="00AA4F9D" w:rsidRDefault="009E3737" w:rsidP="00AA4F9D">
      <w:pPr>
        <w:widowControl w:val="0"/>
      </w:pPr>
      <w:r w:rsidRPr="00AA4F9D">
        <w:t xml:space="preserve"> </w:t>
      </w:r>
    </w:p>
    <w:p w:rsidR="00BD1547" w:rsidRPr="00AA4F9D" w:rsidRDefault="00D370F2" w:rsidP="00240145">
      <w:pPr>
        <w:widowControl w:val="0"/>
        <w:contextualSpacing w:val="0"/>
      </w:pPr>
      <w:r w:rsidRPr="00AA4F9D">
        <w:t>Beyond the foregoing, there are even more good ideas worthy of consideration</w:t>
      </w:r>
      <w:r w:rsidR="00C54539" w:rsidRPr="00AA4F9D">
        <w:t xml:space="preserve"> for inclusion in </w:t>
      </w:r>
      <w:r w:rsidR="00240145">
        <w:t>a</w:t>
      </w:r>
      <w:r w:rsidR="00C54539" w:rsidRPr="00AA4F9D">
        <w:t>n Education Accessibility Standard,</w:t>
      </w:r>
      <w:r w:rsidRPr="00AA4F9D">
        <w:t xml:space="preserve"> which the KPMG Report never mention</w:t>
      </w:r>
      <w:r w:rsidR="008A693D" w:rsidRPr="00AA4F9D">
        <w:t>ed</w:t>
      </w:r>
      <w:r w:rsidRPr="00AA4F9D">
        <w:t>. That is why it is important for a Standards Development Committee to be appointed and to conduct a broad public consultation.</w:t>
      </w:r>
      <w:r w:rsidR="00FA0979" w:rsidRPr="00AA4F9D">
        <w:t xml:space="preserve"> </w:t>
      </w:r>
      <w:r w:rsidR="00BD1547" w:rsidRPr="00AA4F9D">
        <w:t>If the Ontario Government agree</w:t>
      </w:r>
      <w:r w:rsidR="00EF3657" w:rsidRPr="00AA4F9D">
        <w:t>s</w:t>
      </w:r>
      <w:r w:rsidR="00BD1547" w:rsidRPr="00AA4F9D">
        <w:t xml:space="preserve"> to develop an AODA Education Accessibility Standard, it should not pre-decide, at the start of the process, what that accessibility standard will include</w:t>
      </w:r>
      <w:r w:rsidR="008A693D" w:rsidRPr="00AA4F9D">
        <w:t>, nor should it limit the range of accessibility barriers that the Standards Development Committee can explore</w:t>
      </w:r>
      <w:r w:rsidR="00BD1547" w:rsidRPr="00AA4F9D">
        <w:t xml:space="preserve">. </w:t>
      </w:r>
      <w:r w:rsidR="00265DB9" w:rsidRPr="00AA4F9D">
        <w:t>T</w:t>
      </w:r>
      <w:r w:rsidR="00BD1547" w:rsidRPr="00AA4F9D">
        <w:t xml:space="preserve">he Government </w:t>
      </w:r>
      <w:r w:rsidR="00265DB9" w:rsidRPr="00AA4F9D">
        <w:t xml:space="preserve">should </w:t>
      </w:r>
      <w:r w:rsidR="00BD1547" w:rsidRPr="00AA4F9D">
        <w:t xml:space="preserve">leave a Standards Development Committee free to consult the public and to bring good ideas to the Government for its consideration. </w:t>
      </w:r>
    </w:p>
    <w:p w:rsidR="00257987" w:rsidRPr="00AA4F9D" w:rsidRDefault="00257987" w:rsidP="00AA4F9D">
      <w:pPr>
        <w:widowControl w:val="0"/>
      </w:pPr>
      <w:r w:rsidRPr="00AA4F9D">
        <w:t xml:space="preserve"> </w:t>
      </w:r>
    </w:p>
    <w:p w:rsidR="004E702E" w:rsidRPr="00240145" w:rsidRDefault="008D1EA1" w:rsidP="00AA4F9D">
      <w:pPr>
        <w:pStyle w:val="Heading3"/>
        <w:keepNext w:val="0"/>
        <w:keepLines w:val="0"/>
        <w:widowControl w:val="0"/>
        <w:spacing w:before="0"/>
        <w:rPr>
          <w:rFonts w:ascii="Times New Roman" w:hAnsi="Times New Roman" w:cs="Times New Roman"/>
          <w:b w:val="0"/>
        </w:rPr>
      </w:pPr>
      <w:bookmarkStart w:id="6" w:name="OLE_LINK19"/>
      <w:bookmarkStart w:id="7" w:name="OLE_LINK20"/>
      <w:r w:rsidRPr="00240145">
        <w:rPr>
          <w:rStyle w:val="Heading3Char"/>
          <w:rFonts w:ascii="Times New Roman" w:hAnsi="Times New Roman" w:cs="Times New Roman"/>
          <w:b/>
        </w:rPr>
        <w:t>4</w:t>
      </w:r>
      <w:r w:rsidR="001F315C" w:rsidRPr="00240145">
        <w:rPr>
          <w:rStyle w:val="Heading3Char"/>
          <w:rFonts w:ascii="Times New Roman" w:hAnsi="Times New Roman" w:cs="Times New Roman"/>
          <w:b/>
        </w:rPr>
        <w:t>.</w:t>
      </w:r>
      <w:r w:rsidR="00240145" w:rsidRPr="00240145">
        <w:rPr>
          <w:rStyle w:val="Heading3Char"/>
          <w:rFonts w:ascii="Times New Roman" w:hAnsi="Times New Roman" w:cs="Times New Roman"/>
          <w:b/>
        </w:rPr>
        <w:t xml:space="preserve"> </w:t>
      </w:r>
      <w:r w:rsidR="00240145">
        <w:rPr>
          <w:rStyle w:val="Heading3Char"/>
          <w:rFonts w:ascii="Times New Roman" w:hAnsi="Times New Roman" w:cs="Times New Roman"/>
          <w:b/>
        </w:rPr>
        <w:t>T</w:t>
      </w:r>
      <w:r w:rsidR="00240145" w:rsidRPr="00240145">
        <w:rPr>
          <w:rStyle w:val="Heading3Char"/>
          <w:rFonts w:ascii="Times New Roman" w:hAnsi="Times New Roman" w:cs="Times New Roman"/>
          <w:b/>
        </w:rPr>
        <w:t xml:space="preserve">he </w:t>
      </w:r>
      <w:r w:rsidR="00240145">
        <w:rPr>
          <w:rStyle w:val="Heading3Char"/>
          <w:rFonts w:ascii="Times New Roman" w:hAnsi="Times New Roman" w:cs="Times New Roman"/>
          <w:b/>
        </w:rPr>
        <w:t>R</w:t>
      </w:r>
      <w:r w:rsidR="00240145" w:rsidRPr="00240145">
        <w:rPr>
          <w:rStyle w:val="Heading3Char"/>
          <w:rFonts w:ascii="Times New Roman" w:hAnsi="Times New Roman" w:cs="Times New Roman"/>
          <w:b/>
        </w:rPr>
        <w:t xml:space="preserve">eport has serious deficiencies and should not be used to limit the range of accessibility barriers that an </w:t>
      </w:r>
      <w:r w:rsidR="00240145">
        <w:rPr>
          <w:rStyle w:val="Heading3Char"/>
          <w:rFonts w:ascii="Times New Roman" w:hAnsi="Times New Roman" w:cs="Times New Roman"/>
          <w:b/>
        </w:rPr>
        <w:t>E</w:t>
      </w:r>
      <w:r w:rsidR="00240145" w:rsidRPr="00240145">
        <w:rPr>
          <w:rStyle w:val="Heading3Char"/>
          <w:rFonts w:ascii="Times New Roman" w:hAnsi="Times New Roman" w:cs="Times New Roman"/>
          <w:b/>
        </w:rPr>
        <w:t xml:space="preserve">ducation </w:t>
      </w:r>
      <w:r w:rsidR="00240145">
        <w:rPr>
          <w:rStyle w:val="Heading3Char"/>
          <w:rFonts w:ascii="Times New Roman" w:hAnsi="Times New Roman" w:cs="Times New Roman"/>
          <w:b/>
        </w:rPr>
        <w:t>A</w:t>
      </w:r>
      <w:r w:rsidR="00240145" w:rsidRPr="00240145">
        <w:rPr>
          <w:rStyle w:val="Heading3Char"/>
          <w:rFonts w:ascii="Times New Roman" w:hAnsi="Times New Roman" w:cs="Times New Roman"/>
          <w:b/>
        </w:rPr>
        <w:t xml:space="preserve">ccessibility </w:t>
      </w:r>
      <w:r w:rsidR="00240145">
        <w:rPr>
          <w:rStyle w:val="Heading3Char"/>
          <w:rFonts w:ascii="Times New Roman" w:hAnsi="Times New Roman" w:cs="Times New Roman"/>
          <w:b/>
        </w:rPr>
        <w:t>S</w:t>
      </w:r>
      <w:r w:rsidR="00240145" w:rsidRPr="00240145">
        <w:rPr>
          <w:rStyle w:val="Heading3Char"/>
          <w:rFonts w:ascii="Times New Roman" w:hAnsi="Times New Roman" w:cs="Times New Roman"/>
          <w:b/>
        </w:rPr>
        <w:t>tandard should address</w:t>
      </w:r>
      <w:r w:rsidR="00D55A4E" w:rsidRPr="00240145">
        <w:rPr>
          <w:rFonts w:ascii="Times New Roman" w:hAnsi="Times New Roman" w:cs="Times New Roman"/>
          <w:b w:val="0"/>
        </w:rPr>
        <w:t xml:space="preserve"> </w:t>
      </w:r>
    </w:p>
    <w:bookmarkEnd w:id="6"/>
    <w:bookmarkEnd w:id="7"/>
    <w:p w:rsidR="004E702E" w:rsidRPr="00AA4F9D" w:rsidRDefault="004E702E" w:rsidP="00AA4F9D">
      <w:pPr>
        <w:widowControl w:val="0"/>
      </w:pPr>
    </w:p>
    <w:p w:rsidR="00DB2DCC" w:rsidRPr="00AA4F9D" w:rsidRDefault="00905406" w:rsidP="00AA4F9D">
      <w:pPr>
        <w:widowControl w:val="0"/>
      </w:pPr>
      <w:r w:rsidRPr="00AA4F9D">
        <w:t xml:space="preserve">There are significant problems with the KPMG </w:t>
      </w:r>
      <w:r w:rsidR="004D3E6C" w:rsidRPr="00AA4F9D">
        <w:t>Report. The</w:t>
      </w:r>
      <w:r w:rsidRPr="00AA4F9D">
        <w:t xml:space="preserve"> Report should be treated as significantly incomplete. </w:t>
      </w:r>
      <w:r w:rsidR="00DB2DCC" w:rsidRPr="00AA4F9D">
        <w:t xml:space="preserve">Despite its flaws, the KPMG Report is a useful source for </w:t>
      </w:r>
      <w:r w:rsidR="00DB2DCC" w:rsidRPr="00AA4F9D">
        <w:rPr>
          <w:i/>
        </w:rPr>
        <w:t>some</w:t>
      </w:r>
      <w:r w:rsidR="00DB2DCC" w:rsidRPr="00AA4F9D">
        <w:t xml:space="preserve"> of the recurring accessibility barriers in Ontario's education system. The accessibility barriers that it identifies are serious problems for students with disabilities. They need to be systematically addressed. </w:t>
      </w:r>
    </w:p>
    <w:p w:rsidR="00050576" w:rsidRPr="00AA4F9D" w:rsidRDefault="00050576" w:rsidP="00AA4F9D">
      <w:pPr>
        <w:widowControl w:val="0"/>
      </w:pPr>
    </w:p>
    <w:p w:rsidR="00DB2DCC" w:rsidRPr="00AA4F9D" w:rsidRDefault="00DB2DCC" w:rsidP="00AA4F9D">
      <w:pPr>
        <w:widowControl w:val="0"/>
      </w:pPr>
      <w:r w:rsidRPr="00AA4F9D">
        <w:t>However</w:t>
      </w:r>
      <w:r w:rsidR="00240145">
        <w:t>,</w:t>
      </w:r>
      <w:r w:rsidRPr="00AA4F9D">
        <w:t xml:space="preserve"> the KPMG Report should not be treated as the only source, or the best source of accessibility barriers in Ontario's education system. The Ontario Government should not restrict efforts towards an Education Accessibility Standard or other efforts on reform in this area</w:t>
      </w:r>
      <w:r w:rsidR="00926FDC" w:rsidRPr="00AA4F9D">
        <w:t>,</w:t>
      </w:r>
      <w:r w:rsidRPr="00AA4F9D">
        <w:t xml:space="preserve"> to the </w:t>
      </w:r>
      <w:r w:rsidR="00926FDC" w:rsidRPr="00AA4F9D">
        <w:t xml:space="preserve">priorities </w:t>
      </w:r>
      <w:r w:rsidRPr="00AA4F9D">
        <w:t>that KPMG listed.</w:t>
      </w:r>
      <w:r w:rsidR="00AA4F9D">
        <w:t xml:space="preserve"> </w:t>
      </w:r>
    </w:p>
    <w:p w:rsidR="00DB2DCC" w:rsidRPr="00AA4F9D" w:rsidRDefault="00DB2DCC" w:rsidP="00AA4F9D">
      <w:pPr>
        <w:widowControl w:val="0"/>
      </w:pPr>
      <w:r w:rsidRPr="00AA4F9D">
        <w:t xml:space="preserve"> </w:t>
      </w:r>
    </w:p>
    <w:p w:rsidR="00905406" w:rsidRPr="00AA4F9D" w:rsidRDefault="00905406" w:rsidP="00AA4F9D">
      <w:pPr>
        <w:widowControl w:val="0"/>
      </w:pPr>
      <w:r w:rsidRPr="00AA4F9D">
        <w:t xml:space="preserve">Here are </w:t>
      </w:r>
      <w:r w:rsidR="00E32087" w:rsidRPr="00AA4F9D">
        <w:t xml:space="preserve">the KPMG Report's </w:t>
      </w:r>
      <w:r w:rsidRPr="00AA4F9D">
        <w:t>key deficiencies:</w:t>
      </w:r>
    </w:p>
    <w:p w:rsidR="001B6769" w:rsidRPr="00AA4F9D" w:rsidRDefault="001B6769" w:rsidP="00AA4F9D">
      <w:pPr>
        <w:widowControl w:val="0"/>
      </w:pPr>
    </w:p>
    <w:p w:rsidR="005804E0" w:rsidRPr="00AA4F9D" w:rsidRDefault="001B6769" w:rsidP="00AA4F9D">
      <w:pPr>
        <w:widowControl w:val="0"/>
      </w:pPr>
      <w:r w:rsidRPr="00AA4F9D">
        <w:t xml:space="preserve">a) The KPMG Report, </w:t>
      </w:r>
      <w:r w:rsidR="00DB5930" w:rsidRPr="00AA4F9D">
        <w:t xml:space="preserve">including </w:t>
      </w:r>
      <w:r w:rsidRPr="00AA4F9D">
        <w:t xml:space="preserve">its list of </w:t>
      </w:r>
      <w:r w:rsidR="00DB5930" w:rsidRPr="00AA4F9D">
        <w:t xml:space="preserve">priorities </w:t>
      </w:r>
      <w:r w:rsidRPr="00AA4F9D">
        <w:t xml:space="preserve">for future action on accessibility barriers, </w:t>
      </w:r>
      <w:r w:rsidRPr="00AA4F9D">
        <w:lastRenderedPageBreak/>
        <w:t xml:space="preserve">significantly understates the range of recurring accessibility barriers in Ontario's education system. </w:t>
      </w:r>
      <w:r w:rsidR="00E54252" w:rsidRPr="00AA4F9D">
        <w:t>The Report missed important recurring accessibility barriers</w:t>
      </w:r>
      <w:r w:rsidR="00AA4F9D">
        <w:t xml:space="preserve"> </w:t>
      </w:r>
      <w:r w:rsidR="00E54252" w:rsidRPr="00AA4F9D">
        <w:t xml:space="preserve">in Ontario's education system. </w:t>
      </w:r>
      <w:r w:rsidR="00DB5930" w:rsidRPr="00AA4F9D">
        <w:t>As noted above, s</w:t>
      </w:r>
      <w:r w:rsidR="00E54252" w:rsidRPr="00AA4F9D">
        <w:t xml:space="preserve">ome of these recurring accessibility barriers are mentioned or adverted to elsewhere in the Report, without these </w:t>
      </w:r>
      <w:r w:rsidR="00DB5930" w:rsidRPr="00AA4F9D">
        <w:t xml:space="preserve">being designated </w:t>
      </w:r>
      <w:r w:rsidR="00E54252" w:rsidRPr="00AA4F9D">
        <w:t>part of its ultimate conclusions.</w:t>
      </w:r>
      <w:r w:rsidR="00AA4F9D">
        <w:t xml:space="preserve"> </w:t>
      </w:r>
    </w:p>
    <w:p w:rsidR="005804E0" w:rsidRPr="00AA4F9D" w:rsidRDefault="005804E0" w:rsidP="00AA4F9D">
      <w:pPr>
        <w:widowControl w:val="0"/>
      </w:pPr>
    </w:p>
    <w:p w:rsidR="00BC6BF5" w:rsidRPr="00AA4F9D" w:rsidRDefault="00BC6BF5" w:rsidP="00AA4F9D">
      <w:pPr>
        <w:widowControl w:val="0"/>
      </w:pPr>
      <w:r w:rsidRPr="00AA4F9D">
        <w:t>For example</w:t>
      </w:r>
      <w:r w:rsidR="00745586" w:rsidRPr="00AA4F9D">
        <w:t xml:space="preserve">, </w:t>
      </w:r>
      <w:r w:rsidR="00CB1B50" w:rsidRPr="00AA4F9D">
        <w:t xml:space="preserve">as noted above, </w:t>
      </w:r>
      <w:r w:rsidR="00745586" w:rsidRPr="00AA4F9D">
        <w:t xml:space="preserve">the Report does not identify accessibility barriers in the built environment of Ontario's education system as a major priority for action. </w:t>
      </w:r>
      <w:r w:rsidR="00CB1B50" w:rsidRPr="00AA4F9D">
        <w:t xml:space="preserve">The Report did not recognize that </w:t>
      </w:r>
      <w:r w:rsidR="00745586" w:rsidRPr="00AA4F9D">
        <w:t xml:space="preserve">as of the start of 2016, only 85 of the 550 schools in the Toronto District School Board were physically accessible, according to whatever measure of accessibility TDSB uses. </w:t>
      </w:r>
      <w:r w:rsidRPr="00AA4F9D">
        <w:t xml:space="preserve">The Report also did not note the problem of accessibility barriers in new buildings in Ontario post-secondary </w:t>
      </w:r>
      <w:r w:rsidR="00CB1B50" w:rsidRPr="00AA4F9D">
        <w:t>educational organizations,</w:t>
      </w:r>
      <w:r w:rsidRPr="00AA4F9D">
        <w:t xml:space="preserve"> such as Ryerson's new Student Learning Centre, or the renovated Osgoode Hall Law School</w:t>
      </w:r>
      <w:r w:rsidR="009B6395" w:rsidRPr="00AA4F9D">
        <w:t xml:space="preserve"> at York University</w:t>
      </w:r>
      <w:r w:rsidR="00CB1B50" w:rsidRPr="00AA4F9D">
        <w:t>. Both buildings' accessibility problems</w:t>
      </w:r>
      <w:r w:rsidR="00AA4F9D">
        <w:t xml:space="preserve"> </w:t>
      </w:r>
      <w:r w:rsidR="009B6395" w:rsidRPr="00AA4F9D">
        <w:t>recently garnered media attention</w:t>
      </w:r>
      <w:r w:rsidRPr="00AA4F9D">
        <w:t>. The Report does describe U.S. requirements, which are not paralleled in Ontario, and which require educational organizations receiving federal funds to take certain steps to retrofit the built environment in order to promote accessibility for students with disabilities.</w:t>
      </w:r>
    </w:p>
    <w:p w:rsidR="00560BE4" w:rsidRPr="00AA4F9D" w:rsidRDefault="00560BE4" w:rsidP="00AA4F9D">
      <w:pPr>
        <w:widowControl w:val="0"/>
      </w:pPr>
    </w:p>
    <w:p w:rsidR="00560BE4" w:rsidRPr="00AA4F9D" w:rsidRDefault="00560BE4" w:rsidP="00AA4F9D">
      <w:pPr>
        <w:widowControl w:val="0"/>
      </w:pPr>
      <w:r w:rsidRPr="00AA4F9D">
        <w:t>There are several other priority areas of recurring accessibility barriers which the Report missed in reaching this conclusion, such as accessibility barriers in software and hardware deployed in learning settings, in curriculum design, in experiential learning, and in gym and playground equipment, just to name a few.</w:t>
      </w:r>
    </w:p>
    <w:p w:rsidR="00560BE4" w:rsidRPr="00AA4F9D" w:rsidRDefault="00560BE4" w:rsidP="00AA4F9D">
      <w:pPr>
        <w:widowControl w:val="0"/>
      </w:pPr>
    </w:p>
    <w:p w:rsidR="00074786" w:rsidRPr="00AA4F9D" w:rsidRDefault="004309F7" w:rsidP="00AA4F9D">
      <w:pPr>
        <w:widowControl w:val="0"/>
      </w:pPr>
      <w:r w:rsidRPr="00AA4F9D">
        <w:t>b) KPMG in significant part treated the issue of accessibility barriers in the education system</w:t>
      </w:r>
      <w:r w:rsidR="00AA4F9D">
        <w:t xml:space="preserve"> </w:t>
      </w:r>
      <w:r w:rsidRPr="00AA4F9D">
        <w:t xml:space="preserve">as a matter to be primarily addressed by providing individual adjustments or accommodations to individual students with disabilities. This is far too narrow a focus. </w:t>
      </w:r>
    </w:p>
    <w:p w:rsidR="00074786" w:rsidRPr="00AA4F9D" w:rsidRDefault="00074786" w:rsidP="00AA4F9D">
      <w:pPr>
        <w:widowControl w:val="0"/>
      </w:pPr>
    </w:p>
    <w:p w:rsidR="00FE4270" w:rsidRPr="00AA4F9D" w:rsidRDefault="00240145" w:rsidP="00AA4F9D">
      <w:pPr>
        <w:widowControl w:val="0"/>
      </w:pPr>
      <w:r>
        <w:t>T</w:t>
      </w:r>
      <w:r w:rsidR="004309F7" w:rsidRPr="00AA4F9D">
        <w:t>he KPMG Report emphasized the Individual Education Plan (IEP) process. Of course, this process will always have a part to play when providing education to students with disabilities</w:t>
      </w:r>
      <w:r w:rsidR="00AA4F9D">
        <w:t xml:space="preserve"> </w:t>
      </w:r>
      <w:r w:rsidR="004309F7" w:rsidRPr="00AA4F9D">
        <w:t>in Ontario's education system. However, the core of an "accessibility" approach is to venture beyond the traditional view that we first create an entire education system for students without disabilities, and then try to figure out after the fact, how to make one-off accommodations for individual students with disabilities. That approach requires educational institutions to</w:t>
      </w:r>
      <w:r w:rsidR="00FE4270" w:rsidRPr="00AA4F9D">
        <w:t xml:space="preserve"> repeatedly try to squeeze students with disabilities</w:t>
      </w:r>
      <w:r w:rsidR="00AA4F9D">
        <w:t xml:space="preserve"> </w:t>
      </w:r>
      <w:r w:rsidR="00FE4270" w:rsidRPr="00AA4F9D">
        <w:t>into buildings and</w:t>
      </w:r>
      <w:r w:rsidR="00AA4F9D">
        <w:t xml:space="preserve"> </w:t>
      </w:r>
      <w:r w:rsidR="00FE4270" w:rsidRPr="00AA4F9D">
        <w:t xml:space="preserve">programs that were designed as if they were not meant to take part in them on a basis of equality and full inclusion. </w:t>
      </w:r>
    </w:p>
    <w:p w:rsidR="004309F7" w:rsidRPr="00AA4F9D" w:rsidRDefault="004309F7" w:rsidP="00AA4F9D">
      <w:pPr>
        <w:widowControl w:val="0"/>
      </w:pPr>
    </w:p>
    <w:p w:rsidR="008466C0" w:rsidRPr="00AA4F9D" w:rsidRDefault="008466C0" w:rsidP="00AA4F9D">
      <w:pPr>
        <w:widowControl w:val="0"/>
      </w:pPr>
      <w:r w:rsidRPr="00AA4F9D">
        <w:t xml:space="preserve">An AODA-based accessibility approach also looks to how to </w:t>
      </w:r>
      <w:r w:rsidR="00310DCD" w:rsidRPr="00AA4F9D">
        <w:t xml:space="preserve">systematically </w:t>
      </w:r>
      <w:r w:rsidRPr="00AA4F9D">
        <w:t xml:space="preserve">find, eliminate and prevent recurring accessibility barriers against students with disabilities, so that it is easier for them to </w:t>
      </w:r>
      <w:r w:rsidR="005A13DB" w:rsidRPr="00AA4F9D">
        <w:t>be included</w:t>
      </w:r>
      <w:r w:rsidR="00AA4F9D">
        <w:t xml:space="preserve"> </w:t>
      </w:r>
      <w:r w:rsidR="005A13DB" w:rsidRPr="00AA4F9D">
        <w:t xml:space="preserve">in </w:t>
      </w:r>
      <w:r w:rsidRPr="00AA4F9D">
        <w:t>the mainstream education system on a footing of equality. This would reduce the cost and number of individual accommodations that students with disabilities</w:t>
      </w:r>
      <w:r w:rsidR="00AA4F9D">
        <w:t xml:space="preserve"> </w:t>
      </w:r>
      <w:r w:rsidRPr="00AA4F9D">
        <w:t>need.</w:t>
      </w:r>
    </w:p>
    <w:p w:rsidR="008466C0" w:rsidRPr="00AA4F9D" w:rsidRDefault="008466C0" w:rsidP="00AA4F9D">
      <w:pPr>
        <w:widowControl w:val="0"/>
      </w:pPr>
    </w:p>
    <w:p w:rsidR="00374E3E" w:rsidRPr="00AA4F9D" w:rsidRDefault="00374E3E" w:rsidP="00AA4F9D">
      <w:pPr>
        <w:widowControl w:val="0"/>
      </w:pPr>
      <w:r w:rsidRPr="00AA4F9D">
        <w:t>c)</w:t>
      </w:r>
      <w:r w:rsidR="00240145">
        <w:t xml:space="preserve"> </w:t>
      </w:r>
      <w:r w:rsidR="00CA332E" w:rsidRPr="00AA4F9D">
        <w:t xml:space="preserve">The KPMG Report lacks vital informed input from many of those who know the most about the accessibility barriers that face students with special education needs. </w:t>
      </w:r>
      <w:r w:rsidRPr="00AA4F9D">
        <w:t>KPMG did not reach out to a wide spectrum of community organizations that work with or speak for students with disabilities</w:t>
      </w:r>
      <w:r w:rsidR="00AA4F9D">
        <w:t xml:space="preserve"> </w:t>
      </w:r>
      <w:r w:rsidRPr="00AA4F9D">
        <w:t xml:space="preserve">and their families. </w:t>
      </w:r>
      <w:r w:rsidR="00933093" w:rsidRPr="00AA4F9D">
        <w:t>As a glaring example</w:t>
      </w:r>
      <w:r w:rsidRPr="00AA4F9D">
        <w:t>, KPMG did not seek input from the AODA Alliance. The AODA Alliance is</w:t>
      </w:r>
      <w:r w:rsidR="00AA4F9D">
        <w:t xml:space="preserve"> </w:t>
      </w:r>
      <w:r w:rsidRPr="00AA4F9D">
        <w:t xml:space="preserve">the broad-based community coalition that has led the campaign for over a half decade to convince the Ontario Government to develop an Education </w:t>
      </w:r>
      <w:r w:rsidR="00240145">
        <w:lastRenderedPageBreak/>
        <w:t>A</w:t>
      </w:r>
      <w:r w:rsidRPr="00AA4F9D">
        <w:t>ccessibility Standard. Similarly, KPMG did not say that it reached out to the Special Education Advisory Committee</w:t>
      </w:r>
      <w:r w:rsidR="00933093" w:rsidRPr="00AA4F9D">
        <w:t>. These committees</w:t>
      </w:r>
      <w:r w:rsidR="00AA4F9D">
        <w:t xml:space="preserve"> </w:t>
      </w:r>
      <w:r w:rsidRPr="00AA4F9D">
        <w:t>operate at each publicly-funded school board across Ontario</w:t>
      </w:r>
      <w:r w:rsidR="00933093" w:rsidRPr="00AA4F9D">
        <w:t>, to advocate about barriers facing students with disabilities</w:t>
      </w:r>
      <w:r w:rsidR="00AA4F9D">
        <w:t xml:space="preserve"> </w:t>
      </w:r>
      <w:r w:rsidR="00933093" w:rsidRPr="00AA4F9D">
        <w:t>in schools.</w:t>
      </w:r>
    </w:p>
    <w:p w:rsidR="00374E3E" w:rsidRPr="00AA4F9D" w:rsidRDefault="00374E3E" w:rsidP="00AA4F9D">
      <w:pPr>
        <w:widowControl w:val="0"/>
      </w:pPr>
    </w:p>
    <w:p w:rsidR="00374E3E" w:rsidRPr="00AA4F9D" w:rsidRDefault="00CA332E" w:rsidP="00AA4F9D">
      <w:pPr>
        <w:widowControl w:val="0"/>
      </w:pPr>
      <w:r w:rsidRPr="00AA4F9D">
        <w:t>As such, the KPMG</w:t>
      </w:r>
      <w:r w:rsidR="00AA4F9D">
        <w:t xml:space="preserve"> </w:t>
      </w:r>
      <w:r w:rsidRPr="00AA4F9D">
        <w:t>Report is no replacement for the important consultative work of a Standards Development Committee, appointed under the AODA to develop an Education Accessibility Standard.</w:t>
      </w:r>
    </w:p>
    <w:p w:rsidR="00CA332E" w:rsidRPr="00AA4F9D" w:rsidRDefault="00CA332E" w:rsidP="00AA4F9D">
      <w:pPr>
        <w:widowControl w:val="0"/>
      </w:pPr>
    </w:p>
    <w:p w:rsidR="0033460A" w:rsidRPr="00AA4F9D" w:rsidRDefault="0033460A" w:rsidP="00AA4F9D">
      <w:pPr>
        <w:widowControl w:val="0"/>
      </w:pPr>
      <w:r w:rsidRPr="00AA4F9D">
        <w:t xml:space="preserve">d) The KPMG Report appears to have merely collected information which governments and other organizations </w:t>
      </w:r>
      <w:r w:rsidR="00F0314D" w:rsidRPr="00AA4F9D">
        <w:t xml:space="preserve">have </w:t>
      </w:r>
      <w:r w:rsidRPr="00AA4F9D">
        <w:t xml:space="preserve">posted on line. KPMG did not say it made any effort to verify that information. To the contrary, </w:t>
      </w:r>
      <w:r w:rsidR="00965F78" w:rsidRPr="00AA4F9D">
        <w:t xml:space="preserve">the Report's </w:t>
      </w:r>
      <w:r w:rsidRPr="00AA4F9D">
        <w:t xml:space="preserve">disclaimer makes it clear that the public should not rely on its contents as authoritative. </w:t>
      </w:r>
    </w:p>
    <w:p w:rsidR="0033460A" w:rsidRPr="00AA4F9D" w:rsidRDefault="0033460A" w:rsidP="00AA4F9D">
      <w:pPr>
        <w:widowControl w:val="0"/>
      </w:pPr>
    </w:p>
    <w:p w:rsidR="006A4FC8" w:rsidRPr="00AA4F9D" w:rsidRDefault="00965F78" w:rsidP="00AA4F9D">
      <w:pPr>
        <w:widowControl w:val="0"/>
      </w:pPr>
      <w:r w:rsidRPr="00AA4F9D">
        <w:t xml:space="preserve">The </w:t>
      </w:r>
      <w:r w:rsidR="003B52D2" w:rsidRPr="00AA4F9D">
        <w:t>Report focuse</w:t>
      </w:r>
      <w:r w:rsidR="00AF270A" w:rsidRPr="00AA4F9D">
        <w:t>d</w:t>
      </w:r>
      <w:r w:rsidR="003B52D2" w:rsidRPr="00AA4F9D">
        <w:t xml:space="preserve"> </w:t>
      </w:r>
      <w:r w:rsidR="008A3BED" w:rsidRPr="00AA4F9D">
        <w:t xml:space="preserve">primarily </w:t>
      </w:r>
      <w:r w:rsidR="00AF270A" w:rsidRPr="00AA4F9D">
        <w:t xml:space="preserve">(though not exclusively) </w:t>
      </w:r>
      <w:r w:rsidR="003B52D2" w:rsidRPr="00AA4F9D">
        <w:t>on what governments and educational organizations say they provide for students with disabilities.</w:t>
      </w:r>
      <w:r w:rsidR="006A4FC8" w:rsidRPr="00AA4F9D">
        <w:t xml:space="preserve"> Too little of the Report views the education system from the perspective of students with disabilities.</w:t>
      </w:r>
      <w:r w:rsidR="00AA4F9D">
        <w:t xml:space="preserve"> </w:t>
      </w:r>
    </w:p>
    <w:p w:rsidR="006A4FC8" w:rsidRPr="00AA4F9D" w:rsidRDefault="006A4FC8" w:rsidP="00AA4F9D">
      <w:pPr>
        <w:widowControl w:val="0"/>
      </w:pPr>
    </w:p>
    <w:p w:rsidR="003B52D2" w:rsidRPr="00AA4F9D" w:rsidRDefault="003B52D2" w:rsidP="00AA4F9D">
      <w:pPr>
        <w:widowControl w:val="0"/>
      </w:pPr>
      <w:r w:rsidRPr="00AA4F9D">
        <w:t xml:space="preserve">It is essential to document </w:t>
      </w:r>
      <w:r w:rsidR="00AF270A" w:rsidRPr="00AA4F9D">
        <w:t xml:space="preserve">the </w:t>
      </w:r>
      <w:r w:rsidRPr="00AA4F9D">
        <w:t xml:space="preserve">actual degree of accessibility to and full inclusion in education </w:t>
      </w:r>
      <w:r w:rsidR="00AF270A" w:rsidRPr="00AA4F9D">
        <w:t xml:space="preserve">that Ontario </w:t>
      </w:r>
      <w:r w:rsidRPr="00AA4F9D">
        <w:t>students with disabilities</w:t>
      </w:r>
      <w:r w:rsidR="00AA4F9D">
        <w:t xml:space="preserve"> </w:t>
      </w:r>
      <w:r w:rsidRPr="00AA4F9D">
        <w:t xml:space="preserve">experience. The AODA's aim is to achieve </w:t>
      </w:r>
      <w:r w:rsidRPr="00AA4F9D">
        <w:rPr>
          <w:i/>
        </w:rPr>
        <w:t>actual accessibility</w:t>
      </w:r>
      <w:r w:rsidRPr="00AA4F9D">
        <w:t xml:space="preserve"> and inclusion for people with disabilities, not just good-sounding </w:t>
      </w:r>
      <w:r w:rsidR="00AF270A" w:rsidRPr="00AA4F9D">
        <w:t xml:space="preserve">accessibility </w:t>
      </w:r>
      <w:r w:rsidRPr="00AA4F9D">
        <w:t>policies or proclamations. This shows why it is far better to talk to students with disabilities</w:t>
      </w:r>
      <w:r w:rsidR="00AA4F9D">
        <w:t xml:space="preserve"> </w:t>
      </w:r>
      <w:r w:rsidRPr="00AA4F9D">
        <w:t>and their families about the accessibility barriers they face in the education system than to merely surf the internet.</w:t>
      </w:r>
    </w:p>
    <w:p w:rsidR="0033460A" w:rsidRPr="00AA4F9D" w:rsidRDefault="0033460A" w:rsidP="00AA4F9D">
      <w:pPr>
        <w:widowControl w:val="0"/>
      </w:pPr>
    </w:p>
    <w:p w:rsidR="00083E48" w:rsidRPr="00AA4F9D" w:rsidRDefault="0033460A" w:rsidP="00AA4F9D">
      <w:pPr>
        <w:widowControl w:val="0"/>
      </w:pPr>
      <w:r w:rsidRPr="00AA4F9D">
        <w:t>e)</w:t>
      </w:r>
      <w:r w:rsidR="00083E48" w:rsidRPr="00AA4F9D">
        <w:t xml:space="preserve"> </w:t>
      </w:r>
      <w:r w:rsidR="00CE18C6" w:rsidRPr="00AA4F9D">
        <w:t>KPMG's</w:t>
      </w:r>
      <w:r w:rsidR="00083E48" w:rsidRPr="00AA4F9D">
        <w:t xml:space="preserve"> </w:t>
      </w:r>
      <w:r w:rsidR="00CE18C6" w:rsidRPr="00AA4F9D">
        <w:t xml:space="preserve">general </w:t>
      </w:r>
      <w:r w:rsidR="00083E48" w:rsidRPr="00AA4F9D">
        <w:t>review of laws in different jurisdictions seems superficial. It does not appear to explore and compare in detail the content of education regulations.</w:t>
      </w:r>
    </w:p>
    <w:p w:rsidR="00083E48" w:rsidRPr="00AA4F9D" w:rsidRDefault="00083E48" w:rsidP="00AA4F9D">
      <w:pPr>
        <w:widowControl w:val="0"/>
      </w:pPr>
    </w:p>
    <w:p w:rsidR="004E702E" w:rsidRPr="00AA4F9D" w:rsidRDefault="004E702E" w:rsidP="00AA4F9D">
      <w:pPr>
        <w:widowControl w:val="0"/>
      </w:pPr>
      <w:bookmarkStart w:id="8" w:name="OLE_LINK21"/>
      <w:bookmarkStart w:id="9" w:name="OLE_LINK22"/>
      <w:bookmarkStart w:id="10" w:name="OLE_LINK23"/>
      <w:r w:rsidRPr="00AA4F9D">
        <w:rPr>
          <w:rStyle w:val="Heading3Char"/>
          <w:rFonts w:ascii="Times New Roman" w:hAnsi="Times New Roman" w:cs="Times New Roman"/>
        </w:rPr>
        <w:t>5</w:t>
      </w:r>
      <w:r w:rsidR="007C6CA7" w:rsidRPr="00AA4F9D">
        <w:rPr>
          <w:rStyle w:val="Heading3Char"/>
          <w:rFonts w:ascii="Times New Roman" w:hAnsi="Times New Roman" w:cs="Times New Roman"/>
        </w:rPr>
        <w:t>.</w:t>
      </w:r>
      <w:r w:rsidR="009A0B95" w:rsidRPr="00AA4F9D">
        <w:rPr>
          <w:rStyle w:val="Heading3Char"/>
          <w:rFonts w:ascii="Times New Roman" w:hAnsi="Times New Roman" w:cs="Times New Roman"/>
        </w:rPr>
        <w:t xml:space="preserve"> </w:t>
      </w:r>
      <w:r w:rsidR="00240145">
        <w:rPr>
          <w:rStyle w:val="Heading3Char"/>
          <w:rFonts w:ascii="Times New Roman" w:hAnsi="Times New Roman" w:cs="Times New Roman"/>
        </w:rPr>
        <w:t>T</w:t>
      </w:r>
      <w:r w:rsidR="00240145" w:rsidRPr="00AA4F9D">
        <w:rPr>
          <w:rStyle w:val="Heading3Char"/>
          <w:rFonts w:ascii="Times New Roman" w:hAnsi="Times New Roman" w:cs="Times New Roman"/>
        </w:rPr>
        <w:t xml:space="preserve">he </w:t>
      </w:r>
      <w:r w:rsidR="00240145">
        <w:rPr>
          <w:rStyle w:val="Heading3Char"/>
          <w:rFonts w:ascii="Times New Roman" w:hAnsi="Times New Roman" w:cs="Times New Roman"/>
        </w:rPr>
        <w:t>R</w:t>
      </w:r>
      <w:r w:rsidR="00240145" w:rsidRPr="00AA4F9D">
        <w:rPr>
          <w:rStyle w:val="Heading3Char"/>
          <w:rFonts w:ascii="Times New Roman" w:hAnsi="Times New Roman" w:cs="Times New Roman"/>
        </w:rPr>
        <w:t xml:space="preserve">eport's bottom-line conclusion that </w:t>
      </w:r>
      <w:r w:rsidR="00240145">
        <w:rPr>
          <w:rStyle w:val="Heading3Char"/>
          <w:rFonts w:ascii="Times New Roman" w:hAnsi="Times New Roman" w:cs="Times New Roman"/>
        </w:rPr>
        <w:t>O</w:t>
      </w:r>
      <w:r w:rsidR="00240145" w:rsidRPr="00AA4F9D">
        <w:rPr>
          <w:rStyle w:val="Heading3Char"/>
          <w:rFonts w:ascii="Times New Roman" w:hAnsi="Times New Roman" w:cs="Times New Roman"/>
        </w:rPr>
        <w:t>ntario is as good as or better than other jurisdictions is wrong</w:t>
      </w:r>
      <w:r w:rsidR="00240145">
        <w:rPr>
          <w:rStyle w:val="Heading3Char"/>
          <w:rFonts w:ascii="Times New Roman" w:hAnsi="Times New Roman" w:cs="Times New Roman"/>
        </w:rPr>
        <w:t>,</w:t>
      </w:r>
      <w:r w:rsidR="00240145" w:rsidRPr="00AA4F9D">
        <w:rPr>
          <w:rStyle w:val="Heading3Char"/>
          <w:rFonts w:ascii="Times New Roman" w:hAnsi="Times New Roman" w:cs="Times New Roman"/>
        </w:rPr>
        <w:t xml:space="preserve"> and should not be relied on</w:t>
      </w:r>
      <w:r w:rsidR="00240145">
        <w:rPr>
          <w:rStyle w:val="Heading3Char"/>
          <w:rFonts w:ascii="Times New Roman" w:hAnsi="Times New Roman" w:cs="Times New Roman"/>
        </w:rPr>
        <w:t>.</w:t>
      </w:r>
    </w:p>
    <w:bookmarkEnd w:id="8"/>
    <w:bookmarkEnd w:id="9"/>
    <w:bookmarkEnd w:id="10"/>
    <w:p w:rsidR="004E702E" w:rsidRPr="00AA4F9D" w:rsidRDefault="004E702E" w:rsidP="00AA4F9D">
      <w:pPr>
        <w:widowControl w:val="0"/>
      </w:pPr>
    </w:p>
    <w:p w:rsidR="009A0B95" w:rsidRPr="00AA4F9D" w:rsidRDefault="009A0B95" w:rsidP="00AA4F9D">
      <w:pPr>
        <w:widowControl w:val="0"/>
      </w:pPr>
      <w:r w:rsidRPr="00AA4F9D">
        <w:t xml:space="preserve">No one should rely on the KPMG Report's bottom-line conclusion that Ontario </w:t>
      </w:r>
      <w:r w:rsidR="00240145">
        <w:t>i</w:t>
      </w:r>
      <w:r w:rsidRPr="00AA4F9D">
        <w:t xml:space="preserve">s as good </w:t>
      </w:r>
      <w:r w:rsidR="00240145">
        <w:t>as o</w:t>
      </w:r>
      <w:r w:rsidRPr="00AA4F9D">
        <w:t>r better than other jurisdictions it examined, on promoting its education system'</w:t>
      </w:r>
      <w:r w:rsidR="007A2C35" w:rsidRPr="00AA4F9D">
        <w:t>s</w:t>
      </w:r>
      <w:r w:rsidRPr="00AA4F9D">
        <w:t xml:space="preserve"> accessibility. That conclusion </w:t>
      </w:r>
      <w:r w:rsidR="00240145">
        <w:t>i</w:t>
      </w:r>
      <w:r w:rsidRPr="00AA4F9D">
        <w:t>s incorrect. It</w:t>
      </w:r>
      <w:r w:rsidR="00AA4F9D">
        <w:t xml:space="preserve"> </w:t>
      </w:r>
      <w:r w:rsidRPr="00AA4F9D">
        <w:t>is contradicted by the Report's contents. It is ultimately irrelevant.</w:t>
      </w:r>
      <w:r w:rsidR="00683F15" w:rsidRPr="00AA4F9D">
        <w:t xml:space="preserve"> This is so because:</w:t>
      </w:r>
      <w:r w:rsidR="00AA4F9D">
        <w:t xml:space="preserve"> </w:t>
      </w:r>
    </w:p>
    <w:p w:rsidR="009A0B95" w:rsidRPr="00AA4F9D" w:rsidRDefault="009A0B95" w:rsidP="00AA4F9D">
      <w:pPr>
        <w:widowControl w:val="0"/>
      </w:pPr>
    </w:p>
    <w:p w:rsidR="00784BFE" w:rsidRPr="00AA4F9D" w:rsidRDefault="00683F15" w:rsidP="00AA4F9D">
      <w:pPr>
        <w:widowControl w:val="0"/>
      </w:pPr>
      <w:r w:rsidRPr="00AA4F9D">
        <w:t xml:space="preserve">a) </w:t>
      </w:r>
      <w:r w:rsidR="00D90AC5" w:rsidRPr="00AA4F9D">
        <w:t xml:space="preserve">KPMG expressed </w:t>
      </w:r>
      <w:r w:rsidR="00240145">
        <w:t>i</w:t>
      </w:r>
      <w:r w:rsidR="00D90AC5" w:rsidRPr="00AA4F9D">
        <w:t>ts bottom-</w:t>
      </w:r>
      <w:r w:rsidR="00240145">
        <w:t>l</w:t>
      </w:r>
      <w:r w:rsidR="00D90AC5" w:rsidRPr="00AA4F9D">
        <w:t>ine conclusion in contradictory ways.</w:t>
      </w:r>
      <w:r w:rsidR="00AA4F9D">
        <w:t xml:space="preserve"> </w:t>
      </w:r>
      <w:r w:rsidR="00D90AC5" w:rsidRPr="00AA4F9D">
        <w:t xml:space="preserve">At some points, it said Ontario is at least as good as, if not better than, all other jurisdictions it examined. At other points, it said Ontario is as good as or better than </w:t>
      </w:r>
      <w:r w:rsidR="00D90AC5" w:rsidRPr="00AA4F9D">
        <w:rPr>
          <w:i/>
        </w:rPr>
        <w:t>most</w:t>
      </w:r>
      <w:r w:rsidR="00AA4F9D">
        <w:t xml:space="preserve"> </w:t>
      </w:r>
      <w:r w:rsidR="00D90AC5" w:rsidRPr="00AA4F9D">
        <w:t>other jurisdictions studied.</w:t>
      </w:r>
    </w:p>
    <w:p w:rsidR="000539A9" w:rsidRPr="00AA4F9D" w:rsidRDefault="000539A9" w:rsidP="00AA4F9D">
      <w:pPr>
        <w:widowControl w:val="0"/>
      </w:pPr>
    </w:p>
    <w:p w:rsidR="00A62105" w:rsidRPr="00AA4F9D" w:rsidRDefault="00683F15" w:rsidP="00AA4F9D">
      <w:pPr>
        <w:widowControl w:val="0"/>
      </w:pPr>
      <w:r w:rsidRPr="00AA4F9D">
        <w:t xml:space="preserve">b) </w:t>
      </w:r>
      <w:r w:rsidR="00B51A52" w:rsidRPr="00AA4F9D">
        <w:t>The Report's bottom-</w:t>
      </w:r>
      <w:r w:rsidR="00240145">
        <w:t>l</w:t>
      </w:r>
      <w:r w:rsidR="00B51A52" w:rsidRPr="00AA4F9D">
        <w:t>ine conclusion about Ontario</w:t>
      </w:r>
      <w:r w:rsidR="00E653F7" w:rsidRPr="00AA4F9D">
        <w:t>,</w:t>
      </w:r>
      <w:r w:rsidR="00B51A52" w:rsidRPr="00AA4F9D">
        <w:t xml:space="preserve"> compared to other jurisdictions</w:t>
      </w:r>
      <w:r w:rsidR="00E653F7" w:rsidRPr="00AA4F9D">
        <w:t>,</w:t>
      </w:r>
      <w:r w:rsidR="00B51A52" w:rsidRPr="00AA4F9D">
        <w:t xml:space="preserve"> failed to take into account</w:t>
      </w:r>
      <w:r w:rsidR="0046114E" w:rsidRPr="00AA4F9D">
        <w:t>, and is contradicted by,</w:t>
      </w:r>
      <w:r w:rsidR="00AA4F9D">
        <w:t xml:space="preserve"> </w:t>
      </w:r>
      <w:r w:rsidR="00E653F7" w:rsidRPr="00AA4F9D">
        <w:t xml:space="preserve">important </w:t>
      </w:r>
      <w:r w:rsidR="00B51A52" w:rsidRPr="00AA4F9D">
        <w:t xml:space="preserve">areas where Ontario lags behind other jurisdictions. </w:t>
      </w:r>
      <w:r w:rsidR="0046114E" w:rsidRPr="00AA4F9D">
        <w:t>T</w:t>
      </w:r>
      <w:r w:rsidRPr="00AA4F9D">
        <w:t xml:space="preserve">he Report acknowledged that other jurisdictions have in place measures that Ontario should consider adopting. </w:t>
      </w:r>
      <w:r w:rsidR="00C97371" w:rsidRPr="00AA4F9D">
        <w:t xml:space="preserve">Examples </w:t>
      </w:r>
      <w:r w:rsidR="0046114E" w:rsidRPr="00AA4F9D">
        <w:t xml:space="preserve">of this </w:t>
      </w:r>
      <w:r w:rsidR="00C97371" w:rsidRPr="00AA4F9D">
        <w:t>are listed above.</w:t>
      </w:r>
      <w:r w:rsidR="000F343D" w:rsidRPr="00AA4F9D">
        <w:t xml:space="preserve"> </w:t>
      </w:r>
      <w:r w:rsidR="003338A5" w:rsidRPr="00AA4F9D">
        <w:t>To repeat, c</w:t>
      </w:r>
      <w:r w:rsidR="00A62105" w:rsidRPr="00AA4F9D">
        <w:t>ompelling examples where Ontario lags behind include:</w:t>
      </w:r>
    </w:p>
    <w:p w:rsidR="00A62105" w:rsidRPr="00AA4F9D" w:rsidRDefault="00A62105" w:rsidP="00AA4F9D">
      <w:pPr>
        <w:widowControl w:val="0"/>
      </w:pPr>
    </w:p>
    <w:p w:rsidR="00A62105" w:rsidRPr="00AA4F9D" w:rsidRDefault="00A62105" w:rsidP="00240145">
      <w:pPr>
        <w:widowControl w:val="0"/>
        <w:ind w:left="567"/>
        <w:contextualSpacing w:val="0"/>
      </w:pPr>
      <w:r w:rsidRPr="00AA4F9D">
        <w:t xml:space="preserve">i) Due process for students with disabilities and their families when seeking individual </w:t>
      </w:r>
      <w:r w:rsidRPr="00AA4F9D">
        <w:lastRenderedPageBreak/>
        <w:t>accommodations. In the very area on which KPMG placed so much emphasis, the creation of one-off individual accommodations for students with disabilities</w:t>
      </w:r>
      <w:r w:rsidR="00AA4F9D">
        <w:t xml:space="preserve"> </w:t>
      </w:r>
      <w:r w:rsidRPr="00AA4F9D">
        <w:t xml:space="preserve">via Individual Education Plans, Ontario's legal regime </w:t>
      </w:r>
      <w:r w:rsidR="008F14AA" w:rsidRPr="00AA4F9D">
        <w:t xml:space="preserve">has lagged </w:t>
      </w:r>
      <w:r w:rsidRPr="00AA4F9D">
        <w:t xml:space="preserve">far behind the </w:t>
      </w:r>
      <w:r w:rsidR="00353409" w:rsidRPr="00AA4F9D">
        <w:t>US</w:t>
      </w:r>
      <w:r w:rsidR="008F14AA" w:rsidRPr="00AA4F9D">
        <w:t xml:space="preserve"> for over four decades</w:t>
      </w:r>
      <w:r w:rsidR="0075012E" w:rsidRPr="00AA4F9D">
        <w:t>.</w:t>
      </w:r>
      <w:r w:rsidRPr="00AA4F9D">
        <w:t xml:space="preserve"> </w:t>
      </w:r>
      <w:r w:rsidR="0075012E" w:rsidRPr="00AA4F9D">
        <w:t>I</w:t>
      </w:r>
      <w:r w:rsidRPr="00AA4F9D">
        <w:t>n Ontario</w:t>
      </w:r>
      <w:r w:rsidR="0075012E" w:rsidRPr="00AA4F9D">
        <w:t>,</w:t>
      </w:r>
      <w:r w:rsidRPr="00AA4F9D">
        <w:t xml:space="preserve"> </w:t>
      </w:r>
      <w:r w:rsidR="0075012E" w:rsidRPr="00AA4F9D">
        <w:t xml:space="preserve">a </w:t>
      </w:r>
      <w:r w:rsidRPr="00AA4F9D">
        <w:t xml:space="preserve">school board need simply consult a family on the IEP, according to </w:t>
      </w:r>
      <w:r w:rsidR="0075012E" w:rsidRPr="00AA4F9D">
        <w:t xml:space="preserve">vague and weak </w:t>
      </w:r>
      <w:r w:rsidRPr="00AA4F9D">
        <w:t>special education</w:t>
      </w:r>
      <w:r w:rsidR="00AA4F9D">
        <w:t xml:space="preserve"> </w:t>
      </w:r>
      <w:r w:rsidRPr="00AA4F9D">
        <w:t>regulations. An unhappy family must undergo the ordeal of fighting a human rights complaint against a school board. In contrast, in the U.S. there are robust due process protections for students with disabilities</w:t>
      </w:r>
      <w:r w:rsidR="00AA4F9D">
        <w:t xml:space="preserve"> </w:t>
      </w:r>
      <w:r w:rsidRPr="00AA4F9D">
        <w:t xml:space="preserve">and their families under the Individual Disabilities Education Act (IDEA). </w:t>
      </w:r>
    </w:p>
    <w:p w:rsidR="00A62105" w:rsidRPr="00AA4F9D" w:rsidRDefault="00A62105" w:rsidP="00AA4F9D">
      <w:pPr>
        <w:widowControl w:val="0"/>
      </w:pPr>
    </w:p>
    <w:p w:rsidR="00857B79" w:rsidRPr="00AA4F9D" w:rsidRDefault="00FE1A4E" w:rsidP="00163F30">
      <w:pPr>
        <w:widowControl w:val="0"/>
        <w:ind w:left="567"/>
      </w:pPr>
      <w:r w:rsidRPr="00AA4F9D">
        <w:t>KPMG's</w:t>
      </w:r>
      <w:r w:rsidR="00AA4F9D">
        <w:t xml:space="preserve"> </w:t>
      </w:r>
      <w:r w:rsidR="00857B79" w:rsidRPr="00AA4F9D">
        <w:t xml:space="preserve">bottom-line conclusion similarly did not </w:t>
      </w:r>
      <w:r w:rsidR="009963C6" w:rsidRPr="00AA4F9D">
        <w:t xml:space="preserve">account for the fact that </w:t>
      </w:r>
      <w:r w:rsidR="00857B79" w:rsidRPr="00AA4F9D">
        <w:t xml:space="preserve">Ontario lacks a mandatory appeal process regarding individual education accommodation, unlike </w:t>
      </w:r>
      <w:r w:rsidR="00050DED" w:rsidRPr="00AA4F9D">
        <w:t xml:space="preserve">some </w:t>
      </w:r>
      <w:r w:rsidR="00857B79" w:rsidRPr="00AA4F9D">
        <w:t>other jurisdictions. Moreover, the Report acknowledge</w:t>
      </w:r>
      <w:r w:rsidR="00050DED" w:rsidRPr="00AA4F9D">
        <w:t>d</w:t>
      </w:r>
      <w:r w:rsidR="00857B79" w:rsidRPr="00AA4F9D">
        <w:t xml:space="preserve"> the need for future improvement in Ontario in addressing disputes between families and schools over accommodation needs.</w:t>
      </w:r>
      <w:r w:rsidR="00050DED" w:rsidRPr="00AA4F9D">
        <w:t xml:space="preserve"> That makes the Report's bottom-line finding fatally flawed.</w:t>
      </w:r>
    </w:p>
    <w:p w:rsidR="00857B79" w:rsidRPr="00AA4F9D" w:rsidRDefault="00857B79" w:rsidP="00AA4F9D">
      <w:pPr>
        <w:widowControl w:val="0"/>
      </w:pPr>
    </w:p>
    <w:p w:rsidR="00EF5480" w:rsidRPr="00AA4F9D" w:rsidRDefault="00EF5480" w:rsidP="00163F30">
      <w:pPr>
        <w:widowControl w:val="0"/>
        <w:ind w:left="567"/>
      </w:pPr>
      <w:r w:rsidRPr="00AA4F9D">
        <w:t>i</w:t>
      </w:r>
      <w:r w:rsidR="00857B79" w:rsidRPr="00AA4F9D">
        <w:t>i)</w:t>
      </w:r>
      <w:r w:rsidRPr="00AA4F9D">
        <w:t xml:space="preserve"> The Report did not try to compare Ontario's deficient laws </w:t>
      </w:r>
      <w:r w:rsidR="00C924FD" w:rsidRPr="00AA4F9D">
        <w:t xml:space="preserve">or practices </w:t>
      </w:r>
      <w:r w:rsidRPr="00AA4F9D">
        <w:t xml:space="preserve">regarding the accessibility of the built environment in schools, colleges and universities, or try to compare these to more impressive regimes which the Report identifies in other jurisdictions. </w:t>
      </w:r>
    </w:p>
    <w:p w:rsidR="00EF5480" w:rsidRPr="00AA4F9D" w:rsidRDefault="00EF5480" w:rsidP="00AA4F9D">
      <w:pPr>
        <w:widowControl w:val="0"/>
      </w:pPr>
    </w:p>
    <w:p w:rsidR="008A3BED" w:rsidRPr="00AA4F9D" w:rsidRDefault="00EF5480" w:rsidP="00163F30">
      <w:pPr>
        <w:widowControl w:val="0"/>
        <w:ind w:left="567"/>
      </w:pPr>
      <w:r w:rsidRPr="00AA4F9D">
        <w:t xml:space="preserve">iii) </w:t>
      </w:r>
      <w:r w:rsidR="008A3BED" w:rsidRPr="00AA4F9D">
        <w:t xml:space="preserve">The Report's contents demonstrate to the AODA Alliance that the U.S. is ahead of Ontario in trying to develop a concerted strategy for </w:t>
      </w:r>
      <w:r w:rsidR="00163F30">
        <w:t>e</w:t>
      </w:r>
      <w:r w:rsidR="008A3BED" w:rsidRPr="00AA4F9D">
        <w:t>nsuring that post-secondary students with disabilities</w:t>
      </w:r>
      <w:r w:rsidR="00AA4F9D">
        <w:t xml:space="preserve"> </w:t>
      </w:r>
      <w:r w:rsidR="008A3BED" w:rsidRPr="00AA4F9D">
        <w:t>have access to reading materials in an accessible format.</w:t>
      </w:r>
    </w:p>
    <w:p w:rsidR="008A3BED" w:rsidRPr="00AA4F9D" w:rsidRDefault="008A3BED" w:rsidP="00163F30">
      <w:pPr>
        <w:widowControl w:val="0"/>
        <w:ind w:left="567"/>
      </w:pPr>
    </w:p>
    <w:p w:rsidR="00EC2B71" w:rsidRPr="00AA4F9D" w:rsidRDefault="008A3BED" w:rsidP="00163F30">
      <w:pPr>
        <w:widowControl w:val="0"/>
        <w:ind w:left="567"/>
      </w:pPr>
      <w:r w:rsidRPr="00AA4F9D">
        <w:t xml:space="preserve">iv) </w:t>
      </w:r>
      <w:r w:rsidR="00EC2B71" w:rsidRPr="00AA4F9D">
        <w:t>The Report recited information from New Brunswick which, if true, would contradict the Report's claim that Ontario is at least as strong as any other</w:t>
      </w:r>
      <w:r w:rsidR="00AA4F9D">
        <w:t xml:space="preserve"> </w:t>
      </w:r>
      <w:r w:rsidR="00EC2B71" w:rsidRPr="00AA4F9D">
        <w:t xml:space="preserve">jurisdiction in education accessibility. </w:t>
      </w:r>
      <w:r w:rsidR="00CC10F0" w:rsidRPr="00AA4F9D">
        <w:t>KPMG</w:t>
      </w:r>
      <w:r w:rsidR="00AA4F9D">
        <w:t xml:space="preserve"> </w:t>
      </w:r>
      <w:r w:rsidR="00EC2B71" w:rsidRPr="00AA4F9D">
        <w:t xml:space="preserve">describes New Brunswick as claiming to lead Canada on providing inclusive education for students with disabilities. </w:t>
      </w:r>
    </w:p>
    <w:p w:rsidR="00EC2B71" w:rsidRPr="00AA4F9D" w:rsidRDefault="00EC2B71" w:rsidP="00163F30">
      <w:pPr>
        <w:widowControl w:val="0"/>
        <w:ind w:left="567"/>
      </w:pPr>
    </w:p>
    <w:p w:rsidR="00FB08DD" w:rsidRPr="00AA4F9D" w:rsidRDefault="00EC2B71" w:rsidP="00163F30">
      <w:pPr>
        <w:widowControl w:val="0"/>
        <w:ind w:left="567"/>
      </w:pPr>
      <w:r w:rsidRPr="00AA4F9D">
        <w:t xml:space="preserve">v) </w:t>
      </w:r>
      <w:r w:rsidR="00FB08DD" w:rsidRPr="00AA4F9D">
        <w:t>The Report explored pre-school programming and supports for students with disabilities</w:t>
      </w:r>
      <w:r w:rsidR="00AA4F9D">
        <w:t xml:space="preserve"> </w:t>
      </w:r>
      <w:r w:rsidR="00FB08DD" w:rsidRPr="00AA4F9D">
        <w:t>in</w:t>
      </w:r>
      <w:r w:rsidR="00AA4F9D">
        <w:t xml:space="preserve"> </w:t>
      </w:r>
      <w:r w:rsidR="00FB08DD" w:rsidRPr="00AA4F9D">
        <w:t>some jurisdictions. However</w:t>
      </w:r>
      <w:r w:rsidR="00163F30">
        <w:t>,</w:t>
      </w:r>
      <w:r w:rsidR="00FB08DD" w:rsidRPr="00AA4F9D">
        <w:t xml:space="preserve"> the Report did not recognize that Ontario lags far behind the Maritime provinces in the provision of pre-school literacy supports for children who are blind or low vision.</w:t>
      </w:r>
    </w:p>
    <w:p w:rsidR="00FB08DD" w:rsidRPr="00AA4F9D" w:rsidRDefault="00FB08DD" w:rsidP="00163F30">
      <w:pPr>
        <w:widowControl w:val="0"/>
        <w:ind w:left="567"/>
      </w:pPr>
    </w:p>
    <w:p w:rsidR="000F53D0" w:rsidRPr="00AA4F9D" w:rsidRDefault="00FB08DD" w:rsidP="00163F30">
      <w:pPr>
        <w:widowControl w:val="0"/>
        <w:ind w:left="567"/>
      </w:pPr>
      <w:r w:rsidRPr="00AA4F9D">
        <w:t>vi)</w:t>
      </w:r>
      <w:r w:rsidR="000F53D0" w:rsidRPr="00AA4F9D">
        <w:t xml:space="preserve"> The Report did not compare Ontario to other jurisdictions on adopting measures to ensure students without disabilities are educated about the inclusion of students with disabilities</w:t>
      </w:r>
      <w:r w:rsidR="00AA4F9D">
        <w:t xml:space="preserve"> </w:t>
      </w:r>
      <w:r w:rsidR="000F53D0" w:rsidRPr="00AA4F9D">
        <w:t xml:space="preserve">in the education system's mainstream. </w:t>
      </w:r>
    </w:p>
    <w:p w:rsidR="000F53D0" w:rsidRPr="00AA4F9D" w:rsidRDefault="000F53D0" w:rsidP="00AA4F9D">
      <w:pPr>
        <w:widowControl w:val="0"/>
      </w:pPr>
    </w:p>
    <w:p w:rsidR="00734A85" w:rsidRPr="00AA4F9D" w:rsidRDefault="0030129A" w:rsidP="00AA4F9D">
      <w:pPr>
        <w:widowControl w:val="0"/>
      </w:pPr>
      <w:r w:rsidRPr="00AA4F9D">
        <w:t>c</w:t>
      </w:r>
      <w:r w:rsidR="00683F15" w:rsidRPr="00AA4F9D">
        <w:t xml:space="preserve">) </w:t>
      </w:r>
      <w:r w:rsidR="00870BF6" w:rsidRPr="00AA4F9D">
        <w:t>As noted earlier, t</w:t>
      </w:r>
      <w:r w:rsidR="00F7442D" w:rsidRPr="00AA4F9D">
        <w:t>he Report's bottom-</w:t>
      </w:r>
      <w:r w:rsidR="00163F30">
        <w:t>l</w:t>
      </w:r>
      <w:r w:rsidR="00F7442D" w:rsidRPr="00AA4F9D">
        <w:t xml:space="preserve">ine conclusion </w:t>
      </w:r>
      <w:r w:rsidR="00163F30">
        <w:t>i</w:t>
      </w:r>
      <w:r w:rsidR="00F7442D" w:rsidRPr="00AA4F9D">
        <w:t xml:space="preserve">s largely based on </w:t>
      </w:r>
      <w:r w:rsidR="00972C50" w:rsidRPr="00AA4F9D">
        <w:t xml:space="preserve">focusing on </w:t>
      </w:r>
      <w:r w:rsidR="00F7442D" w:rsidRPr="00AA4F9D">
        <w:t xml:space="preserve">Ontario's approach to individually accommodating students </w:t>
      </w:r>
      <w:r w:rsidR="00163F30">
        <w:t>w</w:t>
      </w:r>
      <w:r w:rsidR="00F7442D" w:rsidRPr="00AA4F9D">
        <w:t>ith disabilities, not on comparing comprehensive measures to systematically eliminate all recurring accessibility barriers in an education system.</w:t>
      </w:r>
      <w:r w:rsidR="003B06CD" w:rsidRPr="00AA4F9D">
        <w:t xml:space="preserve"> </w:t>
      </w:r>
      <w:r w:rsidR="00163F30">
        <w:t>W</w:t>
      </w:r>
      <w:r w:rsidR="003B06CD" w:rsidRPr="00AA4F9D">
        <w:t xml:space="preserve">ith the exception of recurring accessibility barriers in web accessibility, the Report does not appear to address accessibility standards aimed at </w:t>
      </w:r>
      <w:r w:rsidR="00972C50" w:rsidRPr="00AA4F9D">
        <w:t xml:space="preserve">systematically </w:t>
      </w:r>
      <w:r w:rsidR="003B06CD" w:rsidRPr="00AA4F9D">
        <w:t>ensuring a barrier-free education system in which students with disabilities</w:t>
      </w:r>
      <w:r w:rsidR="00AA4F9D">
        <w:t xml:space="preserve"> </w:t>
      </w:r>
      <w:r w:rsidR="003B06CD" w:rsidRPr="00AA4F9D">
        <w:t>can fully participate.</w:t>
      </w:r>
      <w:r w:rsidR="00972C50" w:rsidRPr="00AA4F9D">
        <w:t xml:space="preserve"> </w:t>
      </w:r>
      <w:r w:rsidR="00734A85" w:rsidRPr="00AA4F9D">
        <w:t xml:space="preserve">Further weakening its bottom-line conclusion, the KPMG Report acknowledged that Ontario's regime for accommodating individual </w:t>
      </w:r>
      <w:r w:rsidR="009A7987" w:rsidRPr="00AA4F9D">
        <w:t>students</w:t>
      </w:r>
      <w:r w:rsidR="00734A85" w:rsidRPr="00AA4F9D">
        <w:t xml:space="preserve"> in its education system is not consistently an effective </w:t>
      </w:r>
      <w:r w:rsidR="00734A85" w:rsidRPr="00AA4F9D">
        <w:lastRenderedPageBreak/>
        <w:t xml:space="preserve">solution. </w:t>
      </w:r>
    </w:p>
    <w:p w:rsidR="00972C50" w:rsidRPr="00AA4F9D" w:rsidRDefault="00972C50" w:rsidP="00AA4F9D">
      <w:pPr>
        <w:widowControl w:val="0"/>
      </w:pPr>
    </w:p>
    <w:p w:rsidR="00086A7D" w:rsidRPr="00AA4F9D" w:rsidRDefault="00086A7D" w:rsidP="00AA4F9D">
      <w:pPr>
        <w:widowControl w:val="0"/>
      </w:pPr>
      <w:r w:rsidRPr="00AA4F9D">
        <w:t>d) The Report only specified one area where it specifically says Ontario is ahead of the other jurisdictions studied, namely loans or grants to college and university students with disabilities</w:t>
      </w:r>
      <w:r w:rsidR="00163F30">
        <w:t xml:space="preserve">, </w:t>
      </w:r>
      <w:r w:rsidRPr="00AA4F9D">
        <w:t xml:space="preserve">yet the Report </w:t>
      </w:r>
      <w:r w:rsidR="009C696B" w:rsidRPr="00AA4F9D">
        <w:t xml:space="preserve">made </w:t>
      </w:r>
      <w:r w:rsidRPr="00AA4F9D">
        <w:t>no detailed side-by-side comparison of Ontario's loan/grants programs with those in all the other jurisdictions studied. While such loans and grants are of course helpful to students with disabilities, these alone are not capable of ensuring that Ontario's education system becomes fully accessible by 2025.</w:t>
      </w:r>
    </w:p>
    <w:p w:rsidR="006009DC" w:rsidRPr="00AA4F9D" w:rsidRDefault="006009DC" w:rsidP="00AA4F9D">
      <w:pPr>
        <w:widowControl w:val="0"/>
      </w:pPr>
    </w:p>
    <w:p w:rsidR="006009DC" w:rsidRPr="00AA4F9D" w:rsidRDefault="006009DC" w:rsidP="00AA4F9D">
      <w:pPr>
        <w:widowControl w:val="0"/>
      </w:pPr>
      <w:r w:rsidRPr="00AA4F9D">
        <w:t xml:space="preserve">e) It is not clear why KPMG reached so obviously incorrect a bottom-line conclusion. Either KPMG did a very poor job in investigating and analyzing this issue, or the Ontario Government had KPMG include this conclusion in the Report. We don't know which is the case. Neither KPMG nor the Ontario Government has substantively answered our inquiry on what role the Ontario Government played in having that conclusion included in the KPMG Report. </w:t>
      </w:r>
    </w:p>
    <w:p w:rsidR="006009DC" w:rsidRPr="00AA4F9D" w:rsidRDefault="006009DC" w:rsidP="00AA4F9D">
      <w:pPr>
        <w:widowControl w:val="0"/>
      </w:pPr>
    </w:p>
    <w:p w:rsidR="00436150" w:rsidRPr="00AA4F9D" w:rsidRDefault="00163F30" w:rsidP="00AA4F9D">
      <w:pPr>
        <w:pStyle w:val="Heading3"/>
        <w:keepNext w:val="0"/>
        <w:keepLines w:val="0"/>
        <w:widowControl w:val="0"/>
        <w:spacing w:before="0"/>
        <w:rPr>
          <w:rFonts w:ascii="Times New Roman" w:hAnsi="Times New Roman" w:cs="Times New Roman"/>
        </w:rPr>
      </w:pPr>
      <w:bookmarkStart w:id="11" w:name="OLE_LINK24"/>
      <w:bookmarkStart w:id="12" w:name="OLE_LINK25"/>
      <w:r w:rsidRPr="00AA4F9D">
        <w:rPr>
          <w:rFonts w:ascii="Times New Roman" w:hAnsi="Times New Roman" w:cs="Times New Roman"/>
        </w:rPr>
        <w:t xml:space="preserve">6. </w:t>
      </w:r>
      <w:r>
        <w:rPr>
          <w:rFonts w:ascii="Times New Roman" w:hAnsi="Times New Roman" w:cs="Times New Roman"/>
        </w:rPr>
        <w:t>T</w:t>
      </w:r>
      <w:r w:rsidRPr="00AA4F9D">
        <w:rPr>
          <w:rFonts w:ascii="Times New Roman" w:hAnsi="Times New Roman" w:cs="Times New Roman"/>
        </w:rPr>
        <w:t xml:space="preserve">he </w:t>
      </w:r>
      <w:r>
        <w:rPr>
          <w:rFonts w:ascii="Times New Roman" w:hAnsi="Times New Roman" w:cs="Times New Roman"/>
        </w:rPr>
        <w:t>R</w:t>
      </w:r>
      <w:r w:rsidRPr="00AA4F9D">
        <w:rPr>
          <w:rFonts w:ascii="Times New Roman" w:hAnsi="Times New Roman" w:cs="Times New Roman"/>
        </w:rPr>
        <w:t xml:space="preserve">eport's conclusion about </w:t>
      </w:r>
      <w:r>
        <w:rPr>
          <w:rFonts w:ascii="Times New Roman" w:hAnsi="Times New Roman" w:cs="Times New Roman"/>
        </w:rPr>
        <w:t>O</w:t>
      </w:r>
      <w:r w:rsidRPr="00AA4F9D">
        <w:rPr>
          <w:rFonts w:ascii="Times New Roman" w:hAnsi="Times New Roman" w:cs="Times New Roman"/>
        </w:rPr>
        <w:t xml:space="preserve">ntario compared to other jurisdictions doesn't make an </w:t>
      </w:r>
      <w:r>
        <w:rPr>
          <w:rFonts w:ascii="Times New Roman" w:hAnsi="Times New Roman" w:cs="Times New Roman"/>
        </w:rPr>
        <w:t>E</w:t>
      </w:r>
      <w:r w:rsidRPr="00AA4F9D">
        <w:rPr>
          <w:rFonts w:ascii="Times New Roman" w:hAnsi="Times New Roman" w:cs="Times New Roman"/>
        </w:rPr>
        <w:t xml:space="preserve">ducation </w:t>
      </w:r>
      <w:r>
        <w:rPr>
          <w:rFonts w:ascii="Times New Roman" w:hAnsi="Times New Roman" w:cs="Times New Roman"/>
        </w:rPr>
        <w:t>A</w:t>
      </w:r>
      <w:r w:rsidRPr="00AA4F9D">
        <w:rPr>
          <w:rFonts w:ascii="Times New Roman" w:hAnsi="Times New Roman" w:cs="Times New Roman"/>
        </w:rPr>
        <w:t xml:space="preserve">ccessibility </w:t>
      </w:r>
      <w:r>
        <w:rPr>
          <w:rFonts w:ascii="Times New Roman" w:hAnsi="Times New Roman" w:cs="Times New Roman"/>
        </w:rPr>
        <w:t>S</w:t>
      </w:r>
      <w:r w:rsidRPr="00AA4F9D">
        <w:rPr>
          <w:rFonts w:ascii="Times New Roman" w:hAnsi="Times New Roman" w:cs="Times New Roman"/>
        </w:rPr>
        <w:t>tandard unnecessary</w:t>
      </w:r>
      <w:r>
        <w:rPr>
          <w:rFonts w:ascii="Times New Roman" w:hAnsi="Times New Roman" w:cs="Times New Roman"/>
        </w:rPr>
        <w:t>.</w:t>
      </w:r>
    </w:p>
    <w:bookmarkEnd w:id="11"/>
    <w:bookmarkEnd w:id="12"/>
    <w:p w:rsidR="00436150" w:rsidRPr="00AA4F9D" w:rsidRDefault="00436150" w:rsidP="00AA4F9D">
      <w:pPr>
        <w:widowControl w:val="0"/>
      </w:pPr>
    </w:p>
    <w:p w:rsidR="00086A7D" w:rsidRPr="00AA4F9D" w:rsidRDefault="0074290D" w:rsidP="00AA4F9D">
      <w:pPr>
        <w:widowControl w:val="0"/>
      </w:pPr>
      <w:r w:rsidRPr="00AA4F9D">
        <w:t xml:space="preserve">Even if the Report's bottom-line conclusion had been accurate and reliable, that conclusion does not contradict or weaken the pressing need for the Ontario Government to develop and implement an Education Accessibility Standard under the AODA. </w:t>
      </w:r>
      <w:r w:rsidR="00122322" w:rsidRPr="00AA4F9D">
        <w:t xml:space="preserve">Under the AODA, it is not sufficient </w:t>
      </w:r>
      <w:r w:rsidRPr="00AA4F9D">
        <w:t>for the Ontario Government to put in place accessibility measures that are merely as strong as or stronger than those in place in other jurisdictions. The AODA requires the Government to lead Ontario, including its education system,</w:t>
      </w:r>
      <w:r w:rsidR="00AA4F9D">
        <w:t xml:space="preserve"> </w:t>
      </w:r>
      <w:r w:rsidRPr="00AA4F9D">
        <w:t>to become fully disability-accessible by 2025. If the measures now in place will not assure that Ontario will reach that goal, the Government must enact and effectively enforce all the accessibility standards needed to ensure that Ontario reaches that goal on time.</w:t>
      </w:r>
    </w:p>
    <w:p w:rsidR="0074290D" w:rsidRPr="00AA4F9D" w:rsidRDefault="0074290D" w:rsidP="00AA4F9D">
      <w:pPr>
        <w:widowControl w:val="0"/>
      </w:pPr>
    </w:p>
    <w:p w:rsidR="00EC45F0" w:rsidRPr="00163F30" w:rsidRDefault="00EC45F0" w:rsidP="00AA4F9D">
      <w:pPr>
        <w:pStyle w:val="Heading1"/>
        <w:keepNext w:val="0"/>
        <w:keepLines w:val="0"/>
        <w:widowControl w:val="0"/>
        <w:spacing w:before="0"/>
        <w:rPr>
          <w:rFonts w:ascii="Times New Roman" w:hAnsi="Times New Roman" w:cs="Times New Roman"/>
          <w:b w:val="0"/>
          <w:sz w:val="24"/>
          <w:szCs w:val="24"/>
        </w:rPr>
      </w:pPr>
      <w:r w:rsidRPr="00163F30">
        <w:rPr>
          <w:rStyle w:val="Heading1Char"/>
          <w:rFonts w:ascii="Times New Roman" w:hAnsi="Times New Roman" w:cs="Times New Roman"/>
          <w:b/>
          <w:sz w:val="24"/>
          <w:szCs w:val="24"/>
        </w:rPr>
        <w:t>Chapter 2</w:t>
      </w:r>
      <w:bookmarkStart w:id="13" w:name="OLE_LINK4"/>
      <w:bookmarkStart w:id="14" w:name="OLE_LINK3"/>
      <w:r w:rsidR="00F95E11">
        <w:rPr>
          <w:rStyle w:val="Heading1Char"/>
          <w:rFonts w:ascii="Times New Roman" w:hAnsi="Times New Roman" w:cs="Times New Roman"/>
          <w:b/>
          <w:sz w:val="24"/>
          <w:szCs w:val="24"/>
        </w:rPr>
        <w:t xml:space="preserve"> - </w:t>
      </w:r>
      <w:r w:rsidRPr="00163F30">
        <w:rPr>
          <w:rStyle w:val="Heading1Char"/>
          <w:rFonts w:ascii="Times New Roman" w:hAnsi="Times New Roman" w:cs="Times New Roman"/>
          <w:b/>
          <w:sz w:val="24"/>
          <w:szCs w:val="24"/>
        </w:rPr>
        <w:t>The Report's Contents Show Ontario's Education System Still Has To</w:t>
      </w:r>
      <w:r w:rsidR="00163F30" w:rsidRPr="00163F30">
        <w:rPr>
          <w:rStyle w:val="Heading1Char"/>
          <w:rFonts w:ascii="Times New Roman" w:hAnsi="Times New Roman" w:cs="Times New Roman"/>
          <w:b/>
          <w:sz w:val="24"/>
          <w:szCs w:val="24"/>
        </w:rPr>
        <w:t>o</w:t>
      </w:r>
      <w:r w:rsidRPr="00163F30">
        <w:rPr>
          <w:rStyle w:val="Heading1Char"/>
          <w:rFonts w:ascii="Times New Roman" w:hAnsi="Times New Roman" w:cs="Times New Roman"/>
          <w:b/>
          <w:sz w:val="24"/>
          <w:szCs w:val="24"/>
        </w:rPr>
        <w:t xml:space="preserve"> </w:t>
      </w:r>
      <w:r w:rsidR="00163F30" w:rsidRPr="00163F30">
        <w:rPr>
          <w:rStyle w:val="Heading1Char"/>
          <w:rFonts w:ascii="Times New Roman" w:hAnsi="Times New Roman" w:cs="Times New Roman"/>
          <w:b/>
          <w:sz w:val="24"/>
          <w:szCs w:val="24"/>
        </w:rPr>
        <w:t>M</w:t>
      </w:r>
      <w:r w:rsidRPr="00163F30">
        <w:rPr>
          <w:rStyle w:val="Heading1Char"/>
          <w:rFonts w:ascii="Times New Roman" w:hAnsi="Times New Roman" w:cs="Times New Roman"/>
          <w:b/>
          <w:sz w:val="24"/>
          <w:szCs w:val="24"/>
        </w:rPr>
        <w:t>any Recurring Accessibility Barriers</w:t>
      </w:r>
    </w:p>
    <w:p w:rsidR="00EC45F0" w:rsidRPr="00AA4F9D" w:rsidRDefault="00EC45F0" w:rsidP="00AA4F9D">
      <w:pPr>
        <w:widowControl w:val="0"/>
      </w:pPr>
    </w:p>
    <w:p w:rsidR="00EC45F0" w:rsidRPr="00AA4F9D" w:rsidRDefault="00EC45F0" w:rsidP="00AA4F9D">
      <w:pPr>
        <w:widowControl w:val="0"/>
      </w:pPr>
      <w:r w:rsidRPr="00AA4F9D">
        <w:t xml:space="preserve">The </w:t>
      </w:r>
      <w:r w:rsidR="008C5DC3" w:rsidRPr="00AA4F9D">
        <w:t xml:space="preserve">KPMG </w:t>
      </w:r>
      <w:r w:rsidRPr="00AA4F9D">
        <w:t xml:space="preserve">Report's contents show that Ontario's education system still has too many significant accessibility barriers that impede students with disabilities. The KPMG Report did not conclude that Ontario's education system is barrier-free and fully accessible to students with disabilities, or that students with disabilities get all the accommodations they need to ensure that they can fully participate and be fully included in Ontario's education system. </w:t>
      </w:r>
    </w:p>
    <w:p w:rsidR="00EC45F0" w:rsidRPr="00AA4F9D" w:rsidRDefault="00EC45F0" w:rsidP="00AA4F9D">
      <w:pPr>
        <w:widowControl w:val="0"/>
      </w:pPr>
    </w:p>
    <w:p w:rsidR="00EC45F0" w:rsidRPr="00AA4F9D" w:rsidRDefault="00EC45F0" w:rsidP="00AA4F9D">
      <w:pPr>
        <w:widowControl w:val="0"/>
      </w:pPr>
      <w:r w:rsidRPr="00AA4F9D">
        <w:t xml:space="preserve">The Report did not conclude that Ontario's education system is now on track to become fully accessible by 2025. </w:t>
      </w:r>
      <w:r w:rsidR="007F163F" w:rsidRPr="00AA4F9D">
        <w:t xml:space="preserve">Nothing in the Report shows that there is no need for Ontario to develop an AODA Education Accessibility Standard. </w:t>
      </w:r>
      <w:r w:rsidRPr="00AA4F9D">
        <w:t xml:space="preserve">In other words, the need for Ontario to develop an Education Accessibility Standard under the AODA is </w:t>
      </w:r>
      <w:r w:rsidR="008C5DC3" w:rsidRPr="00AA4F9D">
        <w:t xml:space="preserve">amply </w:t>
      </w:r>
      <w:r w:rsidRPr="00AA4F9D">
        <w:t xml:space="preserve">reinforced by the Report's contents and findings. </w:t>
      </w:r>
    </w:p>
    <w:p w:rsidR="00EC45F0" w:rsidRPr="00AA4F9D" w:rsidRDefault="00EC45F0" w:rsidP="00AA4F9D">
      <w:pPr>
        <w:widowControl w:val="0"/>
      </w:pPr>
    </w:p>
    <w:bookmarkEnd w:id="13"/>
    <w:bookmarkEnd w:id="14"/>
    <w:p w:rsidR="00EC45F0" w:rsidRPr="00AA4F9D" w:rsidRDefault="00EC45F0" w:rsidP="00AA4F9D">
      <w:pPr>
        <w:widowControl w:val="0"/>
      </w:pPr>
      <w:r w:rsidRPr="00AA4F9D">
        <w:t xml:space="preserve">Later, in </w:t>
      </w:r>
      <w:r w:rsidR="007F163F" w:rsidRPr="00AA4F9D">
        <w:t xml:space="preserve">Chapter </w:t>
      </w:r>
      <w:r w:rsidRPr="00AA4F9D">
        <w:t xml:space="preserve">4 of this analysis, serious limitations in how KPMG conducted this study are identified. Despite that critique, the KPMG Report is still reliable as showing that these recurring accessibility barriers persist in Ontario's education system. A proper consultation on Ontario's </w:t>
      </w:r>
      <w:r w:rsidRPr="00AA4F9D">
        <w:lastRenderedPageBreak/>
        <w:t xml:space="preserve">education system, such as an AODA Standards Development Committee could conduct, would reveal even more accessibility barriers in Ontario's education system. </w:t>
      </w:r>
    </w:p>
    <w:p w:rsidR="00EC45F0" w:rsidRPr="00AA4F9D" w:rsidRDefault="00EC45F0" w:rsidP="00AA4F9D">
      <w:pPr>
        <w:widowControl w:val="0"/>
      </w:pPr>
    </w:p>
    <w:p w:rsidR="00EC45F0" w:rsidRPr="00AA4F9D" w:rsidRDefault="00EC45F0" w:rsidP="00AA4F9D">
      <w:pPr>
        <w:widowControl w:val="0"/>
      </w:pPr>
      <w:r w:rsidRPr="00AA4F9D">
        <w:t xml:space="preserve">This </w:t>
      </w:r>
      <w:r w:rsidR="00305743" w:rsidRPr="00AA4F9D">
        <w:t xml:space="preserve">chapter </w:t>
      </w:r>
      <w:r w:rsidRPr="00AA4F9D">
        <w:t xml:space="preserve">of this Analysis of the KPMG Report highlights some examples of accessibility barriers in the education system to which the Report, at some point or other in its pages, referred. </w:t>
      </w:r>
    </w:p>
    <w:p w:rsidR="00EC45F0" w:rsidRPr="00AA4F9D" w:rsidRDefault="00EC45F0" w:rsidP="00AA4F9D">
      <w:pPr>
        <w:widowControl w:val="0"/>
      </w:pPr>
      <w:r w:rsidRPr="00AA4F9D">
        <w:t>The following excerpts from the Report, identifying a range of accessibility barriers in education, will appear somewhat repetitive. That is because the Report itself was at times, quite repetitive.</w:t>
      </w:r>
    </w:p>
    <w:p w:rsidR="00EC45F0" w:rsidRPr="00AA4F9D" w:rsidRDefault="00EC45F0" w:rsidP="00AA4F9D">
      <w:pPr>
        <w:widowControl w:val="0"/>
      </w:pPr>
    </w:p>
    <w:p w:rsidR="00EC45F0" w:rsidRPr="00AA4F9D" w:rsidRDefault="00EC45F0" w:rsidP="00AA4F9D">
      <w:pPr>
        <w:widowControl w:val="0"/>
      </w:pPr>
      <w:r w:rsidRPr="00AA4F9D">
        <w:t>The Report's review of online literature shows a range of persistent barriers against students with disabilities despite regulatory measures such as those in effect now in Ontario. The Report states (footnotes omitted):</w:t>
      </w:r>
    </w:p>
    <w:p w:rsidR="00EC45F0" w:rsidRPr="00AA4F9D" w:rsidRDefault="00EC45F0" w:rsidP="00AA4F9D">
      <w:pPr>
        <w:widowControl w:val="0"/>
      </w:pPr>
    </w:p>
    <w:p w:rsidR="00EC45F0" w:rsidRPr="00AA4F9D" w:rsidRDefault="00EC45F0" w:rsidP="00AA4F9D">
      <w:pPr>
        <w:widowControl w:val="0"/>
        <w:ind w:left="720" w:right="720"/>
      </w:pPr>
      <w:r w:rsidRPr="00AA4F9D">
        <w:t xml:space="preserve">"In education, five main barriers were found. These barriers impact students’ ability to obtain meaningful education and create limits on the depth of information that students can obtain in their studies. Although in Canada, the US, and UK there are legislation and regulations to ensure equal access to education, many of the necessary facets often fall short and these regulations are not always complied with. Additionally, as technology advances, new barriers are emerging. Web accessibility has received focus in recent years, but more needs to be done, especially as the internet, university library webpages, and online resources grow as central components to university education. Solutions have been found to decrease some barriers through the implementation of individualized learning plants to meet the specific needs of each students, yet the </w:t>
      </w:r>
      <w:proofErr w:type="gramStart"/>
      <w:r w:rsidRPr="00AA4F9D">
        <w:t>real life</w:t>
      </w:r>
      <w:proofErr w:type="gramEnd"/>
      <w:r w:rsidRPr="00AA4F9D">
        <w:t xml:space="preserve"> implementation of these plans has been difficult. The literature below highlights concerns from parents, educators, advocates, and academics seeking to find solutions" (at 3).</w:t>
      </w:r>
    </w:p>
    <w:p w:rsidR="00EC45F0" w:rsidRPr="00AA4F9D" w:rsidRDefault="00EC45F0" w:rsidP="00AA4F9D">
      <w:pPr>
        <w:widowControl w:val="0"/>
      </w:pPr>
    </w:p>
    <w:p w:rsidR="00EC45F0" w:rsidRPr="00AA4F9D" w:rsidRDefault="00EC45F0" w:rsidP="00AA4F9D">
      <w:pPr>
        <w:widowControl w:val="0"/>
      </w:pPr>
      <w:r w:rsidRPr="00AA4F9D">
        <w:t>Expanding on that conclusion, the Report states:</w:t>
      </w:r>
    </w:p>
    <w:p w:rsidR="00EC45F0" w:rsidRPr="00AA4F9D" w:rsidRDefault="00EC45F0" w:rsidP="00AA4F9D">
      <w:pPr>
        <w:widowControl w:val="0"/>
      </w:pPr>
    </w:p>
    <w:p w:rsidR="00EC45F0" w:rsidRPr="00AA4F9D" w:rsidRDefault="00EC45F0" w:rsidP="00AA4F9D">
      <w:pPr>
        <w:widowControl w:val="0"/>
        <w:ind w:left="720" w:right="720"/>
      </w:pPr>
      <w:r w:rsidRPr="00AA4F9D">
        <w:t xml:space="preserve">"Other literature reveals that children in Ontario can face long delays in obtaining accommodation in educational institutions. These delays are found throughout the stages of the transition process. A report conducted by the Ontario Human Rights Commission (OHRC), </w:t>
      </w:r>
      <w:r w:rsidRPr="00AA4F9D">
        <w:rPr>
          <w:i/>
        </w:rPr>
        <w:t>The Opportunity to Succeed: Achieving Barrier-Free Education for Students with Disabilities</w:t>
      </w:r>
      <w:r w:rsidRPr="00AA4F9D">
        <w:t>, shows that there was a long administrative backlog to process claims for special education funding, a backlog of appointments to obtain professional assessment, and delays in establishing special education programs and services. The report further shows that disagreements on accommodations resulted in students missing significant amounts of school. A failure of administrative processes and lack of clear leadership have resulted in delays in children's development" (at 37).</w:t>
      </w:r>
    </w:p>
    <w:p w:rsidR="00EC45F0" w:rsidRPr="00AA4F9D" w:rsidRDefault="00EC45F0" w:rsidP="00AA4F9D">
      <w:pPr>
        <w:widowControl w:val="0"/>
      </w:pPr>
    </w:p>
    <w:p w:rsidR="00EC45F0" w:rsidRPr="00AA4F9D" w:rsidRDefault="00EC45F0" w:rsidP="00AA4F9D">
      <w:pPr>
        <w:widowControl w:val="0"/>
      </w:pPr>
      <w:r w:rsidRPr="00AA4F9D">
        <w:t>The KPMG Report added to the foregoing:</w:t>
      </w:r>
    </w:p>
    <w:p w:rsidR="00EC45F0" w:rsidRPr="00AA4F9D" w:rsidRDefault="00EC45F0" w:rsidP="00AA4F9D">
      <w:pPr>
        <w:widowControl w:val="0"/>
      </w:pPr>
    </w:p>
    <w:p w:rsidR="00EC45F0" w:rsidRPr="00AA4F9D" w:rsidRDefault="00EC45F0" w:rsidP="00AA4F9D">
      <w:pPr>
        <w:widowControl w:val="0"/>
        <w:ind w:left="720" w:right="720"/>
      </w:pPr>
      <w:r w:rsidRPr="00AA4F9D">
        <w:t xml:space="preserve">"These barriers highlight the ongoing difficulties in coordination between different administrations. There are significant issues in transferring and sharing of information, which negatively impact experience of the child with disabilities and their family, and hinders their development. These shortcomings in </w:t>
      </w:r>
      <w:r w:rsidRPr="00AA4F9D">
        <w:lastRenderedPageBreak/>
        <w:t>coordination between programs and sharing of information increase the difficultly for children to be placed in appropriate schooling programs. Backlogs in processing information, providing necessary appointments, and establishing the necessary accommodations result in children missing significant amounts of school at critical points in their development. These barriers can have long lasting results on a child’s likelihood to succeed and increases the likelihood of a child slipping through the system.</w:t>
      </w:r>
    </w:p>
    <w:p w:rsidR="00EC45F0" w:rsidRPr="00AA4F9D" w:rsidRDefault="00EC45F0" w:rsidP="00AA4F9D">
      <w:pPr>
        <w:widowControl w:val="0"/>
        <w:ind w:left="720" w:right="720"/>
      </w:pPr>
    </w:p>
    <w:p w:rsidR="00EC45F0" w:rsidRPr="00AA4F9D" w:rsidRDefault="00EC45F0" w:rsidP="00AA4F9D">
      <w:pPr>
        <w:widowControl w:val="0"/>
        <w:ind w:left="720" w:right="720"/>
      </w:pPr>
      <w:r w:rsidRPr="00AA4F9D">
        <w:t>The literature asserts that educational institutions must do better to implement the necessary accommodations quickly and resolve disagreements on accommodations in a timely manner. Governments should consider establishing clear referral protocols and ease the transfer of information. These are administrative issues, which must be mitigated in order for a holistic approach to be effective</w:t>
      </w:r>
      <w:r w:rsidR="00F95E11">
        <w:t>"</w:t>
      </w:r>
      <w:r w:rsidRPr="00AA4F9D">
        <w:t xml:space="preserve"> (at 37).</w:t>
      </w:r>
    </w:p>
    <w:p w:rsidR="00EC45F0" w:rsidRPr="00AA4F9D" w:rsidRDefault="00EC45F0" w:rsidP="00AA4F9D">
      <w:pPr>
        <w:widowControl w:val="0"/>
      </w:pPr>
    </w:p>
    <w:p w:rsidR="00EC45F0" w:rsidRPr="00AA4F9D" w:rsidRDefault="00EC45F0" w:rsidP="00AA4F9D">
      <w:pPr>
        <w:widowControl w:val="0"/>
      </w:pPr>
      <w:r w:rsidRPr="00AA4F9D">
        <w:t xml:space="preserve">The Report concluded: </w:t>
      </w:r>
    </w:p>
    <w:p w:rsidR="00EC45F0" w:rsidRPr="00AA4F9D" w:rsidRDefault="00EC45F0" w:rsidP="00AA4F9D">
      <w:pPr>
        <w:widowControl w:val="0"/>
      </w:pPr>
    </w:p>
    <w:p w:rsidR="00EC45F0" w:rsidRPr="00AA4F9D" w:rsidRDefault="00EC45F0" w:rsidP="00AA4F9D">
      <w:pPr>
        <w:widowControl w:val="0"/>
        <w:ind w:left="720" w:right="720"/>
      </w:pPr>
      <w:r w:rsidRPr="00AA4F9D">
        <w:t>"The literature review identified a number of barriers that exist in the education system for those living with both mental and physical disabilities. While some of these gaps are addressed through government regulation or programs, there is still more to be done. It is evident that certain jurisdictions have been able to implement specific programs to address unmet needs, but these appear to be limited to municipalities that have the resources to do so, rather than for broader regional implementation</w:t>
      </w:r>
      <w:r w:rsidR="00F95E11">
        <w:t>"</w:t>
      </w:r>
      <w:r w:rsidRPr="00AA4F9D">
        <w:t xml:space="preserve"> (at 56).</w:t>
      </w:r>
    </w:p>
    <w:p w:rsidR="00EC45F0" w:rsidRPr="00AA4F9D" w:rsidRDefault="00EC45F0" w:rsidP="00AA4F9D">
      <w:pPr>
        <w:widowControl w:val="0"/>
      </w:pPr>
    </w:p>
    <w:p w:rsidR="00EC45F0" w:rsidRPr="00AA4F9D" w:rsidRDefault="00EC45F0" w:rsidP="00AA4F9D">
      <w:pPr>
        <w:widowControl w:val="0"/>
      </w:pPr>
      <w:r w:rsidRPr="00AA4F9D">
        <w:t>The Report confirmed that students with disabilities are not always getting accommodations they need in school. The report states:</w:t>
      </w:r>
    </w:p>
    <w:p w:rsidR="00EC45F0" w:rsidRPr="00AA4F9D" w:rsidRDefault="00EC45F0" w:rsidP="00AA4F9D">
      <w:pPr>
        <w:widowControl w:val="0"/>
      </w:pPr>
    </w:p>
    <w:p w:rsidR="00EC45F0" w:rsidRPr="00AA4F9D" w:rsidRDefault="00EC45F0" w:rsidP="00AA4F9D">
      <w:pPr>
        <w:widowControl w:val="0"/>
        <w:ind w:left="720" w:right="720"/>
      </w:pPr>
      <w:r w:rsidRPr="00AA4F9D">
        <w:t>"The Ontario Human Rights Code guarantees the right to equal treatment in education, without discrimination on the grounds of disability, as part of the protection for equal treatment in services. Education providers have a duty to accommodate students with disabilities up to the point of undue hardship. Students with disabilities are not always being provided with appropriate accommodation, and, in some cases, are falling victim to disputes between the various parties responsible for accommodation" (at 28).</w:t>
      </w:r>
    </w:p>
    <w:p w:rsidR="00EC45F0" w:rsidRPr="00AA4F9D" w:rsidRDefault="00EC45F0" w:rsidP="00AA4F9D">
      <w:pPr>
        <w:widowControl w:val="0"/>
      </w:pPr>
    </w:p>
    <w:p w:rsidR="00EC45F0" w:rsidRPr="00AA4F9D" w:rsidRDefault="00EC45F0" w:rsidP="00AA4F9D">
      <w:pPr>
        <w:widowControl w:val="0"/>
      </w:pPr>
      <w:r w:rsidRPr="00AA4F9D">
        <w:t>Similarly, the Report concluded:</w:t>
      </w:r>
    </w:p>
    <w:p w:rsidR="00EC45F0" w:rsidRPr="00AA4F9D" w:rsidRDefault="00EC45F0" w:rsidP="00AA4F9D">
      <w:pPr>
        <w:widowControl w:val="0"/>
      </w:pPr>
    </w:p>
    <w:p w:rsidR="00EC45F0" w:rsidRPr="00AA4F9D" w:rsidRDefault="00EC45F0" w:rsidP="00AA4F9D">
      <w:pPr>
        <w:widowControl w:val="0"/>
        <w:ind w:left="720" w:right="720"/>
      </w:pPr>
      <w:r w:rsidRPr="00AA4F9D">
        <w:t>"As will be demonstrated in the Section 4 of the report on barriers to accessibility, although there are regulations and policies in place in Ontario and its peer jurisdictions, these standards are not always delivered as intended. There are reports of schools receiving insufficient funding for accommodating special needs, poor transition planning, and a lack of feeling welcome at school. Despite regulations and policies in place to ensure high standards of accommodation in education, there are reported gaps in ensuring the delivery of these standards are at the level intended" (at 31).</w:t>
      </w:r>
    </w:p>
    <w:p w:rsidR="00EC45F0" w:rsidRPr="00AA4F9D" w:rsidRDefault="00EC45F0" w:rsidP="00AA4F9D">
      <w:pPr>
        <w:widowControl w:val="0"/>
      </w:pPr>
    </w:p>
    <w:p w:rsidR="00EC45F0" w:rsidRPr="00AA4F9D" w:rsidRDefault="00EC45F0" w:rsidP="00AA4F9D">
      <w:pPr>
        <w:widowControl w:val="0"/>
      </w:pPr>
      <w:r w:rsidRPr="00AA4F9D">
        <w:t>The Report further described barriers in Ontario's education system as follows:</w:t>
      </w:r>
    </w:p>
    <w:p w:rsidR="00EC45F0" w:rsidRPr="00AA4F9D" w:rsidRDefault="00EC45F0" w:rsidP="00AA4F9D">
      <w:pPr>
        <w:widowControl w:val="0"/>
      </w:pPr>
    </w:p>
    <w:p w:rsidR="00EC45F0" w:rsidRPr="00AA4F9D" w:rsidRDefault="00EC45F0" w:rsidP="00AA4F9D">
      <w:pPr>
        <w:widowControl w:val="0"/>
        <w:ind w:left="720" w:right="720"/>
      </w:pPr>
      <w:r w:rsidRPr="00AA4F9D">
        <w:t xml:space="preserve">"In Ontario, it is recommended that when developing an individualized education plan, that the student’s parents, teachers, principal, and other special care professionals involved in the student’s well-being and development (as deemed appropriate) work together to develop their education plan. Reports in the literature review have shown that collaboration between these groups does not in practice always take place. The OHRC called for greater collaboration between the Ministry of Education with school boards and schools to establish systems to monitor the process of students with individualized learning plans, as well as monitoring the accommodation and actions taken by groups involved. The OHRC also suggested improved collaboration between the Ministry of Training, Colleges, and Universities with colleges and universities to monitor the accommodation of students with disabilities. </w:t>
      </w:r>
    </w:p>
    <w:p w:rsidR="00EC45F0" w:rsidRPr="00AA4F9D" w:rsidRDefault="00EC45F0" w:rsidP="00AA4F9D">
      <w:pPr>
        <w:widowControl w:val="0"/>
        <w:ind w:left="720" w:right="720"/>
      </w:pPr>
    </w:p>
    <w:p w:rsidR="00EC45F0" w:rsidRPr="00AA4F9D" w:rsidRDefault="00EC45F0" w:rsidP="00AA4F9D">
      <w:pPr>
        <w:widowControl w:val="0"/>
        <w:ind w:left="720" w:right="720"/>
      </w:pPr>
      <w:r w:rsidRPr="00AA4F9D">
        <w:t>The literature further suggests that at each stage in transitioning careful planning is needed, and that planning needs to begin early on. A particular gap in Ontario is transition planning for life after high school. When these students reach 21 years of age, the support systems they had throughout childhood end. A study by Dr. Gary Bunch showed that the success in students with disabilities transitioning from high school in Ontario is disappointing. Many of these young adults fail to find work after secondary school and struggle in establishing life paths. The main barrier found by Bunch is difficulties in collaboration between teachers and parents in establishing an individualized education plan and strategies for transitioning</w:t>
      </w:r>
      <w:r w:rsidR="00F95E11">
        <w:t>"</w:t>
      </w:r>
      <w:r w:rsidRPr="00AA4F9D">
        <w:t xml:space="preserve"> (at 37-38).</w:t>
      </w:r>
    </w:p>
    <w:p w:rsidR="00EC45F0" w:rsidRPr="00AA4F9D" w:rsidRDefault="00EC45F0" w:rsidP="00AA4F9D">
      <w:pPr>
        <w:widowControl w:val="0"/>
      </w:pPr>
    </w:p>
    <w:p w:rsidR="00EC45F0" w:rsidRPr="00AA4F9D" w:rsidRDefault="00EC45F0" w:rsidP="00AA4F9D">
      <w:pPr>
        <w:widowControl w:val="0"/>
      </w:pPr>
      <w:r w:rsidRPr="00AA4F9D">
        <w:t>Elsewhere the Report reiterated:</w:t>
      </w:r>
    </w:p>
    <w:p w:rsidR="00EC45F0" w:rsidRPr="00AA4F9D" w:rsidRDefault="00EC45F0" w:rsidP="00AA4F9D">
      <w:pPr>
        <w:widowControl w:val="0"/>
      </w:pPr>
    </w:p>
    <w:p w:rsidR="00EC45F0" w:rsidRPr="00AA4F9D" w:rsidRDefault="00EC45F0" w:rsidP="00AA4F9D">
      <w:pPr>
        <w:widowControl w:val="0"/>
        <w:ind w:left="720" w:right="720"/>
      </w:pPr>
      <w:r w:rsidRPr="00AA4F9D">
        <w:t>"The literature review suggests that the transition planning for students with disabilities needs improvement. Necessary components to achieving improvement include monitoring students’ progression in their Individualized Learning Plans and establishing collaborative relationships between the different groups involved in the planning process, with families having a meaningful contribution</w:t>
      </w:r>
      <w:r w:rsidR="00F95E11">
        <w:t>"</w:t>
      </w:r>
      <w:r w:rsidRPr="00AA4F9D">
        <w:t xml:space="preserve"> (at 39).</w:t>
      </w:r>
    </w:p>
    <w:p w:rsidR="00EC45F0" w:rsidRPr="00AA4F9D" w:rsidRDefault="00EC45F0" w:rsidP="00AA4F9D">
      <w:pPr>
        <w:widowControl w:val="0"/>
      </w:pPr>
    </w:p>
    <w:p w:rsidR="00EC45F0" w:rsidRPr="00AA4F9D" w:rsidRDefault="00EC45F0" w:rsidP="00AA4F9D">
      <w:pPr>
        <w:widowControl w:val="0"/>
      </w:pPr>
      <w:r w:rsidRPr="00AA4F9D">
        <w:t>On this, the Report added:</w:t>
      </w:r>
    </w:p>
    <w:p w:rsidR="00EC45F0" w:rsidRPr="00AA4F9D" w:rsidRDefault="00EC45F0" w:rsidP="00AA4F9D">
      <w:pPr>
        <w:widowControl w:val="0"/>
      </w:pPr>
    </w:p>
    <w:p w:rsidR="00EC45F0" w:rsidRPr="00AA4F9D" w:rsidRDefault="00EC45F0" w:rsidP="00AA4F9D">
      <w:pPr>
        <w:widowControl w:val="0"/>
        <w:ind w:left="720" w:right="720"/>
      </w:pPr>
      <w:r w:rsidRPr="00AA4F9D">
        <w:t>"Failure to improve the transition planning process will impact students’ successful movement into different phases of their education and onto adulthood. A lack of planning and collaboration by teachers, parents, and students are resulting in students struggling to move forward as independent, working adults</w:t>
      </w:r>
      <w:r w:rsidR="00F95E11">
        <w:t>"</w:t>
      </w:r>
      <w:r w:rsidRPr="00AA4F9D">
        <w:t xml:space="preserve"> (at 39).</w:t>
      </w:r>
    </w:p>
    <w:p w:rsidR="00EC45F0" w:rsidRPr="00AA4F9D" w:rsidRDefault="00EC45F0" w:rsidP="00AA4F9D">
      <w:pPr>
        <w:widowControl w:val="0"/>
      </w:pPr>
    </w:p>
    <w:p w:rsidR="00EC45F0" w:rsidRPr="00AA4F9D" w:rsidRDefault="00EC45F0" w:rsidP="00AA4F9D">
      <w:pPr>
        <w:widowControl w:val="0"/>
      </w:pPr>
      <w:r w:rsidRPr="00AA4F9D">
        <w:t>The Report recognized that the process for developing Individual Education Plans (IEPs) for students with disabilities in school does not always translate into proper action, and that there is a need for an appeal process. The Report states:</w:t>
      </w:r>
    </w:p>
    <w:p w:rsidR="00EC45F0" w:rsidRPr="00AA4F9D" w:rsidRDefault="00EC45F0" w:rsidP="00AA4F9D">
      <w:pPr>
        <w:widowControl w:val="0"/>
      </w:pPr>
    </w:p>
    <w:p w:rsidR="00EC45F0" w:rsidRPr="00AA4F9D" w:rsidRDefault="00EC45F0" w:rsidP="00AA4F9D">
      <w:pPr>
        <w:widowControl w:val="0"/>
        <w:ind w:left="720" w:right="720"/>
      </w:pPr>
      <w:r w:rsidRPr="00AA4F9D">
        <w:t>"Key issues identified in the research related to IEPs are as followed:</w:t>
      </w:r>
    </w:p>
    <w:p w:rsidR="00EC45F0" w:rsidRPr="00AA4F9D" w:rsidRDefault="00EC45F0" w:rsidP="00AA4F9D">
      <w:pPr>
        <w:widowControl w:val="0"/>
        <w:ind w:left="720" w:right="720"/>
      </w:pPr>
      <w:r w:rsidRPr="00AA4F9D">
        <w:t>*</w:t>
      </w:r>
      <w:r w:rsidRPr="00AA4F9D">
        <w:tab/>
        <w:t>Schools unable to support IEPs given lack of resources (e.g., not enough Educational Assistants; need for parental consent),</w:t>
      </w:r>
    </w:p>
    <w:p w:rsidR="00EC45F0" w:rsidRPr="00AA4F9D" w:rsidRDefault="00EC45F0" w:rsidP="00AA4F9D">
      <w:pPr>
        <w:widowControl w:val="0"/>
        <w:ind w:left="720" w:right="720"/>
      </w:pPr>
      <w:r w:rsidRPr="00AA4F9D">
        <w:t>*</w:t>
      </w:r>
      <w:r w:rsidRPr="00AA4F9D">
        <w:tab/>
        <w:t>Logistic and resource issues related to bringing in outside, mostly health funded, support (e.g., scheduling or physiotherapy and speech and language supports)</w:t>
      </w:r>
    </w:p>
    <w:p w:rsidR="00EC45F0" w:rsidRPr="00AA4F9D" w:rsidRDefault="00EC45F0" w:rsidP="00AA4F9D">
      <w:pPr>
        <w:widowControl w:val="0"/>
        <w:ind w:left="720" w:right="720"/>
      </w:pPr>
      <w:r w:rsidRPr="00AA4F9D">
        <w:t>*</w:t>
      </w:r>
      <w:r w:rsidRPr="00AA4F9D">
        <w:tab/>
        <w:t>No formal appeal processes for parents who wish to question the identified plan and associated support, and</w:t>
      </w:r>
    </w:p>
    <w:p w:rsidR="00EC45F0" w:rsidRPr="00AA4F9D" w:rsidRDefault="00EC45F0" w:rsidP="00AA4F9D">
      <w:pPr>
        <w:widowControl w:val="0"/>
        <w:ind w:left="720" w:right="720"/>
      </w:pPr>
      <w:r w:rsidRPr="00AA4F9D">
        <w:t>*</w:t>
      </w:r>
      <w:r w:rsidRPr="00AA4F9D">
        <w:tab/>
        <w:t>No clear connection between school and workforce planning</w:t>
      </w:r>
      <w:r w:rsidR="00F95E11">
        <w:t>"</w:t>
      </w:r>
      <w:r w:rsidRPr="00AA4F9D">
        <w:t xml:space="preserve"> (at 44).</w:t>
      </w:r>
    </w:p>
    <w:p w:rsidR="00EC45F0" w:rsidRPr="00AA4F9D" w:rsidRDefault="00EC45F0" w:rsidP="00AA4F9D">
      <w:pPr>
        <w:widowControl w:val="0"/>
      </w:pPr>
    </w:p>
    <w:p w:rsidR="00EC45F0" w:rsidRPr="00AA4F9D" w:rsidRDefault="00EC45F0" w:rsidP="00AA4F9D">
      <w:pPr>
        <w:widowControl w:val="0"/>
      </w:pPr>
      <w:r w:rsidRPr="00AA4F9D">
        <w:t>The Report again returned to these themes, stating:</w:t>
      </w:r>
    </w:p>
    <w:p w:rsidR="00EC45F0" w:rsidRPr="00AA4F9D" w:rsidRDefault="00EC45F0" w:rsidP="00AA4F9D">
      <w:pPr>
        <w:widowControl w:val="0"/>
      </w:pPr>
    </w:p>
    <w:p w:rsidR="00EC45F0" w:rsidRPr="00AA4F9D" w:rsidRDefault="00EC45F0" w:rsidP="00AA4F9D">
      <w:pPr>
        <w:widowControl w:val="0"/>
        <w:ind w:left="720" w:right="720"/>
      </w:pPr>
      <w:r w:rsidRPr="00AA4F9D">
        <w:t>"When a student with disabilities seeks to join school, at the elementary, secondary, and post-secondary level, it is expected that schools will make the necessary accommodation to support students. In practice, the implementation of accommodations is not always a straightforward process. The literature review and jurisdictional scan found that there can be backed up accumulation of claims for special education funding, extensive wait lists to meet with professionals, and delays in providing special education services. In Ontario, parents have reported that principals have outright stated that they are unable to provide special education services. Parents can face disagreements with schools on what accommodations are needed and reasonable. Low funding is identified as the main reason for failures to provide accommodation in elementary and secondary school. Failure to provide accommodation cause distress for the student with disabilities and her family, as well as delays in his development that can have lifelong repercussions. In the jurisdictional scan, there was a lack of definition of what the minimum is for reasonable accommodation, leaving room for interpretation and disputes.</w:t>
      </w:r>
    </w:p>
    <w:p w:rsidR="00EC45F0" w:rsidRPr="00AA4F9D" w:rsidRDefault="00EC45F0" w:rsidP="00AA4F9D">
      <w:pPr>
        <w:widowControl w:val="0"/>
        <w:ind w:left="720" w:right="720"/>
      </w:pPr>
    </w:p>
    <w:p w:rsidR="00EC45F0" w:rsidRPr="00AA4F9D" w:rsidRDefault="00EC45F0" w:rsidP="00AA4F9D">
      <w:pPr>
        <w:widowControl w:val="0"/>
        <w:ind w:left="720" w:right="720"/>
      </w:pPr>
      <w:r w:rsidRPr="00AA4F9D">
        <w:t>Technology (web accessibility, use in classroom and training for assistive technologies)</w:t>
      </w:r>
    </w:p>
    <w:p w:rsidR="00EC45F0" w:rsidRPr="00AA4F9D" w:rsidRDefault="00EC45F0" w:rsidP="00AA4F9D">
      <w:pPr>
        <w:widowControl w:val="0"/>
        <w:ind w:left="720" w:right="720"/>
        <w:rPr>
          <w:b/>
        </w:rPr>
      </w:pPr>
    </w:p>
    <w:p w:rsidR="00EC45F0" w:rsidRPr="00AA4F9D" w:rsidRDefault="00EC45F0" w:rsidP="00AA4F9D">
      <w:pPr>
        <w:widowControl w:val="0"/>
        <w:ind w:left="720" w:right="720"/>
      </w:pPr>
      <w:r w:rsidRPr="00AA4F9D">
        <w:t xml:space="preserve">As highlighted in Ontario's Customer Service Standard, access to information in an accessible format remains a barrier for Ontarians with a disability. As learning tools and research moves online, accessibility and access remains an issue for students with a disability. These issues transcend into the school system. Numerous programs exist to alleviate the pressure and cost associated with changing assistive devices but according to People for Education, over 1/3 of Ontario's schools are unable to meet the technology needs of students with special needs. This means that students IEPs are not being accommodated due to access, training and adaptability issues. Availability of needed technology also differs by school, student, facility and willingness to accommodate. </w:t>
      </w:r>
      <w:proofErr w:type="gramStart"/>
      <w:r w:rsidRPr="00AA4F9D">
        <w:t>These issue</w:t>
      </w:r>
      <w:proofErr w:type="gramEnd"/>
      <w:r w:rsidRPr="00AA4F9D">
        <w:t xml:space="preserve"> are apparent both at the K – 12 and post-secondary stages with different level of support and accommodation" (at 46).</w:t>
      </w:r>
    </w:p>
    <w:p w:rsidR="00EC45F0" w:rsidRPr="00AA4F9D" w:rsidRDefault="00EC45F0" w:rsidP="00AA4F9D">
      <w:pPr>
        <w:widowControl w:val="0"/>
      </w:pPr>
    </w:p>
    <w:p w:rsidR="00EC45F0" w:rsidRPr="00AA4F9D" w:rsidRDefault="00EC45F0" w:rsidP="00AA4F9D">
      <w:pPr>
        <w:widowControl w:val="0"/>
      </w:pPr>
      <w:r w:rsidRPr="00AA4F9D">
        <w:lastRenderedPageBreak/>
        <w:t>From KPMG's literature review, the Report identified greater barriers facing some students with disabilities in STEM (science, technology, engineering and math). The Report states:</w:t>
      </w:r>
    </w:p>
    <w:p w:rsidR="00EC45F0" w:rsidRPr="00AA4F9D" w:rsidRDefault="00EC45F0" w:rsidP="00AA4F9D">
      <w:pPr>
        <w:widowControl w:val="0"/>
      </w:pPr>
    </w:p>
    <w:p w:rsidR="00EC45F0" w:rsidRPr="00AA4F9D" w:rsidRDefault="00EC45F0" w:rsidP="00AA4F9D">
      <w:pPr>
        <w:widowControl w:val="0"/>
        <w:ind w:left="720" w:right="720"/>
      </w:pPr>
      <w:r w:rsidRPr="00AA4F9D">
        <w:t>"In addition to difficulty in learning STEM subjects in the classroom, there are challenges to students with visual impairments doing further independent study. The challenges of producing material on technical subjects in an accessible format creates barriers to students using lecture notes or to pursue further reading. Putting these materials into accessible formats is expensive, resulting in only core texts being made accessible. Students with visual impairments are at a disadvantage of learning STEM courses and do not have the same opportunities to access the same materials as other students" (at 39).</w:t>
      </w:r>
    </w:p>
    <w:p w:rsidR="00EC45F0" w:rsidRPr="00AA4F9D" w:rsidRDefault="00EC45F0" w:rsidP="00AA4F9D">
      <w:pPr>
        <w:widowControl w:val="0"/>
      </w:pPr>
    </w:p>
    <w:p w:rsidR="00EC45F0" w:rsidRPr="00AA4F9D" w:rsidRDefault="00EC45F0" w:rsidP="00AA4F9D">
      <w:pPr>
        <w:widowControl w:val="0"/>
      </w:pPr>
      <w:r w:rsidRPr="00AA4F9D">
        <w:t xml:space="preserve">The Report's literature review specifically identified barriers in access to online learning resources. Online resources play an ever-increasing role in the education system. </w:t>
      </w:r>
    </w:p>
    <w:p w:rsidR="00EC45F0" w:rsidRPr="00AA4F9D" w:rsidRDefault="00EC45F0" w:rsidP="00AA4F9D">
      <w:pPr>
        <w:widowControl w:val="0"/>
      </w:pPr>
    </w:p>
    <w:p w:rsidR="00EC45F0" w:rsidRPr="00AA4F9D" w:rsidRDefault="00EC45F0" w:rsidP="00AA4F9D">
      <w:pPr>
        <w:widowControl w:val="0"/>
      </w:pPr>
      <w:r w:rsidRPr="00AA4F9D">
        <w:t xml:space="preserve">The Report reached the following </w:t>
      </w:r>
      <w:r w:rsidR="008F421D" w:rsidRPr="00AA4F9D">
        <w:t xml:space="preserve">troubling </w:t>
      </w:r>
      <w:r w:rsidRPr="00AA4F9D">
        <w:t>conclusions about the harmful consequences for students with disabilities of the accessibility barriers they face in the education system, as were revealed by KPMG's literature review:</w:t>
      </w:r>
    </w:p>
    <w:p w:rsidR="00EC45F0" w:rsidRPr="00AA4F9D" w:rsidRDefault="00EC45F0" w:rsidP="00AA4F9D">
      <w:pPr>
        <w:widowControl w:val="0"/>
      </w:pPr>
    </w:p>
    <w:p w:rsidR="00EC45F0" w:rsidRPr="00AA4F9D" w:rsidRDefault="00EC45F0" w:rsidP="00AA4F9D">
      <w:pPr>
        <w:widowControl w:val="0"/>
        <w:ind w:left="720" w:right="720"/>
      </w:pPr>
      <w:r w:rsidRPr="00AA4F9D">
        <w:t xml:space="preserve">"Five overarching barriers to access and quality of education were found in this literature review. These barriers impact students’ ability to obtain meaningful education and create limits on the depth of information that students can obtain in their studies. Administrative and coordination issues continue to hinder the proper placement, accommodation, and transition of students. The result is students losing valuable time in their education, which can have lifelong impacts. The literature argues that more effort and earlier planning must be implemented to ensure smooth transitions for students with disabilities, in order to ensure they become successful, independent adults to the highest extent possible. </w:t>
      </w:r>
    </w:p>
    <w:p w:rsidR="00EC45F0" w:rsidRPr="00AA4F9D" w:rsidRDefault="00EC45F0" w:rsidP="00AA4F9D">
      <w:pPr>
        <w:widowControl w:val="0"/>
        <w:ind w:left="720" w:right="720"/>
      </w:pPr>
    </w:p>
    <w:p w:rsidR="00EC45F0" w:rsidRPr="00AA4F9D" w:rsidRDefault="00EC45F0" w:rsidP="00AA4F9D">
      <w:pPr>
        <w:widowControl w:val="0"/>
        <w:ind w:left="720" w:right="720"/>
      </w:pPr>
      <w:r w:rsidRPr="00AA4F9D">
        <w:t xml:space="preserve">Moreover, as technology advances to increase the usefulness of the internet, accessibility barriers emerge in tandem. Web accessibility has received focus in recent years, but more needs to be done, especially as the internet, university library webpages, and online resources grow as central components to university education. Solutions have been found to decrease some barriers through the implementation of individualized learning plants to meet the specific needs of each students, yet the </w:t>
      </w:r>
      <w:proofErr w:type="gramStart"/>
      <w:r w:rsidRPr="00AA4F9D">
        <w:t>real life</w:t>
      </w:r>
      <w:proofErr w:type="gramEnd"/>
      <w:r w:rsidRPr="00AA4F9D">
        <w:t xml:space="preserve"> implementation of these plans has been difficult. Despite planning to improve the accessibility and quality of education for students with disabilities, the literature suggests that more initiatives must be pursued to lower barriers to education" (at 41-42).</w:t>
      </w:r>
    </w:p>
    <w:p w:rsidR="00EC45F0" w:rsidRPr="00AA4F9D" w:rsidRDefault="00EC45F0" w:rsidP="00AA4F9D">
      <w:pPr>
        <w:widowControl w:val="0"/>
        <w:ind w:left="720" w:right="720"/>
      </w:pPr>
    </w:p>
    <w:p w:rsidR="00AA4F9D" w:rsidRDefault="00EC45F0" w:rsidP="00AA4F9D">
      <w:pPr>
        <w:widowControl w:val="0"/>
      </w:pPr>
      <w:r w:rsidRPr="00AA4F9D">
        <w:t xml:space="preserve">Scattered in the Report were references to measures that show there is room for improvement in areas like the built environment at colleges and universities, the availability of accessible student housing, the availability of accessible public transit or accessible parking spots, the availability of curriculum content in accessible alternate formats for students with print disabilities, the availability of adaptive technology, the provision of accessible sports and recreational activity in connection with post-secondary education, and ensuring the full inclusion of students with </w:t>
      </w:r>
      <w:r w:rsidRPr="00AA4F9D">
        <w:lastRenderedPageBreak/>
        <w:t xml:space="preserve">disabilities in social activities on and off campus. </w:t>
      </w:r>
    </w:p>
    <w:p w:rsidR="00AA4F9D" w:rsidRDefault="00AA4F9D" w:rsidP="00AA4F9D">
      <w:pPr>
        <w:widowControl w:val="0"/>
      </w:pPr>
    </w:p>
    <w:p w:rsidR="00B85B22" w:rsidRPr="00F95E11" w:rsidRDefault="009807A2" w:rsidP="00F95E11">
      <w:pPr>
        <w:pStyle w:val="Heading1"/>
        <w:keepNext w:val="0"/>
        <w:keepLines w:val="0"/>
        <w:widowControl w:val="0"/>
        <w:spacing w:before="0"/>
        <w:jc w:val="both"/>
        <w:rPr>
          <w:rFonts w:ascii="Times New Roman" w:hAnsi="Times New Roman" w:cs="Times New Roman"/>
          <w:b w:val="0"/>
          <w:sz w:val="24"/>
          <w:szCs w:val="24"/>
        </w:rPr>
      </w:pPr>
      <w:r w:rsidRPr="00F95E11">
        <w:rPr>
          <w:rStyle w:val="Heading1Char"/>
          <w:rFonts w:ascii="Times New Roman" w:hAnsi="Times New Roman" w:cs="Times New Roman"/>
          <w:b/>
          <w:sz w:val="24"/>
          <w:szCs w:val="24"/>
        </w:rPr>
        <w:t>Chapter 3</w:t>
      </w:r>
      <w:r w:rsidR="00F95E11" w:rsidRPr="00F95E11">
        <w:rPr>
          <w:rStyle w:val="Heading1Char"/>
          <w:rFonts w:ascii="Times New Roman" w:hAnsi="Times New Roman" w:cs="Times New Roman"/>
          <w:b/>
          <w:sz w:val="24"/>
          <w:szCs w:val="24"/>
        </w:rPr>
        <w:t xml:space="preserve"> - </w:t>
      </w:r>
      <w:r w:rsidR="00B85B22" w:rsidRPr="00F95E11">
        <w:rPr>
          <w:rStyle w:val="Heading1Char"/>
          <w:rFonts w:ascii="Times New Roman" w:hAnsi="Times New Roman" w:cs="Times New Roman"/>
          <w:b/>
          <w:sz w:val="24"/>
          <w:szCs w:val="24"/>
        </w:rPr>
        <w:t xml:space="preserve">Helpful Measures that an AODA Education Accessibility Standard Could Include </w:t>
      </w:r>
      <w:r w:rsidR="00F95E11">
        <w:rPr>
          <w:rStyle w:val="Heading1Char"/>
          <w:rFonts w:ascii="Times New Roman" w:hAnsi="Times New Roman" w:cs="Times New Roman"/>
          <w:b/>
          <w:sz w:val="24"/>
          <w:szCs w:val="24"/>
        </w:rPr>
        <w:t>a</w:t>
      </w:r>
      <w:r w:rsidR="00B85B22" w:rsidRPr="00F95E11">
        <w:rPr>
          <w:rStyle w:val="Heading1Char"/>
          <w:rFonts w:ascii="Times New Roman" w:hAnsi="Times New Roman" w:cs="Times New Roman"/>
          <w:b/>
          <w:sz w:val="24"/>
          <w:szCs w:val="24"/>
        </w:rPr>
        <w:t>re Found in the KPMG Report</w:t>
      </w:r>
    </w:p>
    <w:p w:rsidR="00B85B22" w:rsidRPr="00AA4F9D" w:rsidRDefault="00B85B22" w:rsidP="00AA4F9D">
      <w:pPr>
        <w:widowControl w:val="0"/>
      </w:pPr>
    </w:p>
    <w:p w:rsidR="00947ABF" w:rsidRPr="00F95E11" w:rsidRDefault="00947ABF" w:rsidP="00AA4F9D">
      <w:pPr>
        <w:pStyle w:val="Heading2"/>
        <w:keepNext w:val="0"/>
        <w:keepLines w:val="0"/>
        <w:widowControl w:val="0"/>
        <w:spacing w:before="0"/>
        <w:rPr>
          <w:rStyle w:val="Heading2Char"/>
          <w:rFonts w:ascii="Times New Roman" w:hAnsi="Times New Roman" w:cs="Times New Roman"/>
          <w:b/>
          <w:sz w:val="24"/>
          <w:szCs w:val="24"/>
        </w:rPr>
      </w:pPr>
      <w:r w:rsidRPr="00F95E11">
        <w:rPr>
          <w:rStyle w:val="Heading2Char"/>
          <w:rFonts w:ascii="Times New Roman" w:hAnsi="Times New Roman" w:cs="Times New Roman"/>
          <w:b/>
          <w:sz w:val="24"/>
          <w:szCs w:val="24"/>
        </w:rPr>
        <w:t>I</w:t>
      </w:r>
      <w:r w:rsidR="00074E66" w:rsidRPr="00F95E11">
        <w:rPr>
          <w:rStyle w:val="Heading2Char"/>
          <w:rFonts w:ascii="Times New Roman" w:hAnsi="Times New Roman" w:cs="Times New Roman"/>
          <w:b/>
          <w:sz w:val="24"/>
          <w:szCs w:val="24"/>
        </w:rPr>
        <w:t>.</w:t>
      </w:r>
      <w:r w:rsidRPr="00F95E11">
        <w:rPr>
          <w:rStyle w:val="Heading2Char"/>
          <w:rFonts w:ascii="Times New Roman" w:hAnsi="Times New Roman" w:cs="Times New Roman"/>
          <w:b/>
          <w:sz w:val="24"/>
          <w:szCs w:val="24"/>
        </w:rPr>
        <w:t xml:space="preserve"> General</w:t>
      </w:r>
    </w:p>
    <w:p w:rsidR="00947ABF" w:rsidRPr="00AA4F9D" w:rsidRDefault="00947ABF" w:rsidP="00AA4F9D">
      <w:pPr>
        <w:widowControl w:val="0"/>
      </w:pPr>
    </w:p>
    <w:p w:rsidR="00B85B22" w:rsidRPr="00AA4F9D" w:rsidRDefault="00B85B22" w:rsidP="00AA4F9D">
      <w:pPr>
        <w:widowControl w:val="0"/>
      </w:pPr>
      <w:r w:rsidRPr="00AA4F9D">
        <w:t xml:space="preserve">This </w:t>
      </w:r>
      <w:r w:rsidR="009E1162" w:rsidRPr="00AA4F9D">
        <w:t xml:space="preserve">chapter </w:t>
      </w:r>
      <w:r w:rsidRPr="00AA4F9D">
        <w:t xml:space="preserve">identifies measures that an AODA Education Accessibility Standard could helpfully include, and that the </w:t>
      </w:r>
      <w:r w:rsidR="00401B01" w:rsidRPr="00AA4F9D">
        <w:t xml:space="preserve">KPMG </w:t>
      </w:r>
      <w:r w:rsidRPr="00AA4F9D">
        <w:t xml:space="preserve">Report's contents would support. </w:t>
      </w:r>
      <w:r w:rsidR="009E1162" w:rsidRPr="00AA4F9D">
        <w:t xml:space="preserve">The Report </w:t>
      </w:r>
      <w:r w:rsidRPr="00AA4F9D">
        <w:t>attempt</w:t>
      </w:r>
      <w:r w:rsidR="009E1162" w:rsidRPr="00AA4F9D">
        <w:t>ed</w:t>
      </w:r>
      <w:r w:rsidRPr="00AA4F9D">
        <w:t xml:space="preserve"> to identify accessibility barriers in Ontario's education system that are worthy of further investigation or action.</w:t>
      </w:r>
    </w:p>
    <w:p w:rsidR="00B85B22" w:rsidRPr="00AA4F9D" w:rsidRDefault="00B85B22" w:rsidP="00AA4F9D">
      <w:pPr>
        <w:widowControl w:val="0"/>
      </w:pPr>
    </w:p>
    <w:p w:rsidR="00B85B22" w:rsidRPr="00AA4F9D" w:rsidRDefault="00B85B22" w:rsidP="00AA4F9D">
      <w:pPr>
        <w:widowControl w:val="0"/>
      </w:pPr>
      <w:r w:rsidRPr="00AA4F9D">
        <w:t xml:space="preserve">First, this </w:t>
      </w:r>
      <w:r w:rsidR="009E1162" w:rsidRPr="00AA4F9D">
        <w:t xml:space="preserve">chapter </w:t>
      </w:r>
      <w:r w:rsidRPr="00AA4F9D">
        <w:t xml:space="preserve">lists the short list of areas on accessibility that KPMG Report explicitly identified as being worthy of future action. Then this </w:t>
      </w:r>
      <w:r w:rsidR="00572F52" w:rsidRPr="00AA4F9D">
        <w:t xml:space="preserve">chapter </w:t>
      </w:r>
      <w:r w:rsidRPr="00AA4F9D">
        <w:t xml:space="preserve">lists measures which the KPMG Report did not include in this list, but which the Report refers to at some point in its long description of measures in various other jurisdictions. The KPMG Report does not explain why it did not identify this latter group of measures in its list of areas worthy of future exploration and action in Ontario. </w:t>
      </w:r>
    </w:p>
    <w:p w:rsidR="00B85B22" w:rsidRPr="00AA4F9D" w:rsidRDefault="00B85B22" w:rsidP="00AA4F9D">
      <w:pPr>
        <w:widowControl w:val="0"/>
      </w:pPr>
    </w:p>
    <w:p w:rsidR="00B85B22" w:rsidRPr="00AA4F9D" w:rsidRDefault="00B85B22" w:rsidP="00AA4F9D">
      <w:pPr>
        <w:widowControl w:val="0"/>
      </w:pPr>
      <w:r w:rsidRPr="00AA4F9D">
        <w:t xml:space="preserve">The AODA Alliance emphasizes that the measures described in this </w:t>
      </w:r>
      <w:r w:rsidR="00EB597E" w:rsidRPr="00AA4F9D">
        <w:t xml:space="preserve">chapter </w:t>
      </w:r>
      <w:r w:rsidRPr="00AA4F9D">
        <w:t>are not the only measures that should be considered for inclusion in an AODA Education Accessibility Standard. In any event, if the Ontario Government were to agree to develop an Education Accessibility Standard under the AODA, it should not pre-decide, at the very start of the process, what that accessibility standard will include</w:t>
      </w:r>
      <w:r w:rsidR="007914E3" w:rsidRPr="00AA4F9D">
        <w:t>, or limit the range of accessibility barriers that a Standards Development Committee can consider</w:t>
      </w:r>
      <w:r w:rsidRPr="00AA4F9D">
        <w:t xml:space="preserve">. It is important for the Government to leave a Standards Development Committee free to consult the public and to bring good ideas to the Government for its consideration. </w:t>
      </w:r>
    </w:p>
    <w:p w:rsidR="00B85B22" w:rsidRPr="00AA4F9D" w:rsidRDefault="00B85B22" w:rsidP="00AA4F9D">
      <w:pPr>
        <w:widowControl w:val="0"/>
      </w:pPr>
    </w:p>
    <w:p w:rsidR="00B85B22" w:rsidRPr="00F95E11" w:rsidRDefault="00F903D4" w:rsidP="00AA4F9D">
      <w:pPr>
        <w:pStyle w:val="Heading2"/>
        <w:keepNext w:val="0"/>
        <w:keepLines w:val="0"/>
        <w:widowControl w:val="0"/>
        <w:spacing w:before="0"/>
        <w:rPr>
          <w:rFonts w:ascii="Times New Roman" w:hAnsi="Times New Roman" w:cs="Times New Roman"/>
          <w:b w:val="0"/>
          <w:sz w:val="24"/>
          <w:szCs w:val="24"/>
        </w:rPr>
      </w:pPr>
      <w:r w:rsidRPr="00F95E11">
        <w:rPr>
          <w:rStyle w:val="Heading2Char"/>
          <w:rFonts w:ascii="Times New Roman" w:hAnsi="Times New Roman" w:cs="Times New Roman"/>
          <w:b/>
          <w:sz w:val="24"/>
          <w:szCs w:val="24"/>
        </w:rPr>
        <w:t>II</w:t>
      </w:r>
      <w:r w:rsidR="00A82607" w:rsidRPr="00F95E11">
        <w:rPr>
          <w:rStyle w:val="Heading2Char"/>
          <w:rFonts w:ascii="Times New Roman" w:hAnsi="Times New Roman" w:cs="Times New Roman"/>
          <w:b/>
          <w:sz w:val="24"/>
          <w:szCs w:val="24"/>
        </w:rPr>
        <w:t xml:space="preserve">. </w:t>
      </w:r>
      <w:r w:rsidR="00B85B22" w:rsidRPr="00F95E11">
        <w:rPr>
          <w:rStyle w:val="Heading2Char"/>
          <w:rFonts w:ascii="Times New Roman" w:hAnsi="Times New Roman" w:cs="Times New Roman"/>
          <w:b/>
          <w:sz w:val="24"/>
          <w:szCs w:val="24"/>
        </w:rPr>
        <w:t>Areas the KPMG Report Emphasized as Needing More Action</w:t>
      </w:r>
    </w:p>
    <w:p w:rsidR="00B85B22" w:rsidRPr="00AA4F9D" w:rsidRDefault="00B85B22" w:rsidP="00AA4F9D">
      <w:pPr>
        <w:widowControl w:val="0"/>
      </w:pPr>
    </w:p>
    <w:p w:rsidR="00B85B22" w:rsidRPr="00AA4F9D" w:rsidRDefault="00B85B22" w:rsidP="00AA4F9D">
      <w:pPr>
        <w:widowControl w:val="0"/>
      </w:pPr>
      <w:r w:rsidRPr="00AA4F9D">
        <w:t xml:space="preserve">The KPMG Report explicitly identifies several areas that need more action to remove and prevent accessibility barriers. These </w:t>
      </w:r>
      <w:r w:rsidR="00B40930" w:rsidRPr="00AA4F9D">
        <w:t xml:space="preserve">are </w:t>
      </w:r>
      <w:r w:rsidRPr="00AA4F9D">
        <w:t>worthy of consideration for inclusion in an Education Accessibility Standard. The Report's Executive Summary state</w:t>
      </w:r>
      <w:r w:rsidR="00C64623" w:rsidRPr="00AA4F9D">
        <w:t>s</w:t>
      </w:r>
      <w:r w:rsidRPr="00AA4F9D">
        <w:t>:</w:t>
      </w:r>
    </w:p>
    <w:p w:rsidR="00B85B22" w:rsidRPr="00AA4F9D" w:rsidRDefault="00B85B22" w:rsidP="00AA4F9D">
      <w:pPr>
        <w:widowControl w:val="0"/>
      </w:pPr>
    </w:p>
    <w:p w:rsidR="00B85B22" w:rsidRPr="00AA4F9D" w:rsidRDefault="00B85B22" w:rsidP="00AA4F9D">
      <w:pPr>
        <w:widowControl w:val="0"/>
        <w:ind w:left="567" w:right="567"/>
      </w:pPr>
      <w:r w:rsidRPr="00AA4F9D">
        <w:t xml:space="preserve">"This report further identified leading practices from the other jurisdictions for further investigation. These practices were grouped into four main themes. </w:t>
      </w:r>
    </w:p>
    <w:p w:rsidR="00B85B22" w:rsidRPr="00AA4F9D" w:rsidRDefault="00B85B22" w:rsidP="00AA4F9D">
      <w:pPr>
        <w:widowControl w:val="0"/>
        <w:ind w:left="567" w:right="567"/>
      </w:pPr>
    </w:p>
    <w:p w:rsidR="00B85B22" w:rsidRPr="00AA4F9D" w:rsidRDefault="00B85B22" w:rsidP="00AA4F9D">
      <w:pPr>
        <w:widowControl w:val="0"/>
        <w:ind w:left="567" w:right="567"/>
      </w:pPr>
      <w:bookmarkStart w:id="15" w:name="OLE_LINK6"/>
      <w:r w:rsidRPr="00AA4F9D">
        <w:t xml:space="preserve">The first leading practice identified is inclusive strategies for education, which is emerging as a main initiative for policymakers. These inclusive strategies go beyond incorporating students into mainstream classes. The focus is on ensuring students with disabilities have an inclusive experience in the school community as a whole. </w:t>
      </w:r>
      <w:bookmarkEnd w:id="15"/>
      <w:r w:rsidRPr="00AA4F9D">
        <w:t>Newfoundland, New Zealand, and Australia have all implemented strategies to improve inclusiveness in schooling to achieve a well-rounded, high quality education.</w:t>
      </w:r>
    </w:p>
    <w:p w:rsidR="00B85B22" w:rsidRPr="00AA4F9D" w:rsidRDefault="00B85B22" w:rsidP="00AA4F9D">
      <w:pPr>
        <w:widowControl w:val="0"/>
        <w:ind w:left="567" w:right="567"/>
      </w:pPr>
    </w:p>
    <w:p w:rsidR="00B85B22" w:rsidRPr="00AA4F9D" w:rsidRDefault="00B85B22" w:rsidP="00AA4F9D">
      <w:pPr>
        <w:widowControl w:val="0"/>
        <w:ind w:left="567" w:right="567"/>
      </w:pPr>
      <w:bookmarkStart w:id="16" w:name="OLE_LINK8"/>
      <w:bookmarkStart w:id="17" w:name="OLE_LINK7"/>
      <w:r w:rsidRPr="00AA4F9D">
        <w:t xml:space="preserve">The second leading practice identified is adding greater flexibility on graduation </w:t>
      </w:r>
      <w:r w:rsidRPr="00AA4F9D">
        <w:lastRenderedPageBreak/>
        <w:t xml:space="preserve">dates for students with disabilities, recognizing different lengths of school may be necessary for individualized education. </w:t>
      </w:r>
      <w:bookmarkEnd w:id="16"/>
      <w:bookmarkEnd w:id="17"/>
      <w:r w:rsidRPr="00AA4F9D">
        <w:t>In Singapore, to raise the quality of education for students with special needs, the Ministry of Education announced in March 2007 the extension of special education graduation age to 21 years for children taking mainstream secondary curriculum or pursuing vocational education programs.</w:t>
      </w:r>
    </w:p>
    <w:p w:rsidR="00B85B22" w:rsidRPr="00AA4F9D" w:rsidRDefault="00B85B22" w:rsidP="00AA4F9D">
      <w:pPr>
        <w:widowControl w:val="0"/>
        <w:ind w:left="567" w:right="567"/>
      </w:pPr>
    </w:p>
    <w:p w:rsidR="00B85B22" w:rsidRPr="00AA4F9D" w:rsidRDefault="00B85B22" w:rsidP="00AA4F9D">
      <w:pPr>
        <w:widowControl w:val="0"/>
        <w:ind w:left="567" w:right="567"/>
      </w:pPr>
      <w:r w:rsidRPr="00AA4F9D">
        <w:t xml:space="preserve">The third leading practice is new legislation in New York that targets discrimination and bullying from other students. The law prohibits harassment by employees or students on school property or at school functions, as well as discrimination against a student based on his/her actual or perceived race, color, weight, national origin, ethnic group, religion, religious practice, disability sexual orientation, gender or sex by school employees or students. As the long-term detrimental impacts of bullying have gained increasing attention over the last several </w:t>
      </w:r>
      <w:proofErr w:type="gramStart"/>
      <w:r w:rsidRPr="00AA4F9D">
        <w:t>year</w:t>
      </w:r>
      <w:proofErr w:type="gramEnd"/>
      <w:r w:rsidRPr="00AA4F9D">
        <w:t>, New York State is leading other jurisdictions in implementing anti-bullying legislation.</w:t>
      </w:r>
    </w:p>
    <w:p w:rsidR="00B85B22" w:rsidRPr="00AA4F9D" w:rsidRDefault="00B85B22" w:rsidP="00AA4F9D">
      <w:pPr>
        <w:widowControl w:val="0"/>
        <w:ind w:left="567" w:right="567"/>
      </w:pPr>
    </w:p>
    <w:p w:rsidR="00B85B22" w:rsidRPr="00AA4F9D" w:rsidRDefault="00B85B22" w:rsidP="00AA4F9D">
      <w:pPr>
        <w:widowControl w:val="0"/>
        <w:ind w:left="567" w:right="567"/>
      </w:pPr>
      <w:r w:rsidRPr="00AA4F9D">
        <w:t>Finally, the fourth leading practice identified is on improved data collection. The Australian government believes a nationally consistent approach to collecting data on students with disability will give governments, schools and education authorities' information about how many students with disability are enrolled in Australian schools, where they are located and the level of adjustments provided for them to participate in schooling on the same basis as other students" (at 4).</w:t>
      </w:r>
    </w:p>
    <w:p w:rsidR="00B85B22" w:rsidRPr="00AA4F9D" w:rsidRDefault="00B85B22" w:rsidP="00AA4F9D">
      <w:pPr>
        <w:widowControl w:val="0"/>
      </w:pPr>
    </w:p>
    <w:p w:rsidR="00B85B22" w:rsidRPr="00AA4F9D" w:rsidRDefault="00B85B22" w:rsidP="00AA4F9D">
      <w:pPr>
        <w:widowControl w:val="0"/>
      </w:pPr>
      <w:r w:rsidRPr="00AA4F9D">
        <w:t>The KPMG Report also listed key trends or emerging priority issues in its Executive Summary as follows:</w:t>
      </w:r>
    </w:p>
    <w:p w:rsidR="00B85B22" w:rsidRPr="00AA4F9D" w:rsidRDefault="00B85B22" w:rsidP="00AA4F9D">
      <w:pPr>
        <w:widowControl w:val="0"/>
      </w:pPr>
    </w:p>
    <w:p w:rsidR="00B85B22" w:rsidRPr="00AA4F9D" w:rsidRDefault="00B85B22" w:rsidP="00AA4F9D">
      <w:pPr>
        <w:widowControl w:val="0"/>
        <w:ind w:left="720" w:right="720"/>
      </w:pPr>
      <w:r w:rsidRPr="00AA4F9D">
        <w:t>"Trends and emerging issues in accessibility in education were identified based on jurisdictional research, other publicly-available documents and literature review. In total four trends or emerging issues have been identified. Most are rooted in the principles of inclusion and accommodation and aim to address barriers that impede system and individual success. The trends and issues were: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Putting the individual first</w:t>
      </w:r>
    </w:p>
    <w:p w:rsidR="00B85B22" w:rsidRPr="00AA4F9D" w:rsidRDefault="00B85B22" w:rsidP="00AA4F9D">
      <w:pPr>
        <w:widowControl w:val="0"/>
        <w:ind w:left="720" w:right="720"/>
      </w:pPr>
      <w:r w:rsidRPr="00AA4F9D">
        <w:t>*</w:t>
      </w:r>
      <w:r w:rsidRPr="00AA4F9D">
        <w:tab/>
        <w:t>Targeted Financial Support: Grants, Specialized Programs/ Streams and Individual Loan Programs</w:t>
      </w:r>
    </w:p>
    <w:p w:rsidR="00B85B22" w:rsidRPr="00AA4F9D" w:rsidRDefault="00B85B22" w:rsidP="00AA4F9D">
      <w:pPr>
        <w:widowControl w:val="0"/>
        <w:ind w:left="720" w:right="720"/>
      </w:pPr>
      <w:r w:rsidRPr="00AA4F9D">
        <w:t>*</w:t>
      </w:r>
      <w:r w:rsidRPr="00AA4F9D">
        <w:tab/>
        <w:t>Defining and implementing reasonable accommodations</w:t>
      </w:r>
    </w:p>
    <w:p w:rsidR="00B85B22" w:rsidRPr="00AA4F9D" w:rsidRDefault="00B85B22" w:rsidP="00AA4F9D">
      <w:pPr>
        <w:widowControl w:val="0"/>
        <w:ind w:left="720" w:right="720"/>
      </w:pPr>
      <w:r w:rsidRPr="00AA4F9D">
        <w:t>*</w:t>
      </w:r>
      <w:r w:rsidRPr="00AA4F9D">
        <w:tab/>
        <w:t>Technology (web accessibility, use in classroom and training for assistive technologies)" (at 3).</w:t>
      </w:r>
    </w:p>
    <w:p w:rsidR="00B85B22" w:rsidRPr="00AA4F9D" w:rsidRDefault="00B85B22" w:rsidP="00AA4F9D">
      <w:pPr>
        <w:widowControl w:val="0"/>
      </w:pPr>
    </w:p>
    <w:p w:rsidR="00B85B22" w:rsidRPr="00AA4F9D" w:rsidRDefault="00B85B22" w:rsidP="00AA4F9D">
      <w:pPr>
        <w:widowControl w:val="0"/>
      </w:pPr>
      <w:r w:rsidRPr="00AA4F9D">
        <w:t>Elsewhere the Report states</w:t>
      </w:r>
      <w:r w:rsidR="002D212B" w:rsidRPr="00AA4F9D">
        <w:t xml:space="preserve"> (referring to the ADO, short for the Accessibility Directorate of Ontario)</w:t>
      </w:r>
      <w:r w:rsidRPr="00AA4F9D">
        <w:t>:</w:t>
      </w:r>
    </w:p>
    <w:p w:rsidR="00B85B22" w:rsidRPr="00AA4F9D" w:rsidRDefault="00B85B22" w:rsidP="00AA4F9D">
      <w:pPr>
        <w:widowControl w:val="0"/>
      </w:pPr>
    </w:p>
    <w:p w:rsidR="00B85B22" w:rsidRPr="00AA4F9D" w:rsidRDefault="00B85B22" w:rsidP="00AA4F9D">
      <w:pPr>
        <w:widowControl w:val="0"/>
        <w:ind w:left="720" w:right="720"/>
      </w:pPr>
      <w:r w:rsidRPr="00AA4F9D">
        <w:t>"Going forward, as new standards in education are considered, suggested areas of focus for the ADO may include:</w:t>
      </w:r>
    </w:p>
    <w:p w:rsidR="00D81226" w:rsidRPr="00AA4F9D" w:rsidRDefault="00D81226" w:rsidP="00AA4F9D">
      <w:pPr>
        <w:widowControl w:val="0"/>
        <w:ind w:left="720" w:right="720"/>
      </w:pPr>
    </w:p>
    <w:p w:rsidR="00B85B22" w:rsidRPr="00AA4F9D" w:rsidRDefault="00F95E11" w:rsidP="00AA4F9D">
      <w:pPr>
        <w:widowControl w:val="0"/>
        <w:ind w:left="720" w:right="720"/>
      </w:pPr>
      <w:r>
        <w:t>*</w:t>
      </w:r>
      <w:r w:rsidR="00B85B22" w:rsidRPr="00AA4F9D">
        <w:tab/>
        <w:t>Data collection to enable governments to target support and resources in schools to help all students to reach their full potential</w:t>
      </w:r>
    </w:p>
    <w:p w:rsidR="00B85B22" w:rsidRPr="00AA4F9D" w:rsidRDefault="00F95E11" w:rsidP="00AA4F9D">
      <w:pPr>
        <w:widowControl w:val="0"/>
        <w:ind w:left="720" w:right="720"/>
      </w:pPr>
      <w:r>
        <w:lastRenderedPageBreak/>
        <w:t>*</w:t>
      </w:r>
      <w:r w:rsidR="00B85B22" w:rsidRPr="00AA4F9D">
        <w:tab/>
        <w:t>Programs to drive inclusive education</w:t>
      </w:r>
    </w:p>
    <w:p w:rsidR="00B85B22" w:rsidRPr="00AA4F9D" w:rsidRDefault="00F95E11" w:rsidP="00AA4F9D">
      <w:pPr>
        <w:widowControl w:val="0"/>
        <w:ind w:left="720" w:right="720"/>
      </w:pPr>
      <w:r>
        <w:t>*</w:t>
      </w:r>
      <w:r w:rsidR="00B85B22" w:rsidRPr="00AA4F9D">
        <w:tab/>
        <w:t>Enhanced policies and guidelines on web accessibility</w:t>
      </w:r>
    </w:p>
    <w:p w:rsidR="00B85B22" w:rsidRPr="00AA4F9D" w:rsidRDefault="00F95E11" w:rsidP="00AA4F9D">
      <w:pPr>
        <w:widowControl w:val="0"/>
        <w:ind w:left="720" w:right="720"/>
      </w:pPr>
      <w:r>
        <w:t>*</w:t>
      </w:r>
      <w:r w:rsidR="00B85B22" w:rsidRPr="00AA4F9D">
        <w:tab/>
        <w:t>Policies to improve transition planning, including the time of graduation</w:t>
      </w:r>
    </w:p>
    <w:p w:rsidR="00B85B22" w:rsidRPr="00AA4F9D" w:rsidRDefault="00F95E11" w:rsidP="00AA4F9D">
      <w:pPr>
        <w:widowControl w:val="0"/>
        <w:ind w:left="720" w:right="720"/>
      </w:pPr>
      <w:r>
        <w:t>*</w:t>
      </w:r>
      <w:r w:rsidR="00B85B22" w:rsidRPr="00AA4F9D">
        <w:tab/>
        <w:t>Anti-bullying legislation</w:t>
      </w:r>
    </w:p>
    <w:p w:rsidR="00B85B22" w:rsidRPr="00AA4F9D" w:rsidRDefault="00F95E11" w:rsidP="00AA4F9D">
      <w:pPr>
        <w:widowControl w:val="0"/>
        <w:ind w:left="720" w:right="720"/>
      </w:pPr>
      <w:r>
        <w:t>*</w:t>
      </w:r>
      <w:r w:rsidR="00B85B22" w:rsidRPr="00AA4F9D">
        <w:tab/>
        <w:t>Policies to facilitate conflict resolution between parents and schools" (at 56).</w:t>
      </w:r>
    </w:p>
    <w:p w:rsidR="00B85B22" w:rsidRPr="00AA4F9D" w:rsidRDefault="00B85B22" w:rsidP="00AA4F9D">
      <w:pPr>
        <w:widowControl w:val="0"/>
      </w:pPr>
    </w:p>
    <w:p w:rsidR="005C69D0" w:rsidRPr="00F95E11" w:rsidRDefault="005C69D0" w:rsidP="00AA4F9D">
      <w:pPr>
        <w:pStyle w:val="Heading2"/>
        <w:keepNext w:val="0"/>
        <w:keepLines w:val="0"/>
        <w:widowControl w:val="0"/>
        <w:spacing w:before="0"/>
        <w:rPr>
          <w:rFonts w:ascii="Times New Roman" w:hAnsi="Times New Roman" w:cs="Times New Roman"/>
          <w:b w:val="0"/>
          <w:sz w:val="24"/>
          <w:szCs w:val="24"/>
        </w:rPr>
      </w:pPr>
      <w:r w:rsidRPr="00F95E11">
        <w:rPr>
          <w:rStyle w:val="Heading2Char"/>
          <w:rFonts w:ascii="Times New Roman" w:hAnsi="Times New Roman" w:cs="Times New Roman"/>
          <w:b/>
          <w:sz w:val="24"/>
          <w:szCs w:val="24"/>
        </w:rPr>
        <w:t>III.</w:t>
      </w:r>
      <w:r w:rsidR="002D46FD" w:rsidRPr="00F95E11">
        <w:rPr>
          <w:rStyle w:val="Heading2Char"/>
          <w:rFonts w:ascii="Times New Roman" w:hAnsi="Times New Roman" w:cs="Times New Roman"/>
          <w:b/>
          <w:sz w:val="24"/>
          <w:szCs w:val="24"/>
        </w:rPr>
        <w:t xml:space="preserve"> Additional Accessibility Measures Found in the Pages of the KPMG Report Worth Ontario Pursuing</w:t>
      </w:r>
      <w:r w:rsidR="00AA4F9D" w:rsidRPr="00F95E11">
        <w:rPr>
          <w:rStyle w:val="Heading2Char"/>
          <w:rFonts w:ascii="Times New Roman" w:hAnsi="Times New Roman" w:cs="Times New Roman"/>
          <w:b/>
          <w:sz w:val="24"/>
          <w:szCs w:val="24"/>
        </w:rPr>
        <w:t xml:space="preserve"> </w:t>
      </w:r>
    </w:p>
    <w:p w:rsidR="005C69D0" w:rsidRPr="00AA4F9D" w:rsidRDefault="005C69D0" w:rsidP="00AA4F9D">
      <w:pPr>
        <w:widowControl w:val="0"/>
      </w:pPr>
    </w:p>
    <w:p w:rsidR="00B85B22" w:rsidRPr="00AA4F9D" w:rsidRDefault="005C69D0" w:rsidP="00AA4F9D">
      <w:pPr>
        <w:widowControl w:val="0"/>
      </w:pPr>
      <w:r w:rsidRPr="00AA4F9D">
        <w:t xml:space="preserve">The foregoing </w:t>
      </w:r>
      <w:r w:rsidR="00B85B22" w:rsidRPr="00AA4F9D">
        <w:t xml:space="preserve">overlapping lists, while helpful, are far too narrow. They leave out many important recurring accessibility barriers in Ontario's education system. From the </w:t>
      </w:r>
      <w:r w:rsidR="00B60FC3" w:rsidRPr="00AA4F9D">
        <w:t xml:space="preserve">many other </w:t>
      </w:r>
      <w:r w:rsidR="00B85B22" w:rsidRPr="00AA4F9D">
        <w:t>pages of the KPMG Report emerge a number of other good ideas, drawn from other jurisdictions. We set out examples of these below. Of course, there are even more good ideas worthy of consideration, which the KPMG Report never mentions. That is why it is important for a Standards Development Committee to be appointed and to conduct a broad public consultation</w:t>
      </w:r>
      <w:r w:rsidR="00DC480E" w:rsidRPr="00AA4F9D">
        <w:t xml:space="preserve"> on what to include in an Education Accessibility Standard.</w:t>
      </w:r>
    </w:p>
    <w:p w:rsidR="00B85B22" w:rsidRPr="00AA4F9D" w:rsidRDefault="00B85B22" w:rsidP="00AA4F9D">
      <w:pPr>
        <w:widowControl w:val="0"/>
      </w:pPr>
    </w:p>
    <w:p w:rsidR="00B85B22" w:rsidRPr="00F95E11" w:rsidRDefault="002D46FD" w:rsidP="00AA4F9D">
      <w:pPr>
        <w:pStyle w:val="Heading3"/>
        <w:keepNext w:val="0"/>
        <w:keepLines w:val="0"/>
        <w:widowControl w:val="0"/>
        <w:spacing w:before="0"/>
        <w:rPr>
          <w:rFonts w:ascii="Times New Roman" w:hAnsi="Times New Roman" w:cs="Times New Roman"/>
          <w:b w:val="0"/>
        </w:rPr>
      </w:pPr>
      <w:r w:rsidRPr="00F95E11">
        <w:rPr>
          <w:rStyle w:val="Heading3Char"/>
          <w:rFonts w:ascii="Times New Roman" w:hAnsi="Times New Roman" w:cs="Times New Roman"/>
          <w:b/>
        </w:rPr>
        <w:t>1.</w:t>
      </w:r>
      <w:r w:rsidR="00B85B22" w:rsidRPr="00F95E11">
        <w:rPr>
          <w:rStyle w:val="Heading3Char"/>
          <w:rFonts w:ascii="Times New Roman" w:hAnsi="Times New Roman" w:cs="Times New Roman"/>
          <w:b/>
        </w:rPr>
        <w:t xml:space="preserve"> </w:t>
      </w:r>
      <w:r w:rsidR="00CA0493" w:rsidRPr="00F95E11">
        <w:rPr>
          <w:rStyle w:val="Heading3Char"/>
          <w:rFonts w:ascii="Times New Roman" w:hAnsi="Times New Roman" w:cs="Times New Roman"/>
          <w:b/>
        </w:rPr>
        <w:t xml:space="preserve">Providing </w:t>
      </w:r>
      <w:r w:rsidR="00B85B22" w:rsidRPr="00F95E11">
        <w:rPr>
          <w:rStyle w:val="Heading3Char"/>
          <w:rFonts w:ascii="Times New Roman" w:hAnsi="Times New Roman" w:cs="Times New Roman"/>
          <w:b/>
        </w:rPr>
        <w:t>A Right of Appeal for Students with Disabilities Regarding Educational Accommodation</w:t>
      </w:r>
    </w:p>
    <w:p w:rsidR="00B85B22" w:rsidRPr="00AA4F9D" w:rsidRDefault="00B85B22" w:rsidP="00AA4F9D">
      <w:pPr>
        <w:widowControl w:val="0"/>
      </w:pPr>
    </w:p>
    <w:p w:rsidR="00B85B22" w:rsidRPr="00AA4F9D" w:rsidRDefault="00B85B22" w:rsidP="00AA4F9D">
      <w:pPr>
        <w:widowControl w:val="0"/>
      </w:pPr>
      <w:r w:rsidRPr="00AA4F9D">
        <w:t xml:space="preserve">The KPMG Report commendably notes that there needs to be a process for resolving disputes between schools and students with disabilities or their families regarding accommodation of their needs. One important way </w:t>
      </w:r>
      <w:r w:rsidR="00D8465D" w:rsidRPr="00AA4F9D">
        <w:t xml:space="preserve">for Ontario </w:t>
      </w:r>
      <w:r w:rsidRPr="00AA4F9D">
        <w:t xml:space="preserve">to do this, beyond policies, would be to create in Ontario a right of students with disabilities and their families to appeal if they are dissatisfied with the contents of a proposed IEP, or if they are concerned that it is not being fully implemented, or if the student's disability-related needs are not being effectively accommodated. In Ontario, students with disabilities and their families have no </w:t>
      </w:r>
      <w:r w:rsidR="00D8465D" w:rsidRPr="00AA4F9D">
        <w:t xml:space="preserve">formalized </w:t>
      </w:r>
      <w:r w:rsidRPr="00AA4F9D">
        <w:t xml:space="preserve">right of appeal if they are dissatisfied with the contents of a proposed IEP, or with its implementation. Their only recourse is to file a human rights complaint with the Human Rights Tribunal of Ontario, a costly, protracted adversarial and conflictual process. Ontario's special education laws only permit an appeal from the "placement" of students with special education needs </w:t>
      </w:r>
      <w:r w:rsidRPr="00AA4F9D">
        <w:rPr>
          <w:i/>
        </w:rPr>
        <w:t>i.e.</w:t>
      </w:r>
      <w:r w:rsidRPr="00AA4F9D">
        <w:t>, in mainstream class or in a special education class. There is no appeal regarding a school board's decision over the program, services, or other accommodations to provide students with disabilities.</w:t>
      </w:r>
    </w:p>
    <w:p w:rsidR="00B85B22" w:rsidRPr="00AA4F9D" w:rsidRDefault="00B85B22" w:rsidP="00AA4F9D">
      <w:pPr>
        <w:widowControl w:val="0"/>
      </w:pPr>
    </w:p>
    <w:p w:rsidR="00A5796E" w:rsidRPr="00AA4F9D" w:rsidRDefault="00D8465D" w:rsidP="00AA4F9D">
      <w:pPr>
        <w:widowControl w:val="0"/>
      </w:pPr>
      <w:r w:rsidRPr="00AA4F9D">
        <w:t xml:space="preserve">The Special Education Advisory Committee of the Toronto District School Board, Canada's largest school board, passed a motion on June 13, 2016, recommending that TDSB establish such </w:t>
      </w:r>
      <w:r w:rsidR="00A5796E" w:rsidRPr="00AA4F9D">
        <w:t>a</w:t>
      </w:r>
      <w:r w:rsidRPr="00AA4F9D">
        <w:t>n internal right of appeal, due to this glaring gap in Ontario law.</w:t>
      </w:r>
      <w:r w:rsidR="00A5796E" w:rsidRPr="00AA4F9D">
        <w:t xml:space="preserve"> The background to that motion states in part:</w:t>
      </w:r>
    </w:p>
    <w:p w:rsidR="00A5796E" w:rsidRPr="00AA4F9D" w:rsidRDefault="00A5796E" w:rsidP="00AA4F9D">
      <w:pPr>
        <w:widowControl w:val="0"/>
      </w:pPr>
    </w:p>
    <w:p w:rsidR="004E18AD" w:rsidRPr="00AA4F9D" w:rsidRDefault="00A5796E" w:rsidP="00AA4F9D">
      <w:pPr>
        <w:widowControl w:val="0"/>
        <w:ind w:left="720" w:right="720"/>
      </w:pPr>
      <w:r w:rsidRPr="00AA4F9D">
        <w:t>"It would help both families and TDSB for TDSB to create a fair internal appeal process for IEP and other education accommodation issues. Ontario special education regulations do not prevent TDSB from doing so. Such a process is especially important for a school board as large as TDSB.</w:t>
      </w:r>
    </w:p>
    <w:p w:rsidR="004E18AD" w:rsidRPr="00AA4F9D" w:rsidRDefault="004E18AD" w:rsidP="00AA4F9D">
      <w:pPr>
        <w:widowControl w:val="0"/>
        <w:ind w:left="720" w:right="720"/>
      </w:pPr>
    </w:p>
    <w:p w:rsidR="004E18AD" w:rsidRPr="00AA4F9D" w:rsidRDefault="004E18AD" w:rsidP="00AA4F9D">
      <w:pPr>
        <w:widowControl w:val="0"/>
        <w:ind w:left="720" w:right="720"/>
      </w:pPr>
      <w:r w:rsidRPr="00AA4F9D">
        <w:t xml:space="preserve">The 2016 final report of the Barbara Hall review of TDSB governance made </w:t>
      </w:r>
      <w:r w:rsidRPr="00AA4F9D">
        <w:lastRenderedPageBreak/>
        <w:t>findings that support the need for substantial improvement in this area. It concluded:</w:t>
      </w:r>
    </w:p>
    <w:p w:rsidR="00F95E11" w:rsidRDefault="00F95E11" w:rsidP="00AA4F9D">
      <w:pPr>
        <w:widowControl w:val="0"/>
        <w:ind w:left="720" w:right="720"/>
      </w:pPr>
    </w:p>
    <w:p w:rsidR="00D8465D" w:rsidRPr="00AA4F9D" w:rsidRDefault="004E18AD" w:rsidP="00AA4F9D">
      <w:pPr>
        <w:widowControl w:val="0"/>
        <w:ind w:left="720" w:right="720"/>
      </w:pPr>
      <w:r w:rsidRPr="00AA4F9D">
        <w:t>“Parents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to support students is not easily accessible on the website or from any other source.”"</w:t>
      </w:r>
      <w:r w:rsidR="00AA4F9D">
        <w:t xml:space="preserve"> </w:t>
      </w:r>
    </w:p>
    <w:p w:rsidR="00D8465D" w:rsidRPr="00AA4F9D" w:rsidRDefault="00D8465D" w:rsidP="00AA4F9D">
      <w:pPr>
        <w:widowControl w:val="0"/>
      </w:pPr>
    </w:p>
    <w:p w:rsidR="00B85B22" w:rsidRPr="00AA4F9D" w:rsidRDefault="00B85B22" w:rsidP="00AA4F9D">
      <w:pPr>
        <w:widowControl w:val="0"/>
      </w:pPr>
      <w:r w:rsidRPr="00AA4F9D">
        <w:t xml:space="preserve">Unlike Ontario, </w:t>
      </w:r>
      <w:r w:rsidR="00C0639A" w:rsidRPr="00AA4F9D">
        <w:t xml:space="preserve">the KPMG Report shows that </w:t>
      </w:r>
      <w:r w:rsidRPr="00AA4F9D">
        <w:t>Alberta evidently has a right of appeal for students with disabilities. Describing its review of Alberta's education system, the Report noted a need to improve the existing appeal rights in Alberta for families of students with disabilities. This reinforces the need for an appeal process in Ontario.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"Strategy 1: Review the appeal process at the elementary and secondary level, with a view to:</w:t>
      </w:r>
    </w:p>
    <w:p w:rsidR="00B85B22" w:rsidRPr="00AA4F9D" w:rsidRDefault="00B85B22" w:rsidP="00AA4F9D">
      <w:pPr>
        <w:widowControl w:val="0"/>
        <w:ind w:left="720" w:right="720"/>
      </w:pPr>
      <w:r w:rsidRPr="00AA4F9D">
        <w:t>*</w:t>
      </w:r>
      <w:r w:rsidRPr="00AA4F9D">
        <w:tab/>
        <w:t>Making appeals quasi-judicial.</w:t>
      </w:r>
    </w:p>
    <w:p w:rsidR="00B85B22" w:rsidRPr="00AA4F9D" w:rsidRDefault="00B85B22" w:rsidP="00AA4F9D">
      <w:pPr>
        <w:widowControl w:val="0"/>
        <w:ind w:left="720" w:right="720"/>
      </w:pPr>
      <w:r w:rsidRPr="00AA4F9D">
        <w:t>*</w:t>
      </w:r>
      <w:r w:rsidRPr="00AA4F9D">
        <w:tab/>
        <w:t>Speeding up the process. Current appeals often take one to two years and in the meantime, learning opportunities are missed.</w:t>
      </w:r>
    </w:p>
    <w:p w:rsidR="00B85B22" w:rsidRPr="00AA4F9D" w:rsidRDefault="00B85B22" w:rsidP="00AA4F9D">
      <w:pPr>
        <w:widowControl w:val="0"/>
        <w:ind w:left="720" w:right="720"/>
      </w:pPr>
      <w:r w:rsidRPr="00AA4F9D">
        <w:t>*</w:t>
      </w:r>
      <w:r w:rsidRPr="00AA4F9D">
        <w:tab/>
        <w:t>Ensuring objectivity. Current appeals are rarely independent. The final arbiter is generally a senior school board official, which means that the family is appealing a decision made by an employee of that board.</w:t>
      </w:r>
    </w:p>
    <w:p w:rsidR="00B85B22" w:rsidRPr="00AA4F9D" w:rsidRDefault="00B85B22" w:rsidP="00AA4F9D">
      <w:pPr>
        <w:widowControl w:val="0"/>
        <w:ind w:left="720" w:right="720"/>
      </w:pPr>
      <w:r w:rsidRPr="00AA4F9D">
        <w:t>*</w:t>
      </w:r>
      <w:r w:rsidRPr="00AA4F9D">
        <w:tab/>
        <w:t>Ensuring that students and their families know about their right to appeal and have the advocacy support necessary to appeal effectively" (at 87).</w:t>
      </w:r>
    </w:p>
    <w:p w:rsidR="00B85B22" w:rsidRPr="00AA4F9D" w:rsidRDefault="00B85B22" w:rsidP="00AA4F9D">
      <w:pPr>
        <w:widowControl w:val="0"/>
      </w:pPr>
    </w:p>
    <w:p w:rsidR="00B85B22" w:rsidRPr="00AA4F9D" w:rsidRDefault="00B85B22" w:rsidP="00AA4F9D">
      <w:pPr>
        <w:widowControl w:val="0"/>
      </w:pPr>
      <w:r w:rsidRPr="00AA4F9D">
        <w:t xml:space="preserve">The KPMG Report's review of British Columbia indicates that </w:t>
      </w:r>
      <w:r w:rsidR="00041A33" w:rsidRPr="00AA4F9D">
        <w:t xml:space="preserve">in that province, </w:t>
      </w:r>
      <w:r w:rsidRPr="00AA4F9D">
        <w:t>there is an appeal process that must be available at all school boards to resolve disputes over the delivery of special education.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"The ministry audits enrolment of students with special needs services to ensure fair distribution of available resources among school districts. The Ministry regularly reviews the achievement of students, including those with special needs, by monitoring results such as graduation rates, performance on provincial assessments and transitions. In addition, the School Act requires School Planning Councils in each school to develop annual plans that address achievement of all students. The Act also requires boards of education submit Achievement Contracts that set out plans for improvement to the Minister each year. The Ministry periodically reviews district goals, structures, practices and other matters through the district review process.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Appeals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All school boards must have appeal procedures to help resolve disputes. The ministry expects that the appeal procedures will be based on principles of administrative fairness, which include the right of students and parents/guardians: </w:t>
      </w:r>
      <w:r w:rsidRPr="00AA4F9D">
        <w:lastRenderedPageBreak/>
        <w:t>to be heard by the school board; to be consulted in decisions affecting them; and to an impartial school board decision based on relevant information. In addition, the School Act provides for an appeal to the Ministry Superintendent of Achievement in certain circumstances" (at 95).</w:t>
      </w:r>
    </w:p>
    <w:p w:rsidR="00B85B22" w:rsidRPr="00AA4F9D" w:rsidRDefault="00B85B22" w:rsidP="00AA4F9D">
      <w:pPr>
        <w:widowControl w:val="0"/>
      </w:pPr>
    </w:p>
    <w:p w:rsidR="00B85B22" w:rsidRPr="00AA4F9D" w:rsidRDefault="00B85B22" w:rsidP="00AA4F9D">
      <w:pPr>
        <w:widowControl w:val="0"/>
      </w:pPr>
      <w:r w:rsidRPr="00AA4F9D">
        <w:t>Pointing to examples of efforts made in other jurisdictions, the Report noted regarding New Zealand:</w:t>
      </w:r>
    </w:p>
    <w:p w:rsidR="00B85B22" w:rsidRPr="00AA4F9D" w:rsidRDefault="00B85B22" w:rsidP="00AA4F9D">
      <w:pPr>
        <w:widowControl w:val="0"/>
      </w:pPr>
    </w:p>
    <w:p w:rsidR="00B85B22" w:rsidRPr="00AA4F9D" w:rsidRDefault="00B85B22" w:rsidP="00AA4F9D">
      <w:pPr>
        <w:widowControl w:val="0"/>
        <w:ind w:left="720" w:right="720"/>
      </w:pPr>
      <w:r w:rsidRPr="00AA4F9D">
        <w:t xml:space="preserve">"Improved complaints and disputes resolution systems within the Ministry of Education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This will ensure that parents get a consistent response from the Ministry when they make a complaint about a school. The Ministry will take an active role in facilitating a resolution between a parent and a school" (at 52).</w:t>
      </w:r>
    </w:p>
    <w:p w:rsidR="00B85B22" w:rsidRPr="00AA4F9D" w:rsidRDefault="00B85B22" w:rsidP="00AA4F9D">
      <w:pPr>
        <w:widowControl w:val="0"/>
      </w:pPr>
    </w:p>
    <w:p w:rsidR="00B85B22" w:rsidRPr="00F95E11" w:rsidRDefault="005C496C" w:rsidP="00AA4F9D">
      <w:pPr>
        <w:pStyle w:val="Heading3"/>
        <w:keepNext w:val="0"/>
        <w:keepLines w:val="0"/>
        <w:widowControl w:val="0"/>
        <w:spacing w:before="0"/>
        <w:rPr>
          <w:rFonts w:ascii="Times New Roman" w:hAnsi="Times New Roman" w:cs="Times New Roman"/>
          <w:b w:val="0"/>
        </w:rPr>
      </w:pPr>
      <w:r w:rsidRPr="00F95E11">
        <w:rPr>
          <w:rStyle w:val="Heading3Char"/>
          <w:rFonts w:ascii="Times New Roman" w:hAnsi="Times New Roman" w:cs="Times New Roman"/>
          <w:b/>
        </w:rPr>
        <w:t>2.</w:t>
      </w:r>
      <w:r w:rsidR="00B85B22" w:rsidRPr="00F95E11">
        <w:rPr>
          <w:rStyle w:val="Heading3Char"/>
          <w:rFonts w:ascii="Times New Roman" w:hAnsi="Times New Roman" w:cs="Times New Roman"/>
          <w:b/>
        </w:rPr>
        <w:t xml:space="preserve"> Addressing Accessibility Barriers in the Built Environment of Educational Facilities</w:t>
      </w:r>
      <w:r w:rsidR="00B85B22" w:rsidRPr="00F95E11">
        <w:rPr>
          <w:rFonts w:ascii="Times New Roman" w:hAnsi="Times New Roman" w:cs="Times New Roman"/>
          <w:b w:val="0"/>
        </w:rPr>
        <w:t xml:space="preserve"> </w:t>
      </w:r>
    </w:p>
    <w:p w:rsidR="00B85B22" w:rsidRPr="00AA4F9D" w:rsidRDefault="00B85B22" w:rsidP="00AA4F9D">
      <w:pPr>
        <w:widowControl w:val="0"/>
      </w:pPr>
    </w:p>
    <w:p w:rsidR="00B85B22" w:rsidRPr="00AA4F9D" w:rsidRDefault="00B85B22" w:rsidP="00AA4F9D">
      <w:pPr>
        <w:widowControl w:val="0"/>
      </w:pPr>
      <w:r w:rsidRPr="00AA4F9D">
        <w:t xml:space="preserve">The KPMG Report does not explain why its priority list for future action did not identify the removal and prevention of accessibility barriers in the built environment in educational facilities. Yet the Report offers examples of action </w:t>
      </w:r>
      <w:r w:rsidR="00B65E84" w:rsidRPr="00AA4F9D">
        <w:t xml:space="preserve">on this kind of barrier </w:t>
      </w:r>
      <w:r w:rsidRPr="00AA4F9D">
        <w:t>in other jurisdictions which could be helpful</w:t>
      </w:r>
      <w:r w:rsidR="00B65E84" w:rsidRPr="00AA4F9D">
        <w:t xml:space="preserve"> in Ontario</w:t>
      </w:r>
      <w:r w:rsidRPr="00AA4F9D">
        <w:t>. Referring to Alberta,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"The physical accessibility of the learning environment is essential to a student's participation in social, emotional, and academic aspects of his/her studies. In a national study, students identified accessible transportation (9 percent) and accessible classrooms (8 percent) as important to their full participation in school" (at 86).</w:t>
      </w:r>
    </w:p>
    <w:p w:rsidR="00B85B22" w:rsidRPr="00AA4F9D" w:rsidRDefault="00B85B22" w:rsidP="00AA4F9D">
      <w:pPr>
        <w:widowControl w:val="0"/>
      </w:pPr>
    </w:p>
    <w:p w:rsidR="00B85B22" w:rsidRPr="00AA4F9D" w:rsidRDefault="00B85B22" w:rsidP="00AA4F9D">
      <w:pPr>
        <w:widowControl w:val="0"/>
      </w:pPr>
      <w:r w:rsidRPr="00AA4F9D">
        <w:t xml:space="preserve">Regarding accessibility of the school built environment in New York City, The </w:t>
      </w:r>
      <w:r w:rsidR="00317920" w:rsidRPr="00AA4F9D">
        <w:t xml:space="preserve">KPMG </w:t>
      </w:r>
      <w:r w:rsidRPr="00AA4F9D">
        <w:t>Report states:</w:t>
      </w:r>
    </w:p>
    <w:p w:rsidR="00B85B22" w:rsidRPr="00AA4F9D" w:rsidRDefault="00B85B22" w:rsidP="00AA4F9D">
      <w:pPr>
        <w:widowControl w:val="0"/>
      </w:pPr>
    </w:p>
    <w:p w:rsidR="00B85B22" w:rsidRPr="00AA4F9D" w:rsidRDefault="00B85B22" w:rsidP="00AA4F9D">
      <w:pPr>
        <w:widowControl w:val="0"/>
        <w:ind w:left="720" w:right="720"/>
      </w:pPr>
      <w:r w:rsidRPr="00AA4F9D">
        <w:t>"Government Policies and Programs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New York City Department of Education (DOE) is committed to ensuring that its programs, services, and activities are accessible to students with disabilities, including students with mobility impairments or other physical disabilities, in compliance with the Americans with Disabilities Act (ADA). The DOE assesses all organizations located in buildings on a continuous basis to determine which schools are functionally accessible to students with disabilities.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The DOE has a variety of school buildings that includes inaccessible buildings, partially accessible buildings, and fully accessible buildings. A fully accessible building is a building that is constructed post-1992 that complies with all of the ADA's requirements and has no barriers to entry for persons with mobility impairments. In contrast, a partially accessible building allows persons with mobility impairments to enter and exit the building, access all relevant programs, </w:t>
      </w:r>
      <w:r w:rsidRPr="00AA4F9D">
        <w:lastRenderedPageBreak/>
        <w:t>and have use of at least one restroom, but the entire building is not accessible.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Functionally Accessible Schools or Programs are located in a fully or partially accessible building where an individual with mobility impairment may enter and access all relevant programs and services, including the science laboratory, library, cafeteria, and the gymnasium; in some cases, school programs may need to be re-located to accommodate access. At least one restroom is accessible" (at 188).</w:t>
      </w:r>
    </w:p>
    <w:p w:rsidR="00B85B22" w:rsidRPr="00AA4F9D" w:rsidRDefault="00B85B22" w:rsidP="00AA4F9D">
      <w:pPr>
        <w:widowControl w:val="0"/>
      </w:pPr>
    </w:p>
    <w:p w:rsidR="00B85B22" w:rsidRPr="00AA4F9D" w:rsidRDefault="00B85B22" w:rsidP="00AA4F9D">
      <w:pPr>
        <w:widowControl w:val="0"/>
      </w:pPr>
      <w:r w:rsidRPr="00AA4F9D">
        <w:t>The KPMG Report describes in detail the built environment requirements in Singapore in the school setting for students with physical disabilities</w:t>
      </w:r>
      <w:r w:rsidR="00917824" w:rsidRPr="00AA4F9D">
        <w:t>. The AODA Alliance notes that while those</w:t>
      </w:r>
      <w:r w:rsidR="00AA4F9D">
        <w:t xml:space="preserve"> </w:t>
      </w:r>
      <w:r w:rsidR="00917824" w:rsidRPr="00AA4F9D">
        <w:t xml:space="preserve">do </w:t>
      </w:r>
      <w:r w:rsidRPr="00AA4F9D">
        <w:t xml:space="preserve">not aim at all relevant disabilities, </w:t>
      </w:r>
      <w:r w:rsidR="00917824" w:rsidRPr="00AA4F9D">
        <w:t xml:space="preserve">they </w:t>
      </w:r>
      <w:r w:rsidRPr="00AA4F9D">
        <w:t>clearly go further than anything else for school design in Ontario. The Report states: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"Design Guidelines for Children with Disabilities: Code on Accessibility in the build environment 2013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Application</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These guidelines are intended to apply to buildings or premises, such as kindergartens, pre-schools or primary schools, where children are the principal or predominant users.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Where such buildings or premises are required to be made accessible to children with disabilities, it is recommended that the provisions and facilities should be designed in accordance with the details and specifications in these design guidelines.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Interpretation</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term "children with disabilities" in the context of these guidelines should be taken to mean children between the ages of 3 to 12 who are: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 xml:space="preserve">Wheelchair bound; or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Ambulant disabled.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Handrails and Grab Bars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Second set of handrails should be provided at approach ramps and staircases at an appropriate height to assist children with disabilities and help prevent accidents.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The handrails should be fixed at a maximum height of 700 mm measured vertically from the ramp surface or pitch line of the stairs to the top of the handrails.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Where grab bars are required, the height should meet the need of specific age groups as recommended in table below.</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Grab bar Height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Age (years)</w:t>
      </w:r>
      <w:r w:rsidRPr="00AA4F9D">
        <w:tab/>
        <w:t>Height of grab bar (mm)</w:t>
      </w:r>
    </w:p>
    <w:p w:rsidR="00B85B22" w:rsidRPr="00AA4F9D" w:rsidRDefault="00B85B22" w:rsidP="00AA4F9D">
      <w:pPr>
        <w:widowControl w:val="0"/>
        <w:ind w:left="720" w:right="720"/>
      </w:pPr>
      <w:r w:rsidRPr="00AA4F9D">
        <w:t>3 to 6</w:t>
      </w:r>
      <w:r w:rsidRPr="00AA4F9D">
        <w:tab/>
      </w:r>
      <w:r w:rsidRPr="00AA4F9D">
        <w:tab/>
      </w:r>
      <w:r w:rsidRPr="00AA4F9D">
        <w:tab/>
        <w:t>450 to 580</w:t>
      </w:r>
    </w:p>
    <w:p w:rsidR="00B85B22" w:rsidRPr="00AA4F9D" w:rsidRDefault="00B85B22" w:rsidP="00AA4F9D">
      <w:pPr>
        <w:widowControl w:val="0"/>
        <w:ind w:left="720" w:right="720"/>
      </w:pPr>
      <w:r w:rsidRPr="00AA4F9D">
        <w:t>7 to 12</w:t>
      </w:r>
      <w:r w:rsidRPr="00AA4F9D">
        <w:tab/>
      </w:r>
      <w:r w:rsidRPr="00AA4F9D">
        <w:tab/>
      </w:r>
      <w:r w:rsidRPr="00AA4F9D">
        <w:tab/>
        <w:t>580 to 700</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Seating Spaces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Clear floor space: Seating space, such as those provided at counters, tables, or work surfaces for children in wheelchairs should have a clear floor space 900 mm wide by 1200 mm deep.</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Clear knee space: Where a forward approach is used, a clear knee space of at least 700 mm wide by 400 mm deep by 680 mm high should be provided.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Counter tops: Writing surface or service counters should be at a height between 700 mm to 780 mm from the floor.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Drinking Fountains</w:t>
      </w:r>
    </w:p>
    <w:p w:rsidR="00B85B22" w:rsidRPr="00AA4F9D" w:rsidRDefault="00B85B22" w:rsidP="00AA4F9D">
      <w:pPr>
        <w:widowControl w:val="0"/>
        <w:ind w:left="720" w:right="720"/>
        <w:rPr>
          <w:b/>
        </w:rPr>
      </w:pPr>
    </w:p>
    <w:p w:rsidR="00B85B22" w:rsidRPr="00AA4F9D" w:rsidRDefault="00B85B22" w:rsidP="00AA4F9D">
      <w:pPr>
        <w:widowControl w:val="0"/>
        <w:ind w:left="720" w:right="720"/>
      </w:pPr>
      <w:r w:rsidRPr="00AA4F9D">
        <w:t>The spout opening of a drinking fountain should be located at the front of the unit between 740 mm to 780 mm from the floor or ground surface.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Sanitary Provisions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Water closet compartment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distance between the centre lines of the water closet to the adjacent wall shall comply with the table below:</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Water Closet Centre Lines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Age (years)</w:t>
      </w:r>
      <w:r w:rsidRPr="00AA4F9D">
        <w:tab/>
        <w:t>Centre line (mm)</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3 to 6</w:t>
      </w:r>
      <w:r w:rsidRPr="00AA4F9D">
        <w:tab/>
      </w:r>
      <w:r w:rsidRPr="00AA4F9D">
        <w:tab/>
        <w:t>300 to 350</w:t>
      </w:r>
    </w:p>
    <w:p w:rsidR="00B85B22" w:rsidRPr="00AA4F9D" w:rsidRDefault="00B85B22" w:rsidP="00AA4F9D">
      <w:pPr>
        <w:widowControl w:val="0"/>
        <w:ind w:left="720" w:right="720"/>
      </w:pPr>
      <w:r w:rsidRPr="00AA4F9D">
        <w:t>7 to 12</w:t>
      </w:r>
      <w:r w:rsidRPr="00AA4F9D">
        <w:tab/>
      </w:r>
      <w:r w:rsidRPr="00AA4F9D">
        <w:tab/>
        <w:t>350 to 450</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Height of water closet seat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height of water closet seat for the ambulant disabled should comply with the table below:</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lastRenderedPageBreak/>
        <w:t>Toilet Seat Heights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Age (years)</w:t>
      </w:r>
      <w:r w:rsidRPr="00AA4F9D">
        <w:tab/>
        <w:t>Centre line (mm)</w:t>
      </w:r>
    </w:p>
    <w:p w:rsidR="00B85B22" w:rsidRPr="00AA4F9D" w:rsidRDefault="00B85B22" w:rsidP="00AA4F9D">
      <w:pPr>
        <w:widowControl w:val="0"/>
        <w:ind w:left="720" w:right="720"/>
      </w:pPr>
      <w:r w:rsidRPr="00AA4F9D">
        <w:t>3 to 6</w:t>
      </w:r>
      <w:r w:rsidRPr="00AA4F9D">
        <w:tab/>
      </w:r>
      <w:r w:rsidRPr="00AA4F9D">
        <w:tab/>
        <w:t>290 to 400</w:t>
      </w:r>
    </w:p>
    <w:p w:rsidR="00B85B22" w:rsidRPr="00AA4F9D" w:rsidRDefault="00B85B22" w:rsidP="00AA4F9D">
      <w:pPr>
        <w:widowControl w:val="0"/>
        <w:ind w:left="720" w:right="720"/>
      </w:pPr>
      <w:r w:rsidRPr="00AA4F9D">
        <w:t>7 to 12</w:t>
      </w:r>
      <w:r w:rsidRPr="00AA4F9D">
        <w:tab/>
      </w:r>
      <w:r w:rsidRPr="00AA4F9D">
        <w:tab/>
        <w:t>400 to 450</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height of a water closet seat of 450 mm to 480 mm is recommended for wheelchair users to facilitate transfer.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Application of specifications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specifications of one age group should be applied consistently in the installation of a water closet and related elements.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Water closet grab bars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Water closets should be provided with grab bars that comply with the following requirements: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One horizontal grab bar to be mounted at a height between 260 mm and 280 mm from the top of the water closet seat or at a height between 680 mm to 740 mm above the floor level on the side wall closest to the water closet and extending from the rear wall to at least 450 mm in front of the water closet seat;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One flip-up grab bar to be mounted on the side of the compartment adjacent to the water closet at a height between 680 mm to 740mm above the floor level when lowered from the wall and 360 mm to 400 mm to the centre line of the water closet;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 xml:space="preserve">A vertical or oblique bar of 400 mm to 500 mm long should be provided on the side wall closest to the water closet and the lower end should be at a height of 650 mm from the floor and 450 mm in front of the water closet seat; and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Another horizontal grab bar to be mounted on the wall behind the water closet at a height between 680 mm and 740 mm and be at least 750 mm long.</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Urinal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At least one urinal mounted at a height of not more than 400 mm from the finished floor level, should be provided for young children.</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Wash basin</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washbasin for wheelchair users should have a knee clearance of at least 700 mm wide, 400 mm deep and 680 mm high and the rim or counter surface of the wash basin should not be higher than 780 mm.</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The height of the washbasin for ambulant disabled should not be higher than 550 mm.</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 washbasin with adjustable height is more appropriate to serve the needs of different age groups.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Mirror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If a mirror is to be provided for both ambulant disabled and wheelchair users, the height from the floor level to the top most edge should be at least 1900 mm high with the bottom edge positioned at a height of not more than 800 mm from the floor.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 clear floor space of 900 mm by 1200 mm for a forward approach should be provided in front of the full-length mirror. No door should swing into this clear floor space.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Children's Reach Ranges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Where building elements, such as coat hooks, lockers, or controls and operating mechanisms are designed for use by children with disabilities the dimensions in tables should provide guidance on reach ranges for children according to their age groups. These dimensions apply to either forward or side reaches.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Forward Reach</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Age (years)</w:t>
      </w:r>
      <w:r w:rsidRPr="00AA4F9D">
        <w:tab/>
        <w:t>Reach (low)(mm)</w:t>
      </w:r>
      <w:r w:rsidRPr="00AA4F9D">
        <w:tab/>
        <w:t>Reach (high)(mm)</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3 to 6</w:t>
      </w:r>
      <w:r w:rsidRPr="00AA4F9D">
        <w:tab/>
      </w:r>
      <w:r w:rsidRPr="00AA4F9D">
        <w:tab/>
      </w:r>
      <w:r w:rsidRPr="00AA4F9D">
        <w:tab/>
        <w:t xml:space="preserve"> 500</w:t>
      </w:r>
      <w:r w:rsidR="00AA4F9D">
        <w:t xml:space="preserve"> </w:t>
      </w:r>
      <w:r w:rsidR="00F95E11">
        <w:tab/>
      </w:r>
      <w:r w:rsidR="00F95E11">
        <w:tab/>
      </w:r>
      <w:r w:rsidRPr="00AA4F9D">
        <w:t>900 to 1000</w:t>
      </w:r>
    </w:p>
    <w:p w:rsidR="00B85B22" w:rsidRPr="00AA4F9D" w:rsidRDefault="00B85B22" w:rsidP="00AA4F9D">
      <w:pPr>
        <w:widowControl w:val="0"/>
        <w:ind w:left="720" w:right="720"/>
      </w:pPr>
      <w:r w:rsidRPr="00AA4F9D">
        <w:t>7 to 12</w:t>
      </w:r>
      <w:r w:rsidR="00AA4F9D">
        <w:t xml:space="preserve"> </w:t>
      </w:r>
      <w:r w:rsidR="00F95E11">
        <w:tab/>
      </w:r>
      <w:r w:rsidR="00F95E11">
        <w:tab/>
      </w:r>
      <w:r w:rsidRPr="00AA4F9D">
        <w:t>400</w:t>
      </w:r>
      <w:r w:rsidR="00AA4F9D">
        <w:t xml:space="preserve"> </w:t>
      </w:r>
      <w:r w:rsidR="00F95E11">
        <w:tab/>
      </w:r>
      <w:r w:rsidR="00F95E11">
        <w:tab/>
      </w:r>
      <w:r w:rsidRPr="00AA4F9D">
        <w:t>1000 to 1100</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Side Reach</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Age (years)</w:t>
      </w:r>
      <w:r w:rsidRPr="00AA4F9D">
        <w:tab/>
        <w:t>Reach (low)(mm)</w:t>
      </w:r>
      <w:r w:rsidRPr="00AA4F9D">
        <w:tab/>
        <w:t>Reach (high)(mm)</w:t>
      </w:r>
    </w:p>
    <w:p w:rsidR="00F95E11" w:rsidRDefault="00F95E11" w:rsidP="00AA4F9D">
      <w:pPr>
        <w:widowControl w:val="0"/>
        <w:ind w:left="720" w:right="720"/>
      </w:pPr>
    </w:p>
    <w:p w:rsidR="00B85B22" w:rsidRPr="00AA4F9D" w:rsidRDefault="00B85B22" w:rsidP="00AA4F9D">
      <w:pPr>
        <w:widowControl w:val="0"/>
        <w:ind w:left="720" w:right="720"/>
      </w:pPr>
      <w:r w:rsidRPr="00AA4F9D">
        <w:t>3 to 6</w:t>
      </w:r>
      <w:r w:rsidR="00AA4F9D">
        <w:t xml:space="preserve"> </w:t>
      </w:r>
      <w:r w:rsidR="00F95E11">
        <w:tab/>
      </w:r>
      <w:r w:rsidR="00F95E11">
        <w:tab/>
      </w:r>
      <w:r w:rsidR="00F95E11">
        <w:tab/>
      </w:r>
      <w:r w:rsidRPr="00AA4F9D">
        <w:t>500</w:t>
      </w:r>
      <w:r w:rsidR="00AA4F9D">
        <w:t xml:space="preserve"> </w:t>
      </w:r>
      <w:r w:rsidR="00F95E11">
        <w:tab/>
      </w:r>
      <w:r w:rsidR="00F95E11">
        <w:tab/>
      </w:r>
      <w:r w:rsidRPr="00AA4F9D">
        <w:t>960 to 1070</w:t>
      </w:r>
    </w:p>
    <w:p w:rsidR="00B85B22" w:rsidRPr="00AA4F9D" w:rsidRDefault="00B85B22" w:rsidP="00AA4F9D">
      <w:pPr>
        <w:widowControl w:val="0"/>
        <w:ind w:left="720" w:right="720"/>
      </w:pPr>
      <w:r w:rsidRPr="00AA4F9D">
        <w:t>7 to 12</w:t>
      </w:r>
      <w:r w:rsidR="00AA4F9D">
        <w:t xml:space="preserve"> </w:t>
      </w:r>
      <w:r w:rsidR="00F95E11">
        <w:tab/>
      </w:r>
      <w:r w:rsidR="00F95E11">
        <w:tab/>
      </w:r>
      <w:r w:rsidRPr="00AA4F9D">
        <w:t>400</w:t>
      </w:r>
      <w:r w:rsidR="00AA4F9D">
        <w:t xml:space="preserve"> </w:t>
      </w:r>
      <w:r w:rsidR="00F95E11">
        <w:tab/>
      </w:r>
      <w:r w:rsidR="00F95E11">
        <w:tab/>
      </w:r>
      <w:r w:rsidRPr="00AA4F9D">
        <w:t>1070 to 1170</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Lifts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Lift control panel: The lift control panel for children with disabilities should be placed at a height between 800 mm and 1000 mm from the floor level.</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Public telephones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lastRenderedPageBreak/>
        <w:t>Height: The height of the operable parts of a telephone should be between the heights of 800 mm to 1000 mm.</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Canteens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Height of tables or counters: The top of accessible tables and counters should be positioned from 700 mm to 780 mm above the finished floor level or ground.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Seating: If seating spaces for wheelchair users are provided at fixed tables or counters, a clear floor space of 900 mm by 1200 mm should be provided.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Knee clearance: A clear knee space of at least 700 mm wide by 400 mm deep by 680 mm high should be provided.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Computer rooms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Computer table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 clear knee space of at least 700 mm wide, 400 mm deep, and 680 mm high should be provided.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 table with adjustable height is recommended. The computer's central processing unit, monitor, printer should be within the reach of the user.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Libraries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Door/entrance: Where revolving doors or turnstiles are provided at an accessible entrance or along an accessible route, an auxiliary side-hung door or accessible gate should respectively be provided adjacent to the revolving doors or turnstiles.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Table and counter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An accessible table and counter with a clear knee space of at least 700 mm wide by 400 mm deep by 680 mm high should be provided.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The top of accessible tables and counters should be from 700 mm to 780 mm above the finish floor level or ground.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t>
      </w:r>
      <w:r w:rsidRPr="00AA4F9D">
        <w:tab/>
        <w:t>A table with adjustable height is recommended" (at 245-249).</w:t>
      </w:r>
    </w:p>
    <w:p w:rsidR="00B85B22" w:rsidRPr="00AA4F9D" w:rsidRDefault="00B85B22" w:rsidP="00AA4F9D">
      <w:pPr>
        <w:widowControl w:val="0"/>
        <w:ind w:left="720" w:right="720"/>
      </w:pPr>
    </w:p>
    <w:p w:rsidR="00B85B22" w:rsidRPr="00AA4F9D" w:rsidRDefault="00B85B22" w:rsidP="00AA4F9D">
      <w:pPr>
        <w:widowControl w:val="0"/>
      </w:pPr>
      <w:r w:rsidRPr="00AA4F9D">
        <w:t>Regarding the built environment in Saskatchewan, The KPMG Report states in general terms:</w:t>
      </w:r>
    </w:p>
    <w:p w:rsidR="00B85B22" w:rsidRPr="00AA4F9D" w:rsidRDefault="00B85B22" w:rsidP="00AA4F9D">
      <w:pPr>
        <w:widowControl w:val="0"/>
      </w:pPr>
    </w:p>
    <w:p w:rsidR="00B85B22" w:rsidRPr="00AA4F9D" w:rsidRDefault="00B85B22" w:rsidP="00AA4F9D">
      <w:pPr>
        <w:widowControl w:val="0"/>
        <w:ind w:left="720" w:right="720"/>
      </w:pPr>
      <w:r w:rsidRPr="00AA4F9D">
        <w:t>"The Saskatchewan Human Rights Code</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The provisions of the Code take precedence over UBAS. Under the Code, any building open to the public must be accessible. Where discrimination is based on </w:t>
      </w:r>
      <w:r w:rsidRPr="00AA4F9D">
        <w:lastRenderedPageBreak/>
        <w:t xml:space="preserve">disability, the Code requires a service provider to take steps to accommodate the needs of people with disabilities unless those steps cause undue hardship. What constitutes undue hardship varies from case to case. Some factors the courts have considered to determine what constitutes undue hardship include: </w:t>
      </w:r>
    </w:p>
    <w:p w:rsidR="00D20E0D" w:rsidRDefault="00D20E0D" w:rsidP="00AA4F9D">
      <w:pPr>
        <w:widowControl w:val="0"/>
        <w:ind w:right="720" w:firstLine="720"/>
      </w:pPr>
    </w:p>
    <w:p w:rsidR="00B85B22" w:rsidRPr="00AA4F9D" w:rsidRDefault="00B85B22" w:rsidP="00AA4F9D">
      <w:pPr>
        <w:widowControl w:val="0"/>
        <w:ind w:right="720" w:firstLine="720"/>
      </w:pPr>
      <w:r w:rsidRPr="00AA4F9D">
        <w:t>*</w:t>
      </w:r>
      <w:r w:rsidR="00AA4F9D">
        <w:t xml:space="preserve"> </w:t>
      </w:r>
      <w:r w:rsidRPr="00AA4F9D">
        <w:t>A threat to health or safety,</w:t>
      </w:r>
    </w:p>
    <w:p w:rsidR="00B85B22" w:rsidRPr="00AA4F9D" w:rsidRDefault="00B85B22" w:rsidP="00AA4F9D">
      <w:pPr>
        <w:widowControl w:val="0"/>
        <w:ind w:right="720" w:firstLine="720"/>
      </w:pPr>
      <w:r w:rsidRPr="00AA4F9D">
        <w:t>*</w:t>
      </w:r>
      <w:r w:rsidR="00AA4F9D">
        <w:t xml:space="preserve"> </w:t>
      </w:r>
      <w:r w:rsidRPr="00AA4F9D">
        <w:t>Major economic impact,</w:t>
      </w:r>
    </w:p>
    <w:p w:rsidR="00B85B22" w:rsidRPr="00AA4F9D" w:rsidRDefault="00B85B22" w:rsidP="00AA4F9D">
      <w:pPr>
        <w:widowControl w:val="0"/>
        <w:ind w:right="720" w:firstLine="720"/>
      </w:pPr>
      <w:r w:rsidRPr="00AA4F9D">
        <w:t>*</w:t>
      </w:r>
      <w:r w:rsidR="00AA4F9D">
        <w:t xml:space="preserve"> </w:t>
      </w:r>
      <w:r w:rsidRPr="00AA4F9D">
        <w:t>Past efforts to accommodate, and</w:t>
      </w:r>
    </w:p>
    <w:p w:rsidR="00B85B22" w:rsidRPr="00AA4F9D" w:rsidRDefault="00B85B22" w:rsidP="00AA4F9D">
      <w:pPr>
        <w:widowControl w:val="0"/>
        <w:ind w:right="720" w:firstLine="720"/>
      </w:pPr>
      <w:r w:rsidRPr="00AA4F9D">
        <w:t>*</w:t>
      </w:r>
      <w:r w:rsidR="00AA4F9D">
        <w:t xml:space="preserve"> </w:t>
      </w:r>
      <w:r w:rsidRPr="00AA4F9D">
        <w:t>Facilities and size of organization or workplace" (at 154).</w:t>
      </w:r>
    </w:p>
    <w:p w:rsidR="00B85B22" w:rsidRPr="00AA4F9D" w:rsidRDefault="00B85B22" w:rsidP="00AA4F9D">
      <w:pPr>
        <w:widowControl w:val="0"/>
      </w:pPr>
    </w:p>
    <w:p w:rsidR="00B85B22" w:rsidRPr="00D20E0D" w:rsidRDefault="00E44603" w:rsidP="00AA4F9D">
      <w:pPr>
        <w:pStyle w:val="Heading3"/>
        <w:keepNext w:val="0"/>
        <w:keepLines w:val="0"/>
        <w:widowControl w:val="0"/>
        <w:spacing w:before="0"/>
        <w:rPr>
          <w:rFonts w:ascii="Times New Roman" w:hAnsi="Times New Roman" w:cs="Times New Roman"/>
          <w:b w:val="0"/>
        </w:rPr>
      </w:pPr>
      <w:r w:rsidRPr="00D20E0D">
        <w:rPr>
          <w:rStyle w:val="Heading3Char"/>
          <w:rFonts w:ascii="Times New Roman" w:hAnsi="Times New Roman" w:cs="Times New Roman"/>
          <w:b/>
        </w:rPr>
        <w:t>3.</w:t>
      </w:r>
      <w:r w:rsidR="00B85B22" w:rsidRPr="00D20E0D">
        <w:rPr>
          <w:rStyle w:val="Heading3Char"/>
          <w:rFonts w:ascii="Times New Roman" w:hAnsi="Times New Roman" w:cs="Times New Roman"/>
          <w:b/>
        </w:rPr>
        <w:t xml:space="preserve"> Addressing Barriers to the Accessibility of Instructional Materials</w:t>
      </w:r>
    </w:p>
    <w:p w:rsidR="00B85B22" w:rsidRPr="00AA4F9D" w:rsidRDefault="00B85B22" w:rsidP="00AA4F9D">
      <w:pPr>
        <w:widowControl w:val="0"/>
      </w:pPr>
    </w:p>
    <w:p w:rsidR="00B85B22" w:rsidRPr="00AA4F9D" w:rsidRDefault="00B85B22" w:rsidP="00AA4F9D">
      <w:pPr>
        <w:widowControl w:val="0"/>
      </w:pPr>
      <w:r w:rsidRPr="00AA4F9D">
        <w:t>When discussing the State of Arizona, the KPMG Report referred to American standards regarding accessible format materials which appear to have no counterpart in Ontario.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"Public Education Agencies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Public education agencies (PEAs) are required by state and federal statute to provide accessible instructional materials in a timely manner to students with print disabilities. In 2006, a National Instructional Materials Accessibility Standard (NIMAS) was finalized to provide consistency in the electronic source files used to produce these accessible materials. Later that year, the National Instructional Materials Accessibility Center (NIMAC) began operations. The NIMAC is designed to aid schools in the provision of accessible materials by acting as a central repository for NIMAS files. Files are placed in the NIMAC by textbook publishers as a condition of purchase contracts for materials adopted by the PEAs. PEAs must decide to opt-in or opt-out of utilizing the NIMAC. However, choosing to opt-out does not relieve the PEA of its obligation to provide accessible instructional materials in a timely manner.</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Files placed in the NIMAC may only be used to produce accessible instructional materials for students with individualized education programs (IEPs) who meet the criteria of a person with a visual impairment or print disability as defined in a 1931 federal law (2 USC. 135a; 46 Stat. 1487) commonly known as the Chaffee Amendment.</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While anyone may search the NIMAC, only authorized users may request or download files. In Arizona, the Arizona Department of Education, Exceptional Student Services (ADE/ESS) is the only authorized user. Schools wishing to access a NIMAC file submit a request to ADE/ESS that then authorizes a download and assigns the file to an Accessible Media Producer for the creation of the accessible instructional material in whatever format is required" (at 176).</w:t>
      </w:r>
    </w:p>
    <w:p w:rsidR="00B85B22" w:rsidRPr="00AA4F9D" w:rsidRDefault="00B85B22" w:rsidP="00AA4F9D">
      <w:pPr>
        <w:widowControl w:val="0"/>
      </w:pPr>
    </w:p>
    <w:p w:rsidR="00B85B22" w:rsidRPr="00AA4F9D" w:rsidRDefault="00B7532F" w:rsidP="00AA4F9D">
      <w:pPr>
        <w:pStyle w:val="Heading3"/>
        <w:keepNext w:val="0"/>
        <w:keepLines w:val="0"/>
        <w:widowControl w:val="0"/>
        <w:spacing w:before="0"/>
        <w:rPr>
          <w:rFonts w:ascii="Times New Roman" w:hAnsi="Times New Roman" w:cs="Times New Roman"/>
        </w:rPr>
      </w:pPr>
      <w:r w:rsidRPr="00AA4F9D">
        <w:rPr>
          <w:rFonts w:ascii="Times New Roman" w:hAnsi="Times New Roman" w:cs="Times New Roman"/>
        </w:rPr>
        <w:t>4.</w:t>
      </w:r>
      <w:r w:rsidR="00B85B22" w:rsidRPr="00AA4F9D">
        <w:rPr>
          <w:rFonts w:ascii="Times New Roman" w:hAnsi="Times New Roman" w:cs="Times New Roman"/>
        </w:rPr>
        <w:t xml:space="preserve"> Addressing Attitudinal Barriers Among Students without Disabilities </w:t>
      </w:r>
    </w:p>
    <w:p w:rsidR="00B85B22" w:rsidRPr="00AA4F9D" w:rsidRDefault="00B85B22" w:rsidP="00AA4F9D">
      <w:pPr>
        <w:widowControl w:val="0"/>
      </w:pPr>
    </w:p>
    <w:p w:rsidR="00B85B22" w:rsidRPr="00AA4F9D" w:rsidRDefault="00B85B22" w:rsidP="00AA4F9D">
      <w:pPr>
        <w:widowControl w:val="0"/>
      </w:pPr>
      <w:bookmarkStart w:id="18" w:name="OLE_LINK2"/>
      <w:r w:rsidRPr="00AA4F9D">
        <w:lastRenderedPageBreak/>
        <w:t xml:space="preserve">For students with disabilities to be included in the mainstream, it is important to ensure that there are no attitudinal barriers to their inclusion, among students without disabilities. </w:t>
      </w:r>
      <w:r w:rsidR="00A20DC6" w:rsidRPr="00AA4F9D">
        <w:t>This goes far beyond anti-bullying legislation, a priority that KPMG identifies</w:t>
      </w:r>
      <w:r w:rsidR="00FB2B95" w:rsidRPr="00AA4F9D">
        <w:t xml:space="preserve"> for future action in Ontario</w:t>
      </w:r>
      <w:r w:rsidR="00A20DC6" w:rsidRPr="00AA4F9D">
        <w:t xml:space="preserve">. </w:t>
      </w:r>
      <w:r w:rsidRPr="00AA4F9D">
        <w:t xml:space="preserve">The </w:t>
      </w:r>
      <w:r w:rsidR="0017734D" w:rsidRPr="00AA4F9D">
        <w:t xml:space="preserve">KPMG </w:t>
      </w:r>
      <w:r w:rsidRPr="00AA4F9D">
        <w:t xml:space="preserve">Report shows that California and New York have taken concerted effort to include disability issues in the mainstream school curriculum. This can help support barrier-free inclusive education. </w:t>
      </w:r>
      <w:bookmarkEnd w:id="18"/>
    </w:p>
    <w:p w:rsidR="00B85B22" w:rsidRPr="00AA4F9D" w:rsidRDefault="00B85B22" w:rsidP="00AA4F9D">
      <w:pPr>
        <w:widowControl w:val="0"/>
      </w:pPr>
    </w:p>
    <w:p w:rsidR="00B85B22" w:rsidRPr="00AA4F9D" w:rsidRDefault="00B85B22" w:rsidP="00AA4F9D">
      <w:pPr>
        <w:widowControl w:val="0"/>
      </w:pPr>
      <w:bookmarkStart w:id="19" w:name="OLE_LINK12"/>
      <w:bookmarkStart w:id="20" w:name="OLE_LINK11"/>
      <w:r w:rsidRPr="00AA4F9D">
        <w:t xml:space="preserve">The AODA Alliance notes that Ontario has not taken such concerted effort. The Ontario Government was supposed to be doing so for the last nine years. </w:t>
      </w:r>
      <w:bookmarkEnd w:id="19"/>
      <w:bookmarkEnd w:id="20"/>
      <w:r w:rsidRPr="00AA4F9D">
        <w:t xml:space="preserve">In the 2007 </w:t>
      </w:r>
      <w:proofErr w:type="gramStart"/>
      <w:r w:rsidRPr="00AA4F9D">
        <w:t>Ontario</w:t>
      </w:r>
      <w:proofErr w:type="gramEnd"/>
      <w:r w:rsidRPr="00AA4F9D">
        <w:t xml:space="preserve"> general election, Premier Dalton McGuinty promised as follows in </w:t>
      </w:r>
      <w:hyperlink r:id="rId13" w:history="1">
        <w:r w:rsidRPr="00AA4F9D">
          <w:rPr>
            <w:color w:val="0000FF" w:themeColor="hyperlink"/>
            <w:u w:val="single"/>
          </w:rPr>
          <w:t>his September 14, 2007 letter</w:t>
        </w:r>
      </w:hyperlink>
      <w:r w:rsidRPr="00AA4F9D">
        <w:t xml:space="preserve"> to the AODA Alliance:</w:t>
      </w:r>
    </w:p>
    <w:p w:rsidR="00B85B22" w:rsidRPr="00AA4F9D" w:rsidRDefault="00B85B22" w:rsidP="00AA4F9D">
      <w:pPr>
        <w:widowControl w:val="0"/>
      </w:pPr>
    </w:p>
    <w:p w:rsidR="00B85B22" w:rsidRPr="00AA4F9D" w:rsidRDefault="00B85B22" w:rsidP="00AA4F9D">
      <w:pPr>
        <w:widowControl w:val="0"/>
        <w:ind w:left="720" w:right="720"/>
      </w:pPr>
      <w:r w:rsidRPr="00AA4F9D">
        <w:t xml:space="preserve">"Institute a new program to ensure that students in schools and professional organizations are trained on accessibility issues. </w:t>
      </w:r>
    </w:p>
    <w:p w:rsidR="00B85B22" w:rsidRPr="00AA4F9D" w:rsidRDefault="00B85B22" w:rsidP="00AA4F9D">
      <w:pPr>
        <w:widowControl w:val="0"/>
        <w:ind w:left="720" w:right="720"/>
      </w:pPr>
      <w:r w:rsidRPr="00AA4F9D">
        <w:t xml:space="preserve"> </w:t>
      </w:r>
    </w:p>
    <w:p w:rsidR="00B85B22" w:rsidRPr="00AA4F9D" w:rsidRDefault="00B85B22" w:rsidP="00AA4F9D">
      <w:pPr>
        <w:widowControl w:val="0"/>
        <w:ind w:left="720" w:right="720"/>
      </w:pPr>
      <w:r w:rsidRPr="00AA4F9D">
        <w:t xml:space="preserve">We already include awareness of and respect for students with special needs: in every curriculum </w:t>
      </w:r>
      <w:proofErr w:type="gramStart"/>
      <w:r w:rsidRPr="00AA4F9D">
        <w:t>document</w:t>
      </w:r>
      <w:proofErr w:type="gramEnd"/>
      <w:r w:rsidRPr="00AA4F9D">
        <w:t xml:space="preserve"> there is a front piece on planning programs for students with special education needs. Disability awareness is an expectation in the Grade 12 Social Sciences and Humanities course. Our government also introduced character education. </w:t>
      </w:r>
    </w:p>
    <w:p w:rsidR="00B85B22" w:rsidRPr="00AA4F9D" w:rsidRDefault="00B85B22" w:rsidP="00AA4F9D">
      <w:pPr>
        <w:widowControl w:val="0"/>
        <w:ind w:left="720" w:right="720"/>
      </w:pPr>
      <w:r w:rsidRPr="00AA4F9D">
        <w:t xml:space="preserve"> </w:t>
      </w:r>
    </w:p>
    <w:p w:rsidR="00B85B22" w:rsidRPr="00AA4F9D" w:rsidRDefault="00B85B22" w:rsidP="00AA4F9D">
      <w:pPr>
        <w:widowControl w:val="0"/>
        <w:ind w:left="720" w:right="720"/>
      </w:pPr>
      <w:r w:rsidRPr="00AA4F9D">
        <w:t>Character education is about schools reinforcing values shared by the school community – values such as respect, honesty, responsibility and fairness. It is about nurturing universal values, upon which schools and communities can agree. We will ensure that this curriculum includes issues relating to persons with disabilities."</w:t>
      </w:r>
    </w:p>
    <w:p w:rsidR="00B85B22" w:rsidRPr="00AA4F9D" w:rsidRDefault="00B85B22" w:rsidP="00AA4F9D">
      <w:pPr>
        <w:widowControl w:val="0"/>
      </w:pPr>
    </w:p>
    <w:p w:rsidR="00B85B22" w:rsidRPr="00AA4F9D" w:rsidRDefault="00B85B22" w:rsidP="00AA4F9D">
      <w:pPr>
        <w:widowControl w:val="0"/>
      </w:pPr>
      <w:r w:rsidRPr="00AA4F9D">
        <w:t>As for California, the KPMG Report states:</w:t>
      </w:r>
    </w:p>
    <w:p w:rsidR="00B85B22" w:rsidRPr="00AA4F9D" w:rsidRDefault="00B85B22" w:rsidP="00AA4F9D">
      <w:pPr>
        <w:widowControl w:val="0"/>
      </w:pPr>
    </w:p>
    <w:p w:rsidR="00B85B22" w:rsidRPr="00AA4F9D" w:rsidRDefault="00B85B22" w:rsidP="00AA4F9D">
      <w:pPr>
        <w:widowControl w:val="0"/>
        <w:ind w:left="720" w:right="720"/>
      </w:pPr>
      <w:r w:rsidRPr="00AA4F9D">
        <w:t xml:space="preserve">"California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Regulations </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Disability History Week</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On April 19, 2010, ACR162 was introduced in the California Assembly by Assembly member Beall, and was subsequently introduced in the Senate. This resolution aims to establish the second week in October as Disability History Week, and encourages public and private institutions of higher education, state and local agencies, non-profit and community organizations and private businesses to observe the week by dedicating appropriate classroom instructional time or by coordinating all-inclusive activities to be conducted to afford opportunities for students and the general public to learn more about the disability community and to celebrate its role in contemporary American society.</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The resolution was passed unanimously by both the Assembly and Senate shortly </w:t>
      </w:r>
      <w:r w:rsidRPr="00AA4F9D">
        <w:lastRenderedPageBreak/>
        <w:t xml:space="preserve">after July 26, 2010, the 20th Anniversary of the ADA. The second week in October is now California's official Disability History Week. Organizing Disabled and Proud members and all the other supporters of the initiative” (at 179-180). </w:t>
      </w:r>
    </w:p>
    <w:p w:rsidR="00B85B22" w:rsidRPr="00AA4F9D" w:rsidRDefault="00B85B22" w:rsidP="00AA4F9D">
      <w:pPr>
        <w:widowControl w:val="0"/>
      </w:pPr>
    </w:p>
    <w:p w:rsidR="00B85B22" w:rsidRPr="00AA4F9D" w:rsidRDefault="00B85B22" w:rsidP="00AA4F9D">
      <w:pPr>
        <w:widowControl w:val="0"/>
      </w:pPr>
      <w:r w:rsidRPr="00AA4F9D">
        <w:t>Similarly, regarding New York State, The KPMG Report states:</w:t>
      </w:r>
    </w:p>
    <w:p w:rsidR="00B85B22" w:rsidRPr="00AA4F9D" w:rsidRDefault="00B85B22" w:rsidP="00AA4F9D">
      <w:pPr>
        <w:widowControl w:val="0"/>
      </w:pPr>
    </w:p>
    <w:p w:rsidR="00B85B22" w:rsidRPr="00AA4F9D" w:rsidRDefault="00B85B22" w:rsidP="00AA4F9D">
      <w:pPr>
        <w:widowControl w:val="0"/>
        <w:ind w:left="720" w:right="720"/>
      </w:pPr>
      <w:r w:rsidRPr="00AA4F9D">
        <w:t xml:space="preserve">"In the 2011 legislative session, curriculum bills were introduced in the NYS Senate and the Assembly by Senator Mark Grisanti and Assembly Member Mark Schroeder. Both bills aim to promote greater awareness and understanding of people with disabilities by amending current NYS Education Law 801 (Chapter 265 of the Laws of 2000) to make available to all </w:t>
      </w:r>
      <w:proofErr w:type="gramStart"/>
      <w:r w:rsidRPr="00AA4F9D">
        <w:t>students</w:t>
      </w:r>
      <w:proofErr w:type="gramEnd"/>
      <w:r w:rsidRPr="00AA4F9D">
        <w:t xml:space="preserve"> grades kindergarten through twelve suitable curriculum materials to aid in the instruction, understanding and acceptance of students with disabilities. The bills remained in committee when the 2011 session ended.</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As the 2012 legislative session commenced, S2352 was placed on the Senate Education and Finance Committees' agenda, was reviewed, and with much support was successfully passed" (at 187).</w:t>
      </w:r>
    </w:p>
    <w:p w:rsidR="00B85B22" w:rsidRPr="00AA4F9D" w:rsidRDefault="00B85B22" w:rsidP="00AA4F9D">
      <w:pPr>
        <w:widowControl w:val="0"/>
      </w:pPr>
    </w:p>
    <w:p w:rsidR="00B85B22" w:rsidRPr="00D20E0D" w:rsidRDefault="003B0411" w:rsidP="00AA4F9D">
      <w:pPr>
        <w:pStyle w:val="Heading3"/>
        <w:keepNext w:val="0"/>
        <w:keepLines w:val="0"/>
        <w:widowControl w:val="0"/>
        <w:spacing w:before="0"/>
        <w:rPr>
          <w:rFonts w:ascii="Times New Roman" w:hAnsi="Times New Roman" w:cs="Times New Roman"/>
          <w:b w:val="0"/>
        </w:rPr>
      </w:pPr>
      <w:r w:rsidRPr="00D20E0D">
        <w:rPr>
          <w:rStyle w:val="Heading3Char"/>
          <w:rFonts w:ascii="Times New Roman" w:hAnsi="Times New Roman" w:cs="Times New Roman"/>
          <w:b/>
        </w:rPr>
        <w:t>5.</w:t>
      </w:r>
      <w:r w:rsidR="00B85B22" w:rsidRPr="00D20E0D">
        <w:rPr>
          <w:rStyle w:val="Heading3Char"/>
          <w:rFonts w:ascii="Times New Roman" w:hAnsi="Times New Roman" w:cs="Times New Roman"/>
          <w:b/>
        </w:rPr>
        <w:t xml:space="preserve"> Insufficient Teacher Training </w:t>
      </w:r>
      <w:r w:rsidR="00BE5072" w:rsidRPr="00D20E0D">
        <w:rPr>
          <w:rStyle w:val="Heading3Char"/>
          <w:rFonts w:ascii="Times New Roman" w:hAnsi="Times New Roman" w:cs="Times New Roman"/>
          <w:b/>
        </w:rPr>
        <w:t xml:space="preserve">on Teaching Students with Disabilities </w:t>
      </w:r>
      <w:r w:rsidR="00B85B22" w:rsidRPr="00D20E0D">
        <w:rPr>
          <w:rStyle w:val="Heading3Char"/>
          <w:rFonts w:ascii="Times New Roman" w:hAnsi="Times New Roman" w:cs="Times New Roman"/>
          <w:b/>
        </w:rPr>
        <w:t>as a Barrier to Inclusion of Students with Disabilities in the Mainstream Classroom</w:t>
      </w:r>
      <w:r w:rsidR="00B85B22" w:rsidRPr="00D20E0D">
        <w:rPr>
          <w:rFonts w:ascii="Times New Roman" w:hAnsi="Times New Roman" w:cs="Times New Roman"/>
          <w:b w:val="0"/>
        </w:rPr>
        <w:t xml:space="preserve"> </w:t>
      </w:r>
    </w:p>
    <w:p w:rsidR="00B85B22" w:rsidRPr="00AA4F9D" w:rsidRDefault="00B85B22" w:rsidP="00AA4F9D">
      <w:pPr>
        <w:widowControl w:val="0"/>
      </w:pPr>
    </w:p>
    <w:p w:rsidR="00B85B22" w:rsidRPr="00AA4F9D" w:rsidRDefault="00B85B22" w:rsidP="00AA4F9D">
      <w:pPr>
        <w:widowControl w:val="0"/>
      </w:pPr>
      <w:r w:rsidRPr="00AA4F9D">
        <w:t xml:space="preserve">The </w:t>
      </w:r>
      <w:r w:rsidR="00E760A9" w:rsidRPr="00AA4F9D">
        <w:t xml:space="preserve">KPMG </w:t>
      </w:r>
      <w:r w:rsidRPr="00AA4F9D">
        <w:t xml:space="preserve">Report identified efforts in </w:t>
      </w:r>
      <w:r w:rsidR="00E760A9" w:rsidRPr="00AA4F9D">
        <w:t xml:space="preserve">some </w:t>
      </w:r>
      <w:r w:rsidRPr="00AA4F9D">
        <w:t xml:space="preserve">other jurisdictions to more effectively train mainstream classroom teachers on meeting the needs of students with disabilities within their classes. This is a measure that Ontario too needs to help counteract the </w:t>
      </w:r>
      <w:proofErr w:type="gramStart"/>
      <w:r w:rsidRPr="00AA4F9D">
        <w:t>long term</w:t>
      </w:r>
      <w:proofErr w:type="gramEnd"/>
      <w:r w:rsidRPr="00AA4F9D">
        <w:t xml:space="preserve"> design of Ontario's education system as being fundamentally aimed at students without disabilities. </w:t>
      </w:r>
    </w:p>
    <w:p w:rsidR="00B85B22" w:rsidRPr="00AA4F9D" w:rsidRDefault="00B85B22" w:rsidP="00AA4F9D">
      <w:pPr>
        <w:widowControl w:val="0"/>
      </w:pPr>
    </w:p>
    <w:p w:rsidR="00B85B22" w:rsidRPr="00AA4F9D" w:rsidRDefault="00B85B22" w:rsidP="00AA4F9D">
      <w:pPr>
        <w:widowControl w:val="0"/>
      </w:pPr>
      <w:r w:rsidRPr="00AA4F9D">
        <w:t>Regarding Singapore,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"MOE has implemented a tiered approach that includes basic awareness, deeper understanding and specialised knowledge and skills. At the basic level, all teachers in all schools are provided with an awareness of special educational needs. Since 2005, the National Institute of Education has introduced a compulsory 12-hour module on special needs in the pre-service training for all beginning teachers. Beyond awareness, a portion of teachers in all schools are equipped with a deeper understanding of special needs. MOE has since 2005 offered certificate level training (108 hours) in special needs. The target was for 2,300 teachers (10 percent of teaching staff in all schools) to be trained between 2005 and 2010 with a further 10 percent (i.e. about 1,120) of secondary school teachers to be trained by 2012. At a more specialised level, some schools have additional labour and specialist expertise in supporting pupils with special needs. These schools have been provided with Allied Educators (Learning and Behavioural Support) (AED [LBS]). MOE decided to recruit an additional 200 AEDs (LBS) by 2015 to meet longer-term needs" (at 54).</w:t>
      </w:r>
    </w:p>
    <w:p w:rsidR="00B85B22" w:rsidRPr="00AA4F9D" w:rsidRDefault="00B85B22" w:rsidP="00AA4F9D">
      <w:pPr>
        <w:widowControl w:val="0"/>
      </w:pPr>
    </w:p>
    <w:p w:rsidR="00B85B22" w:rsidRPr="00AA4F9D" w:rsidRDefault="00B85B22" w:rsidP="00AA4F9D">
      <w:pPr>
        <w:widowControl w:val="0"/>
      </w:pPr>
      <w:r w:rsidRPr="00AA4F9D">
        <w:t xml:space="preserve">The KPMG Report describes measures at the California State University Northridge that would </w:t>
      </w:r>
      <w:r w:rsidRPr="00AA4F9D">
        <w:lastRenderedPageBreak/>
        <w:t>be helpful if mandated at post-secondary educational organizations in Ontario. The Report states:</w:t>
      </w:r>
    </w:p>
    <w:p w:rsidR="00B85B22" w:rsidRPr="00AA4F9D" w:rsidRDefault="00B85B22" w:rsidP="00AA4F9D">
      <w:pPr>
        <w:widowControl w:val="0"/>
      </w:pPr>
    </w:p>
    <w:p w:rsidR="00B85B22" w:rsidRPr="00AA4F9D" w:rsidRDefault="00B85B22" w:rsidP="00AA4F9D">
      <w:pPr>
        <w:widowControl w:val="0"/>
        <w:ind w:left="720" w:right="720"/>
      </w:pPr>
      <w:r w:rsidRPr="00AA4F9D">
        <w:t>"Faculty plays an essential role in supporting student success and ensuring access for students with disabilities.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Include a disability-related statement on the syllabus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 xml:space="preserve">While it is the faculty member's responsibility to ensure the </w:t>
      </w:r>
      <w:proofErr w:type="gramStart"/>
      <w:r w:rsidRPr="00AA4F9D">
        <w:t>learning</w:t>
      </w:r>
      <w:proofErr w:type="gramEnd"/>
      <w:r w:rsidRPr="00AA4F9D">
        <w:t xml:space="preserve"> environment is accessible, it is the student's responsibility to request accommodations. Faculty may find it useful to include a statement on the syllabus that educates students with disabilities about the steps they need to take to receive classroom accommodations. Faculty members are further encouraged to include a statement that invites students with disabilities to meet in a confidential environment to discuss arrangements for accommodations.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Provide access to classroom and course materials</w:t>
      </w:r>
    </w:p>
    <w:p w:rsidR="00B85B22" w:rsidRPr="00AA4F9D" w:rsidRDefault="00B85B22" w:rsidP="00AA4F9D">
      <w:pPr>
        <w:widowControl w:val="0"/>
        <w:ind w:left="720" w:right="720"/>
      </w:pPr>
    </w:p>
    <w:p w:rsidR="00B85B22" w:rsidRPr="00AA4F9D" w:rsidRDefault="00B85B22" w:rsidP="00AA4F9D">
      <w:pPr>
        <w:widowControl w:val="0"/>
        <w:ind w:left="720" w:right="720"/>
      </w:pPr>
      <w:r w:rsidRPr="00AA4F9D">
        <w:t>Faculty members are responsible for ensuring that all course materials are accessible to all students. Faculty members are encouraged to learn how to create accessible materials by utilizing the resources and assistance provided by the Accessible Technology Initiative (ATI). ATI and DRES recommend the following to ensure that students are equipped prior to the start of the semester" (at 184).</w:t>
      </w:r>
    </w:p>
    <w:p w:rsidR="00557F43" w:rsidRPr="00AA4F9D" w:rsidRDefault="00557F43" w:rsidP="00AA4F9D">
      <w:pPr>
        <w:widowControl w:val="0"/>
      </w:pPr>
    </w:p>
    <w:p w:rsidR="005F35D3" w:rsidRPr="00D20E0D" w:rsidRDefault="005F35D3" w:rsidP="00AA4F9D">
      <w:pPr>
        <w:pStyle w:val="Heading1"/>
        <w:keepNext w:val="0"/>
        <w:keepLines w:val="0"/>
        <w:widowControl w:val="0"/>
        <w:spacing w:before="0"/>
        <w:rPr>
          <w:rStyle w:val="Heading1Char"/>
          <w:rFonts w:ascii="Times New Roman" w:hAnsi="Times New Roman" w:cs="Times New Roman"/>
          <w:b/>
          <w:sz w:val="24"/>
          <w:szCs w:val="24"/>
        </w:rPr>
      </w:pPr>
      <w:r w:rsidRPr="00D20E0D">
        <w:rPr>
          <w:rStyle w:val="Heading1Char"/>
          <w:rFonts w:ascii="Times New Roman" w:hAnsi="Times New Roman" w:cs="Times New Roman"/>
          <w:b/>
          <w:sz w:val="24"/>
          <w:szCs w:val="24"/>
        </w:rPr>
        <w:t>Chapter 4. Serious Deficiencies with the KPMG Report</w:t>
      </w:r>
    </w:p>
    <w:p w:rsidR="005F35D3" w:rsidRPr="00AA4F9D" w:rsidRDefault="005F35D3" w:rsidP="00AA4F9D">
      <w:pPr>
        <w:widowControl w:val="0"/>
      </w:pPr>
    </w:p>
    <w:p w:rsidR="005F35D3" w:rsidRPr="00D20E0D" w:rsidRDefault="005F35D3" w:rsidP="00AA4F9D">
      <w:pPr>
        <w:pStyle w:val="Heading2"/>
        <w:keepNext w:val="0"/>
        <w:keepLines w:val="0"/>
        <w:widowControl w:val="0"/>
        <w:spacing w:before="0"/>
        <w:rPr>
          <w:rStyle w:val="Heading2Char"/>
          <w:rFonts w:ascii="Times New Roman" w:hAnsi="Times New Roman" w:cs="Times New Roman"/>
          <w:b/>
          <w:sz w:val="24"/>
          <w:szCs w:val="24"/>
        </w:rPr>
      </w:pPr>
      <w:r w:rsidRPr="00D20E0D">
        <w:rPr>
          <w:rStyle w:val="Heading2Char"/>
          <w:rFonts w:ascii="Times New Roman" w:hAnsi="Times New Roman" w:cs="Times New Roman"/>
          <w:b/>
          <w:sz w:val="24"/>
          <w:szCs w:val="24"/>
        </w:rPr>
        <w:t>I.</w:t>
      </w:r>
      <w:r w:rsidR="009A3977" w:rsidRPr="00D20E0D">
        <w:rPr>
          <w:rStyle w:val="Heading2Char"/>
          <w:rFonts w:ascii="Times New Roman" w:hAnsi="Times New Roman" w:cs="Times New Roman"/>
          <w:b/>
          <w:sz w:val="24"/>
          <w:szCs w:val="24"/>
        </w:rPr>
        <w:t xml:space="preserve"> </w:t>
      </w:r>
      <w:r w:rsidRPr="00D20E0D">
        <w:rPr>
          <w:rStyle w:val="Heading2Char"/>
          <w:rFonts w:ascii="Times New Roman" w:hAnsi="Times New Roman" w:cs="Times New Roman"/>
          <w:b/>
          <w:sz w:val="24"/>
          <w:szCs w:val="24"/>
        </w:rPr>
        <w:t xml:space="preserve">General </w:t>
      </w:r>
    </w:p>
    <w:p w:rsidR="005F35D3" w:rsidRPr="00AA4F9D" w:rsidRDefault="005F35D3" w:rsidP="00AA4F9D">
      <w:pPr>
        <w:widowControl w:val="0"/>
      </w:pPr>
    </w:p>
    <w:p w:rsidR="005F35D3" w:rsidRPr="00AA4F9D" w:rsidRDefault="005F35D3" w:rsidP="00AA4F9D">
      <w:pPr>
        <w:widowControl w:val="0"/>
      </w:pPr>
      <w:r w:rsidRPr="00AA4F9D">
        <w:t xml:space="preserve">This chapter describes several serious problems with the KPMG Report. As a result of these problems, the Report should be treated as significantly incomplete. This is so even though the Report is quite long. </w:t>
      </w:r>
    </w:p>
    <w:p w:rsidR="005F35D3" w:rsidRPr="00AA4F9D" w:rsidRDefault="005F35D3" w:rsidP="00AA4F9D">
      <w:pPr>
        <w:widowControl w:val="0"/>
      </w:pPr>
    </w:p>
    <w:p w:rsidR="005F35D3" w:rsidRPr="00AA4F9D" w:rsidRDefault="005F35D3" w:rsidP="00AA4F9D">
      <w:pPr>
        <w:widowControl w:val="0"/>
      </w:pPr>
      <w:r w:rsidRPr="00AA4F9D">
        <w:t xml:space="preserve">The </w:t>
      </w:r>
      <w:r w:rsidR="00E9788D" w:rsidRPr="00AA4F9D">
        <w:t xml:space="preserve">KPMG </w:t>
      </w:r>
      <w:r w:rsidRPr="00AA4F9D">
        <w:t xml:space="preserve">Report, and especially its list of priority areas for action on accessibility barriers that are reviewed in </w:t>
      </w:r>
      <w:r w:rsidR="00126DF8" w:rsidRPr="00AA4F9D">
        <w:t xml:space="preserve">this Analysis's </w:t>
      </w:r>
      <w:r w:rsidRPr="00AA4F9D">
        <w:t xml:space="preserve">preceding </w:t>
      </w:r>
      <w:r w:rsidR="00E9788D" w:rsidRPr="00AA4F9D">
        <w:t>cha</w:t>
      </w:r>
      <w:r w:rsidR="00FE2A80" w:rsidRPr="00AA4F9D">
        <w:t>p</w:t>
      </w:r>
      <w:r w:rsidR="00E9788D" w:rsidRPr="00AA4F9D">
        <w:t>ter</w:t>
      </w:r>
      <w:r w:rsidRPr="00AA4F9D">
        <w:t>, significantly understates the range of recurring accessibility barriers in Ontario's education system. There are considerably more accessibility barriers in Ontario's education system than KPMG identified</w:t>
      </w:r>
      <w:r w:rsidR="00FE2A80" w:rsidRPr="00AA4F9D">
        <w:t xml:space="preserve"> or listed as </w:t>
      </w:r>
      <w:r w:rsidR="00D5797C" w:rsidRPr="00AA4F9D">
        <w:t>priorities for future action</w:t>
      </w:r>
      <w:r w:rsidRPr="00AA4F9D">
        <w:t xml:space="preserve">. As well, as </w:t>
      </w:r>
      <w:r w:rsidR="00126DF8" w:rsidRPr="00AA4F9D">
        <w:t xml:space="preserve">the next chapter of this Analysis shows, </w:t>
      </w:r>
      <w:r w:rsidRPr="00AA4F9D">
        <w:t xml:space="preserve">the </w:t>
      </w:r>
      <w:r w:rsidR="00126DF8" w:rsidRPr="00AA4F9D">
        <w:t xml:space="preserve">KPMG </w:t>
      </w:r>
      <w:r w:rsidRPr="00AA4F9D">
        <w:t xml:space="preserve">Report's conclusion about Ontario's action on accessibility in its education system, compared to other jurisdictions, is inaccurate and unreliable. </w:t>
      </w:r>
    </w:p>
    <w:p w:rsidR="005F35D3" w:rsidRPr="00AA4F9D" w:rsidRDefault="005F35D3" w:rsidP="00AA4F9D">
      <w:pPr>
        <w:widowControl w:val="0"/>
      </w:pPr>
    </w:p>
    <w:p w:rsidR="00F23536" w:rsidRPr="00AA4F9D" w:rsidRDefault="005F35D3" w:rsidP="00AA4F9D">
      <w:pPr>
        <w:widowControl w:val="0"/>
      </w:pPr>
      <w:r w:rsidRPr="00AA4F9D">
        <w:t xml:space="preserve">Despite these </w:t>
      </w:r>
      <w:r w:rsidR="00126DF8" w:rsidRPr="00AA4F9D">
        <w:t xml:space="preserve">major </w:t>
      </w:r>
      <w:r w:rsidRPr="00AA4F9D">
        <w:t xml:space="preserve">flaws, the KPMG Report is useful </w:t>
      </w:r>
      <w:r w:rsidR="00F23536" w:rsidRPr="00AA4F9D">
        <w:t xml:space="preserve">for one thing. It proves that Ontario's education system does have serious recurring accessibility barriers and its pages, taken together, reveal no current plan for systematically removing and preventing them. </w:t>
      </w:r>
      <w:r w:rsidRPr="00AA4F9D">
        <w:t xml:space="preserve">The accessibility barriers that </w:t>
      </w:r>
      <w:r w:rsidR="00F23536" w:rsidRPr="00AA4F9D">
        <w:t xml:space="preserve">KPMG </w:t>
      </w:r>
      <w:r w:rsidRPr="00AA4F9D">
        <w:t>identifies are real and serious problems for students with disabilities. They need to be systematically addressed.</w:t>
      </w:r>
      <w:r w:rsidR="00F23536" w:rsidRPr="00AA4F9D">
        <w:t xml:space="preserve"> The KPMG Report therefore provides resounding proof that Ontario needs an AODA Education Accessibility Standard.</w:t>
      </w:r>
    </w:p>
    <w:p w:rsidR="00F23536" w:rsidRPr="00AA4F9D" w:rsidRDefault="00F23536" w:rsidP="00AA4F9D">
      <w:pPr>
        <w:widowControl w:val="0"/>
      </w:pPr>
    </w:p>
    <w:p w:rsidR="005F35D3" w:rsidRPr="00AA4F9D" w:rsidRDefault="005F35D3" w:rsidP="00AA4F9D">
      <w:pPr>
        <w:widowControl w:val="0"/>
      </w:pPr>
      <w:r w:rsidRPr="00AA4F9D">
        <w:t xml:space="preserve">However, the KPMG Report should not be treated as the only source, or as the best source of </w:t>
      </w:r>
      <w:r w:rsidR="00F23536" w:rsidRPr="00AA4F9D">
        <w:t xml:space="preserve">the </w:t>
      </w:r>
      <w:r w:rsidRPr="00AA4F9D">
        <w:t xml:space="preserve">accessibility barriers in Ontario's education system. The Ontario Government should not in any way restrict efforts towards </w:t>
      </w:r>
      <w:r w:rsidR="00F23536" w:rsidRPr="00AA4F9D">
        <w:t xml:space="preserve">developing </w:t>
      </w:r>
      <w:r w:rsidRPr="00AA4F9D">
        <w:t xml:space="preserve">an Education Accessibility Standard or other efforts on reform in this area to the areas that KPMG listed as priorities. </w:t>
      </w:r>
    </w:p>
    <w:p w:rsidR="005F35D3" w:rsidRPr="00AA4F9D" w:rsidRDefault="005F35D3" w:rsidP="00AA4F9D">
      <w:pPr>
        <w:widowControl w:val="0"/>
      </w:pPr>
    </w:p>
    <w:p w:rsidR="005F35D3" w:rsidRPr="00D20E0D" w:rsidRDefault="00F23536" w:rsidP="00AA4F9D">
      <w:pPr>
        <w:pStyle w:val="Heading2"/>
        <w:keepNext w:val="0"/>
        <w:keepLines w:val="0"/>
        <w:widowControl w:val="0"/>
        <w:spacing w:before="0"/>
        <w:rPr>
          <w:rFonts w:ascii="Times New Roman" w:hAnsi="Times New Roman" w:cs="Times New Roman"/>
          <w:b w:val="0"/>
          <w:sz w:val="24"/>
          <w:szCs w:val="24"/>
        </w:rPr>
      </w:pPr>
      <w:r w:rsidRPr="00D20E0D">
        <w:rPr>
          <w:rStyle w:val="Heading2Char"/>
          <w:rFonts w:ascii="Times New Roman" w:hAnsi="Times New Roman" w:cs="Times New Roman"/>
          <w:b/>
          <w:sz w:val="24"/>
          <w:szCs w:val="24"/>
        </w:rPr>
        <w:t>II.</w:t>
      </w:r>
      <w:r w:rsidR="00AA4F9D" w:rsidRPr="00D20E0D">
        <w:rPr>
          <w:rStyle w:val="Heading2Char"/>
          <w:rFonts w:ascii="Times New Roman" w:hAnsi="Times New Roman" w:cs="Times New Roman"/>
          <w:b/>
          <w:sz w:val="24"/>
          <w:szCs w:val="24"/>
        </w:rPr>
        <w:t xml:space="preserve"> </w:t>
      </w:r>
      <w:r w:rsidR="005F35D3" w:rsidRPr="00D20E0D">
        <w:rPr>
          <w:rStyle w:val="Heading2Char"/>
          <w:rFonts w:ascii="Times New Roman" w:hAnsi="Times New Roman" w:cs="Times New Roman"/>
          <w:b/>
          <w:sz w:val="24"/>
          <w:szCs w:val="24"/>
        </w:rPr>
        <w:t>KPMG Missed Key Accessibility Barriers in Its List of Priorities for Action in Ontario's Education System</w:t>
      </w:r>
    </w:p>
    <w:p w:rsidR="005F35D3" w:rsidRPr="00AA4F9D" w:rsidRDefault="005F35D3" w:rsidP="00AA4F9D">
      <w:pPr>
        <w:widowControl w:val="0"/>
      </w:pPr>
    </w:p>
    <w:p w:rsidR="005F35D3" w:rsidRPr="00AA4F9D" w:rsidRDefault="005F35D3" w:rsidP="00AA4F9D">
      <w:pPr>
        <w:widowControl w:val="0"/>
      </w:pPr>
      <w:r w:rsidRPr="00AA4F9D">
        <w:t xml:space="preserve">The KPMG Report's analysis and conclusions about priority areas for future action on education accessibility barriers, summarized in the preceding </w:t>
      </w:r>
      <w:r w:rsidR="00CC07FD" w:rsidRPr="00AA4F9D">
        <w:t xml:space="preserve">chapter </w:t>
      </w:r>
      <w:r w:rsidRPr="00AA4F9D">
        <w:t xml:space="preserve">of this Analysis, missed important recurring accessibility barriers in Ontario's education system. Some of these recurring accessibility barriers are mentioned or adverted to elsewhere in the Report proper or </w:t>
      </w:r>
      <w:r w:rsidR="00CC07FD" w:rsidRPr="00AA4F9D">
        <w:t xml:space="preserve">in </w:t>
      </w:r>
      <w:r w:rsidRPr="00AA4F9D">
        <w:t xml:space="preserve">its supporting appendix contents, without these forming part of its ultimate conclusions. Examples of these are identified in part in the preceding </w:t>
      </w:r>
      <w:r w:rsidR="00CC07FD" w:rsidRPr="00AA4F9D">
        <w:t xml:space="preserve">chapter </w:t>
      </w:r>
      <w:r w:rsidRPr="00AA4F9D">
        <w:t>of this Analysis.</w:t>
      </w:r>
    </w:p>
    <w:p w:rsidR="005F35D3" w:rsidRPr="00AA4F9D" w:rsidRDefault="005F35D3" w:rsidP="00AA4F9D">
      <w:pPr>
        <w:widowControl w:val="0"/>
      </w:pPr>
    </w:p>
    <w:p w:rsidR="005F35D3" w:rsidRPr="00AA4F9D" w:rsidRDefault="005F35D3" w:rsidP="00AA4F9D">
      <w:pPr>
        <w:widowControl w:val="0"/>
      </w:pPr>
      <w:r w:rsidRPr="00AA4F9D">
        <w:t>As but one glaring example described above, the Report does not identify accessibility barriers in the built environment of Ontario's education system as a major priority for action. Yet as of the start of 2016, only 85 of the 550 schools in the Toronto District School Board were physically accessible, according to whatever measure of accessibility TDSB uses. The KPMG Report did not refer to this stunning example in its Report.</w:t>
      </w:r>
    </w:p>
    <w:p w:rsidR="005F35D3" w:rsidRPr="00AA4F9D" w:rsidRDefault="005F35D3" w:rsidP="00AA4F9D">
      <w:pPr>
        <w:widowControl w:val="0"/>
      </w:pPr>
    </w:p>
    <w:p w:rsidR="005F35D3" w:rsidRPr="00AA4F9D" w:rsidRDefault="005F35D3" w:rsidP="00AA4F9D">
      <w:pPr>
        <w:widowControl w:val="0"/>
      </w:pPr>
      <w:r w:rsidRPr="00AA4F9D">
        <w:t>There are several other priority areas of recurring accessibility barriers which the Report missed in reaching this conclusion, such as accessibility barriers in software and hardware deployed in learning settings, in curriculum design, in experiential learning, and in gym and playground equipment, just to name a few.</w:t>
      </w:r>
    </w:p>
    <w:p w:rsidR="005F35D3" w:rsidRPr="00AA4F9D" w:rsidRDefault="005F35D3" w:rsidP="00AA4F9D">
      <w:pPr>
        <w:widowControl w:val="0"/>
      </w:pPr>
    </w:p>
    <w:p w:rsidR="005F35D3" w:rsidRPr="00D20E0D" w:rsidRDefault="00CC07FD" w:rsidP="00AA4F9D">
      <w:pPr>
        <w:pStyle w:val="Heading2"/>
        <w:keepNext w:val="0"/>
        <w:keepLines w:val="0"/>
        <w:widowControl w:val="0"/>
        <w:spacing w:before="0"/>
        <w:rPr>
          <w:rFonts w:ascii="Times New Roman" w:hAnsi="Times New Roman" w:cs="Times New Roman"/>
          <w:b w:val="0"/>
          <w:sz w:val="24"/>
          <w:szCs w:val="24"/>
        </w:rPr>
      </w:pPr>
      <w:r w:rsidRPr="00D20E0D">
        <w:rPr>
          <w:rStyle w:val="Heading3Char"/>
          <w:rFonts w:ascii="Times New Roman" w:hAnsi="Times New Roman" w:cs="Times New Roman"/>
          <w:b/>
          <w:szCs w:val="24"/>
        </w:rPr>
        <w:t>III.</w:t>
      </w:r>
      <w:r w:rsidR="005F35D3" w:rsidRPr="00D20E0D">
        <w:rPr>
          <w:rStyle w:val="Heading3Char"/>
          <w:rFonts w:ascii="Times New Roman" w:hAnsi="Times New Roman" w:cs="Times New Roman"/>
          <w:b/>
          <w:szCs w:val="24"/>
        </w:rPr>
        <w:t xml:space="preserve"> KPMG Took an Unduly Narrow Approach to Accessibility Barriers in the Education System</w:t>
      </w:r>
    </w:p>
    <w:p w:rsidR="005F35D3" w:rsidRPr="00AA4F9D" w:rsidRDefault="005F35D3" w:rsidP="00AA4F9D">
      <w:pPr>
        <w:widowControl w:val="0"/>
      </w:pPr>
    </w:p>
    <w:p w:rsidR="005F35D3" w:rsidRPr="00AA4F9D" w:rsidRDefault="005F35D3" w:rsidP="00AA4F9D">
      <w:pPr>
        <w:widowControl w:val="0"/>
      </w:pPr>
      <w:r w:rsidRPr="00AA4F9D">
        <w:t xml:space="preserve">KPMG in significant part, explicitly and implicitly treated the issue of accessibility barriers in the education system as a matter to be primarily addressed by providing individual adjustments or accommodations to individual students with disabilities. The KPMG Report emphasized the Individual Education Plan (IEP) process. Of course, this process will always have a part to play when providing education to students with disabilities in Ontario's education system. However, the core of an "accessibility" approach </w:t>
      </w:r>
      <w:r w:rsidR="00CE7A59" w:rsidRPr="00AA4F9D">
        <w:t xml:space="preserve">to education </w:t>
      </w:r>
      <w:r w:rsidRPr="00AA4F9D">
        <w:t xml:space="preserve">is to venture beyond the traditional view that we first create an entire education system for students without disabilities, and then try to figure out after the fact, how to </w:t>
      </w:r>
      <w:r w:rsidR="00CE7A59" w:rsidRPr="00AA4F9D">
        <w:t>fit students with disabilities</w:t>
      </w:r>
      <w:r w:rsidR="00AA4F9D">
        <w:t xml:space="preserve"> </w:t>
      </w:r>
      <w:r w:rsidR="00CE7A59" w:rsidRPr="00AA4F9D">
        <w:t xml:space="preserve">into that system, by </w:t>
      </w:r>
      <w:r w:rsidRPr="00AA4F9D">
        <w:t>mak</w:t>
      </w:r>
      <w:r w:rsidR="00CE7A59" w:rsidRPr="00AA4F9D">
        <w:t>ing</w:t>
      </w:r>
      <w:r w:rsidRPr="00AA4F9D">
        <w:t xml:space="preserve"> one-off accommodations for individual students with disabilities. That </w:t>
      </w:r>
      <w:r w:rsidR="00CE7A59" w:rsidRPr="00AA4F9D">
        <w:t xml:space="preserve">wrongheaded </w:t>
      </w:r>
      <w:r w:rsidRPr="00AA4F9D">
        <w:t xml:space="preserve">approach requires educational institutions to repeatedly try to squeeze students with disabilities into buildings and programs that were designed as if they were not to take part in them on a basis of equality and full inclusion. </w:t>
      </w:r>
    </w:p>
    <w:p w:rsidR="005F35D3" w:rsidRPr="00AA4F9D" w:rsidRDefault="005F35D3" w:rsidP="00AA4F9D">
      <w:pPr>
        <w:widowControl w:val="0"/>
      </w:pPr>
    </w:p>
    <w:p w:rsidR="005F35D3" w:rsidRPr="00AA4F9D" w:rsidRDefault="005F35D3" w:rsidP="00AA4F9D">
      <w:pPr>
        <w:widowControl w:val="0"/>
      </w:pPr>
      <w:r w:rsidRPr="00AA4F9D">
        <w:t xml:space="preserve">An AODA-based accessibility approach looks to how to find, eliminate, and prevent recurring accessibility barriers against students with disabilities, so that it is easier for them to "fit into" the mainstream education system on a footing of equality and full inclusion. This would reduce the </w:t>
      </w:r>
      <w:r w:rsidRPr="00AA4F9D">
        <w:lastRenderedPageBreak/>
        <w:t>cost of and number of individual accommodations that students with disabilities will need.</w:t>
      </w:r>
    </w:p>
    <w:p w:rsidR="005F35D3" w:rsidRPr="00AA4F9D" w:rsidRDefault="005F35D3" w:rsidP="00AA4F9D">
      <w:pPr>
        <w:widowControl w:val="0"/>
      </w:pPr>
    </w:p>
    <w:p w:rsidR="005F35D3" w:rsidRPr="00AA4F9D" w:rsidRDefault="005F35D3" w:rsidP="00AA4F9D">
      <w:pPr>
        <w:widowControl w:val="0"/>
      </w:pPr>
      <w:r w:rsidRPr="00AA4F9D">
        <w:t xml:space="preserve">By </w:t>
      </w:r>
      <w:r w:rsidR="00CE7A59" w:rsidRPr="00AA4F9D">
        <w:t xml:space="preserve">KPMG </w:t>
      </w:r>
      <w:r w:rsidRPr="00AA4F9D">
        <w:t xml:space="preserve">focusing so much on one-off accommodation of individual students with disabilities, the Report fails to effectively tackle the extent of accessibility barriers in Ontario's education system. </w:t>
      </w:r>
      <w:r w:rsidR="000F69E7" w:rsidRPr="00AA4F9D">
        <w:t xml:space="preserve">This is not to say </w:t>
      </w:r>
      <w:r w:rsidRPr="00AA4F9D">
        <w:t xml:space="preserve">that KPMG only looked at the process of individual accommodation. However, the Report's substantial focus on that topic misses the </w:t>
      </w:r>
      <w:r w:rsidR="000F69E7" w:rsidRPr="00AA4F9D">
        <w:t xml:space="preserve">centrality of </w:t>
      </w:r>
      <w:r w:rsidRPr="00AA4F9D">
        <w:t xml:space="preserve">accessibility and barrier-removal and prevention. </w:t>
      </w:r>
    </w:p>
    <w:p w:rsidR="005F35D3" w:rsidRPr="00AA4F9D" w:rsidRDefault="005F35D3" w:rsidP="00AA4F9D">
      <w:pPr>
        <w:widowControl w:val="0"/>
      </w:pPr>
    </w:p>
    <w:p w:rsidR="005F35D3" w:rsidRPr="00AA4F9D" w:rsidRDefault="005F35D3" w:rsidP="00AA4F9D">
      <w:pPr>
        <w:widowControl w:val="0"/>
      </w:pPr>
      <w:r w:rsidRPr="00AA4F9D">
        <w:t xml:space="preserve">Put another way, using AODA principles, an Education Accessibility Standard would aim to ensure that schools, colleges, and universities become fully accessible. To the extent that Ontario's education system </w:t>
      </w:r>
      <w:r w:rsidR="002A2ECC" w:rsidRPr="00AA4F9D">
        <w:t xml:space="preserve">now </w:t>
      </w:r>
      <w:r w:rsidRPr="00AA4F9D">
        <w:t xml:space="preserve">addresses these issues by setting up procedures for students with disabilities to receive individual one-off accommodations, it </w:t>
      </w:r>
      <w:r w:rsidR="000F69E7" w:rsidRPr="00AA4F9D">
        <w:t xml:space="preserve">now </w:t>
      </w:r>
      <w:r w:rsidRPr="00AA4F9D">
        <w:t>perpetuates and leaves in place recurring accessibility barriers, by failing to address them in a systematic way.</w:t>
      </w:r>
      <w:r w:rsidR="002A2ECC" w:rsidRPr="00AA4F9D">
        <w:t xml:space="preserve"> It also establishes grossly insufficient avenues for students with disabilities</w:t>
      </w:r>
      <w:r w:rsidR="00AA4F9D">
        <w:t xml:space="preserve"> </w:t>
      </w:r>
      <w:r w:rsidR="002A2ECC" w:rsidRPr="00AA4F9D">
        <w:t>and their families to try to get effective one-off individual accommodations.</w:t>
      </w:r>
      <w:r w:rsidR="00AA4F9D">
        <w:t xml:space="preserve"> </w:t>
      </w:r>
    </w:p>
    <w:p w:rsidR="005F35D3" w:rsidRPr="00AA4F9D" w:rsidRDefault="005F35D3" w:rsidP="00AA4F9D">
      <w:pPr>
        <w:widowControl w:val="0"/>
      </w:pPr>
    </w:p>
    <w:p w:rsidR="005F35D3" w:rsidRPr="00AA4F9D" w:rsidRDefault="002A2ECC"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IV.</w:t>
      </w:r>
      <w:r w:rsidR="005F35D3" w:rsidRPr="00AA4F9D">
        <w:rPr>
          <w:rFonts w:ascii="Times New Roman" w:hAnsi="Times New Roman" w:cs="Times New Roman"/>
          <w:sz w:val="24"/>
          <w:szCs w:val="24"/>
        </w:rPr>
        <w:t xml:space="preserve"> KPMG Did Not Reach out to Obvious and Important Sources of Front-Line Knowledge About Accessibility Barriers Facing Students with Disabilities in Ontario</w:t>
      </w:r>
    </w:p>
    <w:p w:rsidR="005F35D3" w:rsidRPr="00AA4F9D" w:rsidRDefault="005F35D3" w:rsidP="00AA4F9D">
      <w:pPr>
        <w:widowControl w:val="0"/>
      </w:pPr>
      <w:r w:rsidRPr="00AA4F9D">
        <w:t xml:space="preserve"> </w:t>
      </w:r>
    </w:p>
    <w:p w:rsidR="005F35D3" w:rsidRPr="00AA4F9D" w:rsidRDefault="00061F09" w:rsidP="00AA4F9D">
      <w:pPr>
        <w:widowControl w:val="0"/>
      </w:pPr>
      <w:r w:rsidRPr="00AA4F9D">
        <w:t xml:space="preserve">The KPMG </w:t>
      </w:r>
      <w:r w:rsidR="005F35D3" w:rsidRPr="00AA4F9D">
        <w:t xml:space="preserve">Report is no replacement for the important work of a Standards Development Committee, appointed under the AODA to develop an Education Accessibility Standard. KPMG did not reach out to a wide spectrum of community organizations that work with or speak for students with disabilities and their families. </w:t>
      </w:r>
    </w:p>
    <w:p w:rsidR="005F35D3" w:rsidRPr="00AA4F9D" w:rsidRDefault="005F35D3" w:rsidP="00AA4F9D">
      <w:pPr>
        <w:widowControl w:val="0"/>
      </w:pPr>
    </w:p>
    <w:p w:rsidR="005F35D3" w:rsidRPr="00AA4F9D" w:rsidRDefault="005F35D3" w:rsidP="00AA4F9D">
      <w:pPr>
        <w:widowControl w:val="0"/>
      </w:pPr>
      <w:r w:rsidRPr="00AA4F9D">
        <w:t xml:space="preserve">For example, KPMG did not reach out or seek input from the AODA Alliance. The AODA Alliance is the broad-based community coalition that has led the campaign for over a half decade to convince the Ontario Government to develop an Education Accessibility Standard. It is especially troubling that KPMG neither reached out to the AODA Alliance, nor drew on our online resources on this issue. This is all the more unjustified since </w:t>
      </w:r>
      <w:r w:rsidR="00014EE0" w:rsidRPr="00AA4F9D">
        <w:t>the KPMG Report</w:t>
      </w:r>
      <w:r w:rsidR="00AA4F9D">
        <w:t xml:space="preserve"> </w:t>
      </w:r>
      <w:r w:rsidRPr="00AA4F9D">
        <w:t xml:space="preserve">said that its literature review on these barriers included literature from "advocacy groups." We are the </w:t>
      </w:r>
      <w:r w:rsidR="008B0302" w:rsidRPr="00AA4F9D">
        <w:t xml:space="preserve">highly-visible </w:t>
      </w:r>
      <w:r w:rsidRPr="00AA4F9D">
        <w:t>advocacy group that has led this campaign</w:t>
      </w:r>
      <w:r w:rsidR="008B0302" w:rsidRPr="00AA4F9D">
        <w:t xml:space="preserve"> for years</w:t>
      </w:r>
      <w:r w:rsidRPr="00AA4F9D">
        <w:t>.</w:t>
      </w:r>
      <w:r w:rsidR="008B0302" w:rsidRPr="00AA4F9D">
        <w:t xml:space="preserve"> All election promises by any Ontario political party on the AODA's implementation have been made over the past three provincial elections in letters to the AODA Alliance.</w:t>
      </w:r>
      <w:r w:rsidRPr="00AA4F9D">
        <w:t xml:space="preserve"> </w:t>
      </w:r>
    </w:p>
    <w:p w:rsidR="005F35D3" w:rsidRPr="00AA4F9D" w:rsidRDefault="005F35D3" w:rsidP="00AA4F9D">
      <w:pPr>
        <w:widowControl w:val="0"/>
      </w:pPr>
    </w:p>
    <w:p w:rsidR="005F35D3" w:rsidRPr="00AA4F9D" w:rsidRDefault="005F35D3" w:rsidP="00AA4F9D">
      <w:pPr>
        <w:widowControl w:val="0"/>
      </w:pPr>
      <w:r w:rsidRPr="00AA4F9D">
        <w:t xml:space="preserve">Similarly, KPMG did not say that it reached out to the Special Education Advisory Committees that operate at each publicly-funded school board across Ontario. These committees, created under Ontario law, exist to give input from students with disabilities and their families to school boards on the delivery of education to students with special education needs. They have tremendous direct experience with the recurring accessibility barriers that students with disabilities </w:t>
      </w:r>
      <w:r w:rsidR="008B0302" w:rsidRPr="00AA4F9D">
        <w:t xml:space="preserve">daily </w:t>
      </w:r>
      <w:r w:rsidRPr="00AA4F9D">
        <w:t>face in publicly-funded schools in Ontario.</w:t>
      </w:r>
    </w:p>
    <w:p w:rsidR="005F35D3" w:rsidRPr="00AA4F9D" w:rsidRDefault="005F35D3" w:rsidP="00AA4F9D">
      <w:pPr>
        <w:widowControl w:val="0"/>
      </w:pPr>
    </w:p>
    <w:p w:rsidR="005F35D3" w:rsidRPr="00AA4F9D" w:rsidRDefault="005F35D3" w:rsidP="00AA4F9D">
      <w:pPr>
        <w:widowControl w:val="0"/>
      </w:pPr>
      <w:r w:rsidRPr="00AA4F9D">
        <w:t xml:space="preserve">As such, the KPMG Report lacks the vital informed input from many of those who know the most about the accessibility barriers that face students with special education needs. </w:t>
      </w:r>
    </w:p>
    <w:p w:rsidR="005F35D3" w:rsidRPr="00AA4F9D" w:rsidRDefault="005F35D3" w:rsidP="00AA4F9D">
      <w:pPr>
        <w:widowControl w:val="0"/>
      </w:pPr>
    </w:p>
    <w:p w:rsidR="005F35D3" w:rsidRPr="00AA4F9D" w:rsidRDefault="00D20E0D" w:rsidP="00AA4F9D">
      <w:pPr>
        <w:pStyle w:val="Heading2"/>
        <w:keepNext w:val="0"/>
        <w:keepLines w:val="0"/>
        <w:widowControl w:val="0"/>
        <w:spacing w:before="0"/>
        <w:rPr>
          <w:rFonts w:ascii="Times New Roman" w:hAnsi="Times New Roman" w:cs="Times New Roman"/>
          <w:sz w:val="24"/>
          <w:szCs w:val="24"/>
        </w:rPr>
      </w:pPr>
      <w:r>
        <w:rPr>
          <w:rFonts w:ascii="Times New Roman" w:hAnsi="Times New Roman" w:cs="Times New Roman"/>
          <w:sz w:val="24"/>
          <w:szCs w:val="24"/>
        </w:rPr>
        <w:t>V.</w:t>
      </w:r>
      <w:r w:rsidR="005F35D3" w:rsidRPr="00AA4F9D">
        <w:rPr>
          <w:rFonts w:ascii="Times New Roman" w:hAnsi="Times New Roman" w:cs="Times New Roman"/>
          <w:sz w:val="24"/>
          <w:szCs w:val="24"/>
        </w:rPr>
        <w:t xml:space="preserve"> KPMG Did Not Critically Assess the Information It Gathered on the Internet </w:t>
      </w:r>
    </w:p>
    <w:p w:rsidR="005F35D3" w:rsidRPr="00AA4F9D" w:rsidRDefault="005F35D3" w:rsidP="00AA4F9D">
      <w:pPr>
        <w:widowControl w:val="0"/>
      </w:pPr>
    </w:p>
    <w:p w:rsidR="005F35D3" w:rsidRPr="00AA4F9D" w:rsidRDefault="005F35D3" w:rsidP="00AA4F9D">
      <w:pPr>
        <w:widowControl w:val="0"/>
      </w:pPr>
      <w:r w:rsidRPr="00AA4F9D">
        <w:lastRenderedPageBreak/>
        <w:t xml:space="preserve">The KPMG Report appears to have merely collected </w:t>
      </w:r>
      <w:r w:rsidR="00BB7CAE" w:rsidRPr="00AA4F9D">
        <w:t xml:space="preserve">and assembled </w:t>
      </w:r>
      <w:r w:rsidRPr="00AA4F9D">
        <w:t>information which governments and other organizations posted online. KPMG did not say it made any effort to verify that information. To the contrary, its disclaimer makes it clear that the public should not rely on its contents as authoritative.</w:t>
      </w:r>
      <w:r w:rsidR="00BB7CAE" w:rsidRPr="00AA4F9D">
        <w:t xml:space="preserve"> </w:t>
      </w:r>
      <w:r w:rsidRPr="00AA4F9D">
        <w:t>The Report describes what jurisdictions say they do, and what some official reports say about this.</w:t>
      </w:r>
      <w:r w:rsidR="00BB7CAE" w:rsidRPr="00AA4F9D">
        <w:t xml:space="preserve"> </w:t>
      </w:r>
    </w:p>
    <w:p w:rsidR="005F35D3" w:rsidRPr="00AA4F9D" w:rsidRDefault="005F35D3" w:rsidP="00AA4F9D">
      <w:pPr>
        <w:widowControl w:val="0"/>
      </w:pPr>
    </w:p>
    <w:p w:rsidR="005F35D3" w:rsidRPr="00AA4F9D" w:rsidRDefault="005F35D3" w:rsidP="00AA4F9D">
      <w:pPr>
        <w:widowControl w:val="0"/>
      </w:pPr>
      <w:r w:rsidRPr="00AA4F9D">
        <w:t>As an illustration of the limited value of such a superficial investigation as is done by internet searches alone, the KPMG Report includes, among other things, an example of adaptive technology that is years out of date, without any indication that KPMG was aware of this. For example, in its review of measures in the Northwest Territories, it lists, among other adaptive technology, the Victor Reader Vibe. That product has not been on the market for several years. It has been superseded by far more recent technology. To cite it is akin to citing the cassette tape recorder as current technology. The Report states:</w:t>
      </w:r>
    </w:p>
    <w:p w:rsidR="005F35D3" w:rsidRPr="00AA4F9D" w:rsidRDefault="005F35D3" w:rsidP="00AA4F9D">
      <w:pPr>
        <w:widowControl w:val="0"/>
      </w:pPr>
    </w:p>
    <w:p w:rsidR="005F35D3" w:rsidRPr="00AA4F9D" w:rsidRDefault="005F35D3" w:rsidP="00AA4F9D">
      <w:pPr>
        <w:widowControl w:val="0"/>
        <w:ind w:left="720" w:right="720"/>
      </w:pPr>
      <w:r w:rsidRPr="00AA4F9D">
        <w:t>"The Victor Reader Vibe is a small digital talking book player that is designed for people who are visually impaired or who have difficulty reading print. The VIBE can be used for school, work, or leisure. It can be used as a digital talking book player as well as an audio and MP3 CD player. It allows students to read highly structured digital books such as school manuals and reference books as well as novels and magazines" (at 129).</w:t>
      </w:r>
    </w:p>
    <w:p w:rsidR="005F35D3" w:rsidRPr="00AA4F9D" w:rsidRDefault="005F35D3" w:rsidP="00AA4F9D">
      <w:pPr>
        <w:widowControl w:val="0"/>
      </w:pPr>
    </w:p>
    <w:p w:rsidR="005F35D3" w:rsidRPr="00AA4F9D" w:rsidRDefault="00BB7CAE" w:rsidP="00AA4F9D">
      <w:pPr>
        <w:widowControl w:val="0"/>
      </w:pPr>
      <w:r w:rsidRPr="00AA4F9D">
        <w:t xml:space="preserve">The KPMG Report includes very little effort to document </w:t>
      </w:r>
      <w:r w:rsidR="005F35D3" w:rsidRPr="00AA4F9D">
        <w:t>the actual degree of accessibility to and full inclusion in education students with disabilities actually experience in Ontario. The AODA's aim is to achieve actual accessibility and inclusion for people with disabilities, not just policies or proclamations on accessibility.</w:t>
      </w:r>
      <w:r w:rsidRPr="00AA4F9D">
        <w:t xml:space="preserve"> In fairness, KPMG did refer to some reports, such as the Ontario Human Rights Commission's 2003 report, that take an outside look at how an education system is doing at serving students with disabilities.</w:t>
      </w:r>
      <w:r w:rsidR="00AA4F9D">
        <w:t xml:space="preserve"> </w:t>
      </w:r>
    </w:p>
    <w:p w:rsidR="005F35D3" w:rsidRPr="00AA4F9D" w:rsidRDefault="005F35D3" w:rsidP="00AA4F9D">
      <w:pPr>
        <w:widowControl w:val="0"/>
      </w:pPr>
    </w:p>
    <w:p w:rsidR="005F35D3" w:rsidRPr="00AA4F9D" w:rsidRDefault="005F35D3" w:rsidP="00AA4F9D">
      <w:pPr>
        <w:widowControl w:val="0"/>
      </w:pPr>
      <w:r w:rsidRPr="00AA4F9D">
        <w:t>Much if not most of the Report views this issue through the eyes of governments and education providers. Little of the Report views the education system through the perspective of students with disabilities. This all shows why it is far better to talk to students with disabilities and their families about the accessibility barriers they face in the education system than to merely surf the internet.</w:t>
      </w:r>
    </w:p>
    <w:p w:rsidR="005F35D3" w:rsidRPr="00AA4F9D" w:rsidRDefault="005F35D3" w:rsidP="00AA4F9D">
      <w:pPr>
        <w:widowControl w:val="0"/>
      </w:pPr>
    </w:p>
    <w:p w:rsidR="005F35D3" w:rsidRPr="00AA4F9D" w:rsidRDefault="00BB7CAE"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VI.</w:t>
      </w:r>
      <w:r w:rsidR="005F35D3" w:rsidRPr="00AA4F9D">
        <w:rPr>
          <w:rFonts w:ascii="Times New Roman" w:hAnsi="Times New Roman" w:cs="Times New Roman"/>
          <w:sz w:val="24"/>
          <w:szCs w:val="24"/>
        </w:rPr>
        <w:t xml:space="preserve"> KPMG Appears to Have Looked Only Superficially at the Content of Laws in Other Jurisdictions </w:t>
      </w:r>
    </w:p>
    <w:p w:rsidR="005F35D3" w:rsidRPr="00AA4F9D" w:rsidRDefault="005F35D3" w:rsidP="00AA4F9D">
      <w:pPr>
        <w:widowControl w:val="0"/>
      </w:pPr>
    </w:p>
    <w:p w:rsidR="005F35D3" w:rsidRPr="00AA4F9D" w:rsidRDefault="005F35D3" w:rsidP="00AA4F9D">
      <w:pPr>
        <w:widowControl w:val="0"/>
      </w:pPr>
      <w:r w:rsidRPr="00AA4F9D">
        <w:t>The KPMG review of laws in different jurisdictions seems superficial and general. It does not appear to compare in detail the content of education regulations.</w:t>
      </w:r>
    </w:p>
    <w:p w:rsidR="009807A2" w:rsidRPr="00AA4F9D" w:rsidRDefault="009807A2" w:rsidP="00AA4F9D">
      <w:pPr>
        <w:widowControl w:val="0"/>
      </w:pPr>
    </w:p>
    <w:p w:rsidR="00E00E29" w:rsidRPr="00AA4F9D" w:rsidRDefault="00E00E29" w:rsidP="00AA4F9D">
      <w:pPr>
        <w:pStyle w:val="Heading1"/>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 xml:space="preserve">Chapter 5. The Report's Bottom-line Conclusion that Ontario Is as Good or Better Than Other Jurisdictions Examined Is Incorrect, Contradicted by the Report's Contents, and Ultimately Irrelevant </w:t>
      </w:r>
    </w:p>
    <w:p w:rsidR="00E00E29" w:rsidRPr="00AA4F9D" w:rsidRDefault="00E00E29" w:rsidP="00AA4F9D">
      <w:pPr>
        <w:widowControl w:val="0"/>
      </w:pPr>
    </w:p>
    <w:p w:rsidR="00CF45C4" w:rsidRPr="00AA4F9D" w:rsidRDefault="00CF45C4"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I. General</w:t>
      </w:r>
    </w:p>
    <w:p w:rsidR="00CF45C4" w:rsidRPr="00AA4F9D" w:rsidRDefault="00CF45C4" w:rsidP="00AA4F9D">
      <w:pPr>
        <w:widowControl w:val="0"/>
      </w:pPr>
    </w:p>
    <w:p w:rsidR="00E00E29" w:rsidRPr="00AA4F9D" w:rsidRDefault="00CF45C4" w:rsidP="00AA4F9D">
      <w:pPr>
        <w:widowControl w:val="0"/>
      </w:pPr>
      <w:r w:rsidRPr="00AA4F9D">
        <w:lastRenderedPageBreak/>
        <w:t>This chapter shows that n</w:t>
      </w:r>
      <w:r w:rsidR="00E00E29" w:rsidRPr="00AA4F9D">
        <w:t>o one should rely on the KPMG Report's bottom-line conclusion that Ontario is as good as or better than other jurisdictions that KPMG studied for ensuring accessibility of its education system for students with disabilities. This conclusion is incorrect. It is contradicted by several parts of the Report.</w:t>
      </w:r>
      <w:r w:rsidRPr="00AA4F9D">
        <w:t xml:space="preserve"> It is irrelevant to the question whether Ontario needs to develop an AODA Education Accessibility Standard.</w:t>
      </w:r>
      <w:r w:rsidR="00AA4F9D">
        <w:t xml:space="preserve"> </w:t>
      </w:r>
    </w:p>
    <w:p w:rsidR="00E00E29" w:rsidRPr="00AA4F9D" w:rsidRDefault="00E00E29" w:rsidP="00AA4F9D">
      <w:pPr>
        <w:widowControl w:val="0"/>
      </w:pPr>
      <w:r w:rsidRPr="00AA4F9D">
        <w:t xml:space="preserve"> </w:t>
      </w:r>
    </w:p>
    <w:p w:rsidR="00E00E29" w:rsidRPr="00D20E0D" w:rsidRDefault="00CF45C4" w:rsidP="00AA4F9D">
      <w:pPr>
        <w:widowControl w:val="0"/>
        <w:rPr>
          <w:b/>
        </w:rPr>
      </w:pPr>
      <w:r w:rsidRPr="00D20E0D">
        <w:rPr>
          <w:b/>
        </w:rPr>
        <w:t>II.</w:t>
      </w:r>
      <w:r w:rsidR="00E00E29" w:rsidRPr="00D20E0D">
        <w:rPr>
          <w:b/>
        </w:rPr>
        <w:t xml:space="preserve"> KPMG Expressed Its Bottom-Line Conclusion in Contradictory Ways </w:t>
      </w:r>
    </w:p>
    <w:p w:rsidR="00E00E29" w:rsidRPr="00AA4F9D" w:rsidRDefault="00E00E29" w:rsidP="00AA4F9D">
      <w:pPr>
        <w:widowControl w:val="0"/>
      </w:pPr>
    </w:p>
    <w:p w:rsidR="00E00E29" w:rsidRPr="00AA4F9D" w:rsidRDefault="00E00E29" w:rsidP="00AA4F9D">
      <w:pPr>
        <w:widowControl w:val="0"/>
      </w:pPr>
      <w:r w:rsidRPr="00AA4F9D">
        <w:t xml:space="preserve">The KPMG Report made inconsistent statements about its bottom-line conclusion. At some points, it said Ontario is at least as good as, if not better than, all other jurisdictions it examined. At other points, it says Ontario is as good as or better than most other jurisdictions studied. Elsewhere it acknowledges that other jurisdictions have in place measures that Ontario should consider adopting. That implies that Ontario is not necessarily as good as all other jurisdictions </w:t>
      </w:r>
      <w:r w:rsidR="005E51EA" w:rsidRPr="00AA4F9D">
        <w:t xml:space="preserve">KPMG </w:t>
      </w:r>
      <w:r w:rsidRPr="00AA4F9D">
        <w:t xml:space="preserve">studied. </w:t>
      </w:r>
    </w:p>
    <w:p w:rsidR="00E00E29" w:rsidRPr="00AA4F9D" w:rsidRDefault="00E00E29" w:rsidP="00AA4F9D">
      <w:pPr>
        <w:widowControl w:val="0"/>
      </w:pPr>
      <w:r w:rsidRPr="00AA4F9D">
        <w:t xml:space="preserve"> </w:t>
      </w:r>
    </w:p>
    <w:p w:rsidR="00E00E29" w:rsidRPr="00AA4F9D" w:rsidRDefault="00E00E29" w:rsidP="00AA4F9D">
      <w:pPr>
        <w:widowControl w:val="0"/>
      </w:pPr>
      <w:r w:rsidRPr="00AA4F9D">
        <w:t>The Report's concluding section includes:</w:t>
      </w:r>
    </w:p>
    <w:p w:rsidR="00E00E29" w:rsidRPr="00AA4F9D" w:rsidRDefault="00E00E29" w:rsidP="00AA4F9D">
      <w:pPr>
        <w:widowControl w:val="0"/>
      </w:pPr>
    </w:p>
    <w:p w:rsidR="00E00E29" w:rsidRPr="00AA4F9D" w:rsidRDefault="00E00E29" w:rsidP="00AA4F9D">
      <w:pPr>
        <w:widowControl w:val="0"/>
        <w:ind w:left="720" w:right="720"/>
      </w:pPr>
      <w:r w:rsidRPr="00AA4F9D">
        <w:t>"This Final Report identified regulations, policies and programs across Canadian and international jurisdictions to help make education more accessible to people with disabilities. It was evident that the jurisdictions examined inclusivity and giving students the resources to obtain high-quality educations are primary goals across jurisdictions.</w:t>
      </w:r>
    </w:p>
    <w:p w:rsidR="00E00E29" w:rsidRPr="00AA4F9D" w:rsidRDefault="00E00E29" w:rsidP="00AA4F9D">
      <w:pPr>
        <w:widowControl w:val="0"/>
        <w:ind w:left="720" w:right="720"/>
      </w:pPr>
      <w:bookmarkStart w:id="21" w:name="OLE_LINK5"/>
    </w:p>
    <w:p w:rsidR="00E00E29" w:rsidRPr="00AA4F9D" w:rsidRDefault="00E00E29" w:rsidP="00AA4F9D">
      <w:pPr>
        <w:widowControl w:val="0"/>
        <w:ind w:left="720" w:right="720"/>
      </w:pPr>
      <w:r w:rsidRPr="00AA4F9D">
        <w:t xml:space="preserve">Overall, Ontario appears to be comparable or better than most other jurisdictions examined in helping to make education more accessible to persons with disabilities. Ontario has robust regulations in place to protect against discrimination in education. </w:t>
      </w:r>
      <w:bookmarkEnd w:id="21"/>
      <w:r w:rsidRPr="00AA4F9D">
        <w:t xml:space="preserve">Ontario was also comparable to other jurisdictions in the use of Individualized Education Plans and transition planning procedures. These policies are common practice across jurisdictions. </w:t>
      </w:r>
      <w:bookmarkStart w:id="22" w:name="OLE_LINK9"/>
      <w:r w:rsidRPr="00AA4F9D">
        <w:t xml:space="preserve">Furthermore, Ontario appears to be a leading jurisdiction in offering loans and grant supports to students with disabilities seeking post-secondary education. </w:t>
      </w:r>
      <w:bookmarkEnd w:id="22"/>
      <w:r w:rsidRPr="00AA4F9D">
        <w:t>This report shows that Ontario is on par with other jurisdictions in providing accessible education.</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All jurisdictions examined had programs in place for improving accessibility in the education sector. Select jurisdictions had unique policies and/or strategies in place that Ontario may wish to consider. A number of programs and services geared toward improving the outcomes of accessibility goals were found to be especially noteworthy and relevant to the Ontario context. Jurisdictions like New Zealand are leading the way to achieving greater accessibility and inclusiveness in schools, tacking some of the barriers that were found across jurisdictions. In general, it appeared that gaps often remain between policies and what actually happens in practice" (at 56).</w:t>
      </w:r>
    </w:p>
    <w:p w:rsidR="00E00E29" w:rsidRPr="00AA4F9D" w:rsidRDefault="00E00E29" w:rsidP="00AA4F9D">
      <w:pPr>
        <w:widowControl w:val="0"/>
      </w:pPr>
    </w:p>
    <w:p w:rsidR="00E00E29" w:rsidRPr="00AA4F9D" w:rsidRDefault="00E00E29" w:rsidP="00AA4F9D">
      <w:pPr>
        <w:widowControl w:val="0"/>
      </w:pPr>
      <w:r w:rsidRPr="00AA4F9D">
        <w:t xml:space="preserve">Looking closely at the preceding passage, at one point the Report states simply that Ontario is on par with other jurisdictions. It did not </w:t>
      </w:r>
      <w:proofErr w:type="gramStart"/>
      <w:r w:rsidRPr="00AA4F9D">
        <w:t>there</w:t>
      </w:r>
      <w:proofErr w:type="gramEnd"/>
      <w:r w:rsidRPr="00AA4F9D">
        <w:t xml:space="preserve"> state or imply that Ontario is better than any others:</w:t>
      </w:r>
    </w:p>
    <w:p w:rsidR="00E00E29" w:rsidRPr="00AA4F9D" w:rsidRDefault="00E00E29" w:rsidP="00AA4F9D">
      <w:pPr>
        <w:widowControl w:val="0"/>
      </w:pPr>
    </w:p>
    <w:p w:rsidR="00E00E29" w:rsidRPr="00AA4F9D" w:rsidRDefault="00E00E29" w:rsidP="00AA4F9D">
      <w:pPr>
        <w:widowControl w:val="0"/>
        <w:ind w:left="720" w:right="720"/>
      </w:pPr>
      <w:r w:rsidRPr="00AA4F9D">
        <w:lastRenderedPageBreak/>
        <w:t>"This report shows that Ontario is on par with other jurisdictions in providing accessible education" (at 56).</w:t>
      </w:r>
    </w:p>
    <w:p w:rsidR="00E00E29" w:rsidRPr="00AA4F9D" w:rsidRDefault="00E00E29" w:rsidP="00AA4F9D">
      <w:pPr>
        <w:widowControl w:val="0"/>
      </w:pPr>
    </w:p>
    <w:p w:rsidR="00E00E29" w:rsidRPr="00AA4F9D" w:rsidRDefault="00E00E29" w:rsidP="00AA4F9D">
      <w:pPr>
        <w:widowControl w:val="0"/>
      </w:pPr>
      <w:r w:rsidRPr="00AA4F9D">
        <w:t>Elsewhere in that same passage, the Report only said that Ontario is as good as or better than "most" of the other jurisdictions studied. That implies that there are some other jurisdictions that are better than Ontario, at least in some respects. The Report states:</w:t>
      </w:r>
    </w:p>
    <w:p w:rsidR="00E00E29" w:rsidRPr="00AA4F9D" w:rsidRDefault="00E00E29" w:rsidP="00AA4F9D">
      <w:pPr>
        <w:widowControl w:val="0"/>
      </w:pPr>
    </w:p>
    <w:p w:rsidR="00E00E29" w:rsidRPr="00AA4F9D" w:rsidRDefault="00E00E29" w:rsidP="00AA4F9D">
      <w:pPr>
        <w:widowControl w:val="0"/>
        <w:ind w:left="720" w:right="720"/>
      </w:pPr>
      <w:r w:rsidRPr="00AA4F9D">
        <w:t>"Overall, Ontario appears to be comparable or better than most other jurisdictions examined in helping to make education more accessible to persons with disabilities" (at 56).</w:t>
      </w:r>
    </w:p>
    <w:p w:rsidR="00E00E29" w:rsidRPr="00AA4F9D" w:rsidRDefault="00E00E29" w:rsidP="00AA4F9D">
      <w:pPr>
        <w:widowControl w:val="0"/>
      </w:pPr>
    </w:p>
    <w:p w:rsidR="00E00E29" w:rsidRPr="00AA4F9D" w:rsidRDefault="00D81854"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III.</w:t>
      </w:r>
      <w:r w:rsidR="00E00E29" w:rsidRPr="00AA4F9D">
        <w:rPr>
          <w:rFonts w:ascii="Times New Roman" w:hAnsi="Times New Roman" w:cs="Times New Roman"/>
          <w:sz w:val="24"/>
          <w:szCs w:val="24"/>
        </w:rPr>
        <w:t xml:space="preserve"> The </w:t>
      </w:r>
      <w:r w:rsidR="00EC3AA8" w:rsidRPr="00AA4F9D">
        <w:rPr>
          <w:rFonts w:ascii="Times New Roman" w:hAnsi="Times New Roman" w:cs="Times New Roman"/>
          <w:sz w:val="24"/>
          <w:szCs w:val="24"/>
        </w:rPr>
        <w:t xml:space="preserve">KPMG </w:t>
      </w:r>
      <w:r w:rsidR="00E00E29" w:rsidRPr="00AA4F9D">
        <w:rPr>
          <w:rFonts w:ascii="Times New Roman" w:hAnsi="Times New Roman" w:cs="Times New Roman"/>
          <w:sz w:val="24"/>
          <w:szCs w:val="24"/>
        </w:rPr>
        <w:t xml:space="preserve">Report's Bottom-Line Conclusion Is Based Largely on Ontario's Approach to Individually Accommodating Students with Disabilities, not on </w:t>
      </w:r>
      <w:r w:rsidR="00EC3AA8" w:rsidRPr="00AA4F9D">
        <w:rPr>
          <w:rFonts w:ascii="Times New Roman" w:hAnsi="Times New Roman" w:cs="Times New Roman"/>
          <w:sz w:val="24"/>
          <w:szCs w:val="24"/>
        </w:rPr>
        <w:t xml:space="preserve">Comparing </w:t>
      </w:r>
      <w:r w:rsidR="00E00E29" w:rsidRPr="00AA4F9D">
        <w:rPr>
          <w:rFonts w:ascii="Times New Roman" w:hAnsi="Times New Roman" w:cs="Times New Roman"/>
          <w:sz w:val="24"/>
          <w:szCs w:val="24"/>
        </w:rPr>
        <w:t xml:space="preserve">Comprehensive Measures to Systematically Eliminate Recurring Accessibility Barriers </w:t>
      </w:r>
    </w:p>
    <w:p w:rsidR="00E00E29" w:rsidRPr="00AA4F9D" w:rsidRDefault="00E00E29" w:rsidP="00AA4F9D">
      <w:pPr>
        <w:widowControl w:val="0"/>
      </w:pPr>
    </w:p>
    <w:p w:rsidR="00E00E29" w:rsidRPr="00AA4F9D" w:rsidRDefault="00E00E29" w:rsidP="00AA4F9D">
      <w:pPr>
        <w:widowControl w:val="0"/>
      </w:pPr>
      <w:r w:rsidRPr="00AA4F9D">
        <w:t xml:space="preserve">The Report's bottom-line finding about Ontario, compared to other jurisdictions, appears to principally focus on laws and practices regarding the provision of individual accommodations to students with disabilities. With the exception of accessibility barriers in web accessibility, </w:t>
      </w:r>
      <w:r w:rsidR="00F936FD" w:rsidRPr="00AA4F9D">
        <w:t xml:space="preserve">KPMG does </w:t>
      </w:r>
      <w:r w:rsidRPr="00AA4F9D">
        <w:t xml:space="preserve">not appear to address </w:t>
      </w:r>
      <w:r w:rsidR="00F936FD" w:rsidRPr="00AA4F9D">
        <w:t xml:space="preserve">and compare systematic </w:t>
      </w:r>
      <w:r w:rsidRPr="00AA4F9D">
        <w:t xml:space="preserve">accessibility standards </w:t>
      </w:r>
      <w:r w:rsidR="00F936FD" w:rsidRPr="00AA4F9D">
        <w:t xml:space="preserve">in different jurisdictions, including Ontario, </w:t>
      </w:r>
      <w:r w:rsidRPr="00AA4F9D">
        <w:t>aimed at ensuring a barrier-free education system in which students with disabilities can fully participate. The latter is the core aim of a comprehensive legal strategy to ensure an accessible education system, like an AODA Education Accessibility Standard. The Report summarizes its findings as follows:</w:t>
      </w:r>
    </w:p>
    <w:p w:rsidR="00E00E29" w:rsidRPr="00AA4F9D" w:rsidRDefault="00E00E29" w:rsidP="00AA4F9D">
      <w:pPr>
        <w:widowControl w:val="0"/>
      </w:pPr>
    </w:p>
    <w:p w:rsidR="00E00E29" w:rsidRPr="00AA4F9D" w:rsidRDefault="00E00E29" w:rsidP="00AA4F9D">
      <w:pPr>
        <w:widowControl w:val="0"/>
        <w:ind w:left="720" w:right="720"/>
      </w:pPr>
      <w:r w:rsidRPr="00AA4F9D">
        <w:t>"Comparison to other Jurisdictions</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Overall, Ontario appears to be comparable or ahead of other jurisdictions examined as it relates to regulatory requirements and standards to help make education more accessible to persons with disabilities. Other Canadian provinces have their own Education Acts, which outline the requirements to accommodate special needs and implement Individualized Education Plans. Most other jurisdictions have regulations that require the accommodation of students with disabilities in schools, including that they attend regular classes with other students. Ontario is further comparable in offering grant and loans, in order to provide students with assistance in covering additional costs to education that their disability may bring.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There are programs in other provinces and jurisdictions, however, which do stand out. What is not clear, is how these practices play out in delivery. As will be demonstrated in the Section 4 of the report on barriers to accessibility, although there are regulations and policies in place in Ontario and its peer jurisdictions, these standards are not always delivered as intended. There are reports of schools receiving insufficient funding for accommodating special needs, poor transition planning, and a lack of feeling welcome at school. Despite regulations and policies in place to ensure high standards of accommodation in education, there are reported gaps in ensuring the delivery of these standards are at the level </w:t>
      </w:r>
      <w:r w:rsidRPr="00AA4F9D">
        <w:lastRenderedPageBreak/>
        <w:t xml:space="preserve">intended.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Regulatory Requirements and Standards</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As it relates to regulations and standards, two key themes have been identified when comparing Ontario to other jurisdictions. These are school attendance and web accessibility" (at 31).</w:t>
      </w:r>
    </w:p>
    <w:p w:rsidR="00E00E29" w:rsidRPr="00AA4F9D" w:rsidRDefault="00E00E29" w:rsidP="00AA4F9D">
      <w:pPr>
        <w:widowControl w:val="0"/>
      </w:pPr>
    </w:p>
    <w:p w:rsidR="00E00E29" w:rsidRPr="00AA4F9D" w:rsidRDefault="003F5487"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IV.</w:t>
      </w:r>
      <w:r w:rsidR="00E00E29" w:rsidRPr="00AA4F9D">
        <w:rPr>
          <w:rFonts w:ascii="Times New Roman" w:hAnsi="Times New Roman" w:cs="Times New Roman"/>
          <w:sz w:val="24"/>
          <w:szCs w:val="24"/>
        </w:rPr>
        <w:t xml:space="preserve"> The Report's Bottom-Line Conclusion About Ontario Compared to Other Jurisdictions Failed to Take into Account Areas Where Ontario Lags Behind Other Jurisdictions </w:t>
      </w:r>
    </w:p>
    <w:p w:rsidR="00E00E29" w:rsidRPr="00AA4F9D" w:rsidRDefault="00E00E29" w:rsidP="00AA4F9D">
      <w:pPr>
        <w:widowControl w:val="0"/>
      </w:pPr>
    </w:p>
    <w:p w:rsidR="00E00E29" w:rsidRPr="00AA4F9D" w:rsidRDefault="003F5487" w:rsidP="00AA4F9D">
      <w:pPr>
        <w:pStyle w:val="Heading3"/>
        <w:keepNext w:val="0"/>
        <w:keepLines w:val="0"/>
        <w:widowControl w:val="0"/>
        <w:spacing w:before="0"/>
        <w:rPr>
          <w:rFonts w:ascii="Times New Roman" w:hAnsi="Times New Roman" w:cs="Times New Roman"/>
        </w:rPr>
      </w:pPr>
      <w:r w:rsidRPr="00AA4F9D">
        <w:rPr>
          <w:rFonts w:ascii="Times New Roman" w:hAnsi="Times New Roman" w:cs="Times New Roman"/>
        </w:rPr>
        <w:t>1.</w:t>
      </w:r>
      <w:r w:rsidR="00E00E29" w:rsidRPr="00AA4F9D">
        <w:rPr>
          <w:rFonts w:ascii="Times New Roman" w:hAnsi="Times New Roman" w:cs="Times New Roman"/>
        </w:rPr>
        <w:t xml:space="preserve"> General</w:t>
      </w:r>
    </w:p>
    <w:p w:rsidR="00E00E29" w:rsidRPr="00AA4F9D" w:rsidRDefault="00E00E29" w:rsidP="00AA4F9D">
      <w:pPr>
        <w:widowControl w:val="0"/>
      </w:pPr>
    </w:p>
    <w:p w:rsidR="00187D67" w:rsidRPr="00AA4F9D" w:rsidRDefault="008776B8" w:rsidP="00AA4F9D">
      <w:pPr>
        <w:widowControl w:val="0"/>
      </w:pPr>
      <w:r w:rsidRPr="00AA4F9D">
        <w:t>As Chapter 3 of this Analysis shows</w:t>
      </w:r>
      <w:r w:rsidR="006032C6" w:rsidRPr="00AA4F9D">
        <w:t>, and as further examples reinforce</w:t>
      </w:r>
      <w:r w:rsidRPr="00AA4F9D">
        <w:t>, t</w:t>
      </w:r>
      <w:r w:rsidR="00E00E29" w:rsidRPr="00AA4F9D">
        <w:t xml:space="preserve">here are several </w:t>
      </w:r>
      <w:r w:rsidR="00DB1F7E" w:rsidRPr="00AA4F9D">
        <w:t xml:space="preserve">important </w:t>
      </w:r>
      <w:r w:rsidR="00E00E29" w:rsidRPr="00AA4F9D">
        <w:t xml:space="preserve">areas where Ontario lags behind other jurisdictions on </w:t>
      </w:r>
      <w:r w:rsidR="00DB1F7E" w:rsidRPr="00AA4F9D">
        <w:t xml:space="preserve">ensuring </w:t>
      </w:r>
      <w:r w:rsidR="00E00E29" w:rsidRPr="00AA4F9D">
        <w:t>accessibility in its education system</w:t>
      </w:r>
      <w:r w:rsidR="00DB1F7E" w:rsidRPr="00AA4F9D">
        <w:t xml:space="preserve"> for students with disabilities.</w:t>
      </w:r>
      <w:r w:rsidR="00E00E29" w:rsidRPr="00AA4F9D">
        <w:t xml:space="preserve"> These contradict KPMG's conclusion that Ontario is as good as or better than the other jurisdictions studied vis </w:t>
      </w:r>
      <w:proofErr w:type="gramStart"/>
      <w:r w:rsidR="00E00E29" w:rsidRPr="00AA4F9D">
        <w:t>a vis</w:t>
      </w:r>
      <w:proofErr w:type="gramEnd"/>
      <w:r w:rsidR="00E00E29" w:rsidRPr="00AA4F9D">
        <w:t xml:space="preserve"> promoting accessibility in </w:t>
      </w:r>
      <w:r w:rsidR="00613778" w:rsidRPr="00AA4F9D">
        <w:t>education. Here</w:t>
      </w:r>
      <w:r w:rsidR="00E00E29" w:rsidRPr="00AA4F9D">
        <w:t xml:space="preserve"> are compelling examples.</w:t>
      </w:r>
      <w:r w:rsidR="00187D67" w:rsidRPr="00AA4F9D">
        <w:t xml:space="preserve"> Taken individually or in combination, </w:t>
      </w:r>
      <w:r w:rsidR="00F15680" w:rsidRPr="00AA4F9D">
        <w:t xml:space="preserve">these </w:t>
      </w:r>
      <w:r w:rsidR="00187D67" w:rsidRPr="00AA4F9D">
        <w:t xml:space="preserve">examples show that the KPMG </w:t>
      </w:r>
      <w:r w:rsidR="00F15680" w:rsidRPr="00AA4F9D">
        <w:t xml:space="preserve">Report </w:t>
      </w:r>
      <w:r w:rsidR="00187D67" w:rsidRPr="00AA4F9D">
        <w:t>is drastically erroneous where it concludes:</w:t>
      </w:r>
    </w:p>
    <w:p w:rsidR="00187D67" w:rsidRPr="00AA4F9D" w:rsidRDefault="00187D67" w:rsidP="00AA4F9D">
      <w:pPr>
        <w:widowControl w:val="0"/>
      </w:pPr>
    </w:p>
    <w:p w:rsidR="00187D67" w:rsidRPr="00AA4F9D" w:rsidRDefault="00187D67" w:rsidP="00AA4F9D">
      <w:pPr>
        <w:widowControl w:val="0"/>
        <w:ind w:left="720" w:right="720"/>
      </w:pPr>
      <w:r w:rsidRPr="00AA4F9D">
        <w:t>"Compared to other jurisdictions, Ontario seems to be on par or better than other jurisdictions examined, as it relates to regulatory requirements and standards to help make education more accessible to persons with disabilities. Most of the other jurisdictions in this review have similar regulations to Ontario, requiring the accommodation of students with disabilities that allow them to attend mainstream schools and classes. Ontario further appears to be among the leading jurisdictions in providing policies and strategic initiatives to help make education more accessible to persons with disabilities. Similar to Ontario, other jurisdictions have accessibility plans, disability strategies, action plans, and equal access policies in place. Furthermore, Ontario offers comparable grants and loans to those offered throughout Canada. Some other jurisdictions offer interesting allowance programs, which are detailed in the body of this report" (at 3).</w:t>
      </w:r>
    </w:p>
    <w:p w:rsidR="00E00E29" w:rsidRPr="00AA4F9D" w:rsidRDefault="00E00E29" w:rsidP="00AA4F9D">
      <w:pPr>
        <w:widowControl w:val="0"/>
      </w:pPr>
      <w:r w:rsidRPr="00AA4F9D">
        <w:t xml:space="preserve"> </w:t>
      </w:r>
    </w:p>
    <w:p w:rsidR="00E00E29" w:rsidRPr="00AA4F9D" w:rsidRDefault="001410B9" w:rsidP="00AA4F9D">
      <w:pPr>
        <w:pStyle w:val="Heading3"/>
        <w:keepNext w:val="0"/>
        <w:keepLines w:val="0"/>
        <w:widowControl w:val="0"/>
        <w:spacing w:before="0"/>
        <w:rPr>
          <w:rFonts w:ascii="Times New Roman" w:hAnsi="Times New Roman" w:cs="Times New Roman"/>
        </w:rPr>
      </w:pPr>
      <w:r w:rsidRPr="00AA4F9D">
        <w:rPr>
          <w:rFonts w:ascii="Times New Roman" w:hAnsi="Times New Roman" w:cs="Times New Roman"/>
        </w:rPr>
        <w:t>2</w:t>
      </w:r>
      <w:r w:rsidR="00D937F5" w:rsidRPr="00AA4F9D">
        <w:rPr>
          <w:rFonts w:ascii="Times New Roman" w:hAnsi="Times New Roman" w:cs="Times New Roman"/>
        </w:rPr>
        <w:t>.</w:t>
      </w:r>
      <w:r w:rsidR="00E00E29" w:rsidRPr="00AA4F9D">
        <w:rPr>
          <w:rFonts w:ascii="Times New Roman" w:hAnsi="Times New Roman" w:cs="Times New Roman"/>
        </w:rPr>
        <w:t xml:space="preserve"> Due Process for Students with Disabilities and Their Families When </w:t>
      </w:r>
      <w:r w:rsidR="00D20E0D">
        <w:rPr>
          <w:rFonts w:ascii="Times New Roman" w:hAnsi="Times New Roman" w:cs="Times New Roman"/>
        </w:rPr>
        <w:t>S</w:t>
      </w:r>
      <w:r w:rsidR="00E00E29" w:rsidRPr="00AA4F9D">
        <w:rPr>
          <w:rFonts w:ascii="Times New Roman" w:hAnsi="Times New Roman" w:cs="Times New Roman"/>
        </w:rPr>
        <w:t>eeking Individual Accommodations</w:t>
      </w:r>
    </w:p>
    <w:p w:rsidR="00E00E29" w:rsidRPr="00AA4F9D" w:rsidRDefault="00E00E29" w:rsidP="00AA4F9D">
      <w:pPr>
        <w:widowControl w:val="0"/>
      </w:pPr>
    </w:p>
    <w:p w:rsidR="00E00E29" w:rsidRPr="00AA4F9D" w:rsidRDefault="00E00E29" w:rsidP="00AA4F9D">
      <w:pPr>
        <w:widowControl w:val="0"/>
      </w:pPr>
      <w:bookmarkStart w:id="23" w:name="OLE_LINK40"/>
      <w:bookmarkStart w:id="24" w:name="OLE_LINK39"/>
      <w:r w:rsidRPr="00AA4F9D">
        <w:t xml:space="preserve">The Report's bottom-line conclusion is contradicted by the fact that in the very area on which KPMG placed so much emphasis, the creation of one-off individual accommodations for students with disabilities via Individual Education Plans, Ontario's legal regime lags far behind the U.S. In </w:t>
      </w:r>
      <w:proofErr w:type="gramStart"/>
      <w:r w:rsidRPr="00AA4F9D">
        <w:t>Ontario</w:t>
      </w:r>
      <w:proofErr w:type="gramEnd"/>
      <w:r w:rsidRPr="00AA4F9D">
        <w:t xml:space="preserve"> each school board need simply consult a family on the IEP, according to Ontario's special education regulations. An unhappy family must fight a human rights complaint against a school board. In contrast, in the U.S. there are robust due process protections for students with disabilities and their families under the Individual Disabilities Education Act (IDEA). </w:t>
      </w:r>
    </w:p>
    <w:p w:rsidR="00E00E29" w:rsidRPr="00AA4F9D" w:rsidRDefault="00E00E29" w:rsidP="00AA4F9D">
      <w:pPr>
        <w:widowControl w:val="0"/>
      </w:pPr>
    </w:p>
    <w:p w:rsidR="00E00E29" w:rsidRPr="00AA4F9D" w:rsidRDefault="00E00E29" w:rsidP="00AA4F9D">
      <w:pPr>
        <w:widowControl w:val="0"/>
      </w:pPr>
      <w:r w:rsidRPr="00AA4F9D">
        <w:t xml:space="preserve">This shows how far ahead of Ontario the U.S. law has been for some four decades. The KPMG </w:t>
      </w:r>
      <w:r w:rsidRPr="00AA4F9D">
        <w:lastRenderedPageBreak/>
        <w:t xml:space="preserve">Report does not acknowledge this or address it, when it reaches its bottom-line conclusion. </w:t>
      </w:r>
    </w:p>
    <w:bookmarkEnd w:id="23"/>
    <w:bookmarkEnd w:id="24"/>
    <w:p w:rsidR="00E00E29" w:rsidRPr="00AA4F9D" w:rsidRDefault="00E00E29" w:rsidP="00AA4F9D">
      <w:pPr>
        <w:widowControl w:val="0"/>
      </w:pPr>
    </w:p>
    <w:p w:rsidR="00E00E29" w:rsidRPr="00AA4F9D" w:rsidRDefault="00E00E29" w:rsidP="00AA4F9D">
      <w:pPr>
        <w:widowControl w:val="0"/>
      </w:pPr>
      <w:r w:rsidRPr="00AA4F9D">
        <w:t xml:space="preserve">The </w:t>
      </w:r>
      <w:r w:rsidR="001335DD" w:rsidRPr="00AA4F9D">
        <w:t xml:space="preserve">KPMG </w:t>
      </w:r>
      <w:r w:rsidRPr="00AA4F9D">
        <w:t>Report elsewhere gives a summary of IDEA. IDEA provides substantially greater legal protections for students with disabilities and their families than do Ontario special education laws. The Report describes IDEA as follows:</w:t>
      </w:r>
    </w:p>
    <w:p w:rsidR="00E00E29" w:rsidRPr="00AA4F9D" w:rsidRDefault="00E00E29" w:rsidP="00AA4F9D">
      <w:pPr>
        <w:widowControl w:val="0"/>
      </w:pPr>
    </w:p>
    <w:p w:rsidR="00E00E29" w:rsidRPr="00AA4F9D" w:rsidRDefault="00E00E29" w:rsidP="00AA4F9D">
      <w:pPr>
        <w:widowControl w:val="0"/>
        <w:ind w:left="720" w:right="720"/>
      </w:pPr>
      <w:r w:rsidRPr="00AA4F9D">
        <w:t xml:space="preserve">"Individuals with Disabilities Education Act (IDEA)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The Individuals with Disabilities Education Act (IDEA) ensures that all children with disabilities are entitled to a free appropriate public education to meet their unique needs and prepare them for further education, employment, and independent living. Prior to IDEA, over 4 million children with disabilities were denied appropriate access to public education. Many children were denied entry into public school altogether, while others were placed in segregated classrooms, or in regular classrooms without adequate support for their special needs.</w:t>
      </w:r>
    </w:p>
    <w:p w:rsidR="00E00E29" w:rsidRPr="00AA4F9D" w:rsidRDefault="00E00E29" w:rsidP="00AA4F9D">
      <w:pPr>
        <w:widowControl w:val="0"/>
        <w:ind w:left="720" w:right="720"/>
      </w:pPr>
      <w:r w:rsidRPr="00AA4F9D">
        <w:t>IDEA has four distinct sections; sections A, B, C and D. Part A of IDEA lays out the foundation for the rest of the Act. This section defines the terms used within the Act as well as providing for the creation of the Office of Special Education Programs, which is responsible for administering and carrying out the terms of IDEA.</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Part B of IDEA is the section, which lays out the educational guidelines for schoolchildren 3-21 years of age. By law, states are required to educate students with disabilities (Martin, Martin, &amp; Terman, 1996). IDEA provides financial support for state and local school districts. </w:t>
      </w:r>
      <w:proofErr w:type="gramStart"/>
      <w:r w:rsidRPr="00AA4F9D">
        <w:t>However</w:t>
      </w:r>
      <w:proofErr w:type="gramEnd"/>
      <w:r w:rsidRPr="00AA4F9D">
        <w:t xml:space="preserve"> to receive funding, school districts must comply with six main principles set out by IDEA: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1</w:t>
      </w:r>
      <w:r w:rsidRPr="00AA4F9D">
        <w:tab/>
        <w:t>FREE AND APPROPRIATE PUBLIC EDUCATION (FAPE)</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Provided at no cost to parents.</w:t>
      </w:r>
    </w:p>
    <w:p w:rsidR="00E00E29" w:rsidRPr="00AA4F9D" w:rsidRDefault="00D20E0D" w:rsidP="00AA4F9D">
      <w:pPr>
        <w:widowControl w:val="0"/>
        <w:ind w:left="720" w:right="720"/>
      </w:pPr>
      <w:r>
        <w:t>*</w:t>
      </w:r>
      <w:r w:rsidR="00E00E29" w:rsidRPr="00AA4F9D">
        <w:tab/>
        <w:t>Meets the individual needs of the student in the least restrictive environment (LRE).</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2</w:t>
      </w:r>
      <w:r w:rsidRPr="00AA4F9D">
        <w:tab/>
        <w:t>APPROPRIATE EVALUATION</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Uses knowledgeable and trained evaluators.</w:t>
      </w:r>
    </w:p>
    <w:p w:rsidR="00E00E29" w:rsidRPr="00AA4F9D" w:rsidRDefault="00D20E0D" w:rsidP="00AA4F9D">
      <w:pPr>
        <w:widowControl w:val="0"/>
        <w:ind w:left="720" w:right="720"/>
      </w:pPr>
      <w:r>
        <w:t>*</w:t>
      </w:r>
      <w:r w:rsidR="00E00E29" w:rsidRPr="00AA4F9D">
        <w:tab/>
        <w:t>Employs a variety of instruments and procedures to gather information about the student.</w:t>
      </w:r>
    </w:p>
    <w:p w:rsidR="00E00E29" w:rsidRPr="00AA4F9D" w:rsidRDefault="00D20E0D" w:rsidP="00AA4F9D">
      <w:pPr>
        <w:widowControl w:val="0"/>
        <w:ind w:left="720" w:right="720"/>
      </w:pPr>
      <w:r>
        <w:t>*</w:t>
      </w:r>
      <w:r w:rsidR="00E00E29" w:rsidRPr="00AA4F9D">
        <w:tab/>
        <w:t>Selects and administers evaluation instruments that are non-discriminatory.</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3</w:t>
      </w:r>
      <w:r w:rsidRPr="00AA4F9D">
        <w:tab/>
        <w:t>INDIVIDUALIZED EDUCATION PROGRAM (IEP)</w:t>
      </w:r>
    </w:p>
    <w:p w:rsidR="00D20E0D" w:rsidRDefault="00D20E0D" w:rsidP="00AA4F9D">
      <w:pPr>
        <w:widowControl w:val="0"/>
        <w:ind w:left="720" w:right="720"/>
      </w:pPr>
    </w:p>
    <w:p w:rsidR="00E00E29" w:rsidRPr="00AA4F9D" w:rsidRDefault="00E00E29" w:rsidP="00AA4F9D">
      <w:pPr>
        <w:widowControl w:val="0"/>
        <w:ind w:left="720" w:right="720"/>
      </w:pPr>
      <w:r w:rsidRPr="00AA4F9D">
        <w:t>An IEP is a written statement that details the education program for a particular child. The IEP team consists of the student’s parents and relevant school personnel, and the team develops an IEP that includes the following components:</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Description of the student’s current level of functioning.</w:t>
      </w:r>
    </w:p>
    <w:p w:rsidR="00E00E29" w:rsidRPr="00AA4F9D" w:rsidRDefault="00D20E0D" w:rsidP="00AA4F9D">
      <w:pPr>
        <w:widowControl w:val="0"/>
        <w:ind w:left="720" w:right="720"/>
      </w:pPr>
      <w:r>
        <w:t>*</w:t>
      </w:r>
      <w:r w:rsidR="00E00E29" w:rsidRPr="00AA4F9D">
        <w:tab/>
        <w:t>Objectives for the year.</w:t>
      </w:r>
    </w:p>
    <w:p w:rsidR="00E00E29" w:rsidRPr="00AA4F9D" w:rsidRDefault="00D20E0D" w:rsidP="00AA4F9D">
      <w:pPr>
        <w:widowControl w:val="0"/>
        <w:ind w:left="720" w:right="720"/>
      </w:pPr>
      <w:r>
        <w:t>*</w:t>
      </w:r>
      <w:r w:rsidR="00E00E29" w:rsidRPr="00AA4F9D">
        <w:tab/>
        <w:t>Services that the student will receive.</w:t>
      </w:r>
    </w:p>
    <w:p w:rsidR="00E00E29" w:rsidRPr="00AA4F9D" w:rsidRDefault="00D20E0D" w:rsidP="00AA4F9D">
      <w:pPr>
        <w:widowControl w:val="0"/>
        <w:ind w:left="720" w:right="720"/>
      </w:pPr>
      <w:r>
        <w:t>*</w:t>
      </w:r>
      <w:r w:rsidR="00E00E29" w:rsidRPr="00AA4F9D">
        <w:tab/>
        <w:t>Location where the student will receive services.</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4</w:t>
      </w:r>
      <w:r w:rsidRPr="00AA4F9D">
        <w:tab/>
        <w:t>PARENT AND STUDENT PARTICIPATION IN DECISION-MAKING</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Parents and students have the right to meaningful participation in the IEP process.</w:t>
      </w:r>
    </w:p>
    <w:p w:rsidR="00E00E29" w:rsidRPr="00AA4F9D" w:rsidRDefault="00D20E0D" w:rsidP="00AA4F9D">
      <w:pPr>
        <w:widowControl w:val="0"/>
        <w:ind w:left="720" w:right="720"/>
      </w:pPr>
      <w:r>
        <w:t>*</w:t>
      </w:r>
      <w:r w:rsidR="00E00E29" w:rsidRPr="00AA4F9D">
        <w:tab/>
        <w:t>Parents and students have the right to have all the materials presented at an IEP meeting explained to them in a way that they can understand.</w:t>
      </w:r>
    </w:p>
    <w:p w:rsidR="00E00E29" w:rsidRPr="00AA4F9D" w:rsidRDefault="00D20E0D" w:rsidP="00AA4F9D">
      <w:pPr>
        <w:widowControl w:val="0"/>
        <w:ind w:left="720" w:right="720"/>
      </w:pPr>
      <w:r>
        <w:t>*</w:t>
      </w:r>
      <w:r w:rsidR="00E00E29" w:rsidRPr="00AA4F9D">
        <w:tab/>
        <w:t>Parents and students have the right to have the information presented at the IEP meeting translated into their primary language.</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5</w:t>
      </w:r>
      <w:r w:rsidRPr="00AA4F9D">
        <w:tab/>
        <w:t>LEAST RESTRICTIVE ENVIRONMENT (LRE)</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 xml:space="preserve">IDEA has a strong predisposition for the education of students with disabilities with their non-disabled peers, in general education classrooms, whenever possible. Students should be provided with the services, supports, and accommodations that enable them to succeed in these settings. </w:t>
      </w:r>
    </w:p>
    <w:p w:rsidR="00E00E29" w:rsidRPr="00AA4F9D" w:rsidRDefault="00D20E0D" w:rsidP="00AA4F9D">
      <w:pPr>
        <w:widowControl w:val="0"/>
        <w:ind w:left="720" w:right="720"/>
      </w:pPr>
      <w:r>
        <w:t>*</w:t>
      </w:r>
      <w:r w:rsidR="00E00E29" w:rsidRPr="00AA4F9D">
        <w:tab/>
        <w:t xml:space="preserve">Decisions about the most suitable environment for each student are made by the IEP team. </w:t>
      </w:r>
    </w:p>
    <w:p w:rsidR="00E00E29" w:rsidRPr="00AA4F9D" w:rsidRDefault="00D20E0D" w:rsidP="00AA4F9D">
      <w:pPr>
        <w:widowControl w:val="0"/>
        <w:ind w:left="720" w:right="720"/>
      </w:pPr>
      <w:r>
        <w:t>*</w:t>
      </w:r>
      <w:r w:rsidR="00E00E29" w:rsidRPr="00AA4F9D">
        <w:tab/>
        <w:t>Self-contained classrooms, separate schools, and/or homebound or hospital services continue to be available when the nature or severity of a student’s disability is such that a less restrictive placement cannon be achieved satisfactorily, even with the assistance of special education, related services, modifications, and accommodations.</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6</w:t>
      </w:r>
      <w:r w:rsidRPr="00AA4F9D">
        <w:tab/>
        <w:t>PROCEDURAL DUE PROCESS</w:t>
      </w:r>
    </w:p>
    <w:p w:rsidR="00E00E29" w:rsidRPr="00AA4F9D" w:rsidRDefault="00E00E29" w:rsidP="00AA4F9D">
      <w:pPr>
        <w:widowControl w:val="0"/>
        <w:ind w:left="720" w:right="720"/>
      </w:pPr>
    </w:p>
    <w:p w:rsidR="00E00E29" w:rsidRPr="00AA4F9D" w:rsidRDefault="00D20E0D" w:rsidP="00AA4F9D">
      <w:pPr>
        <w:widowControl w:val="0"/>
        <w:ind w:left="720" w:right="720"/>
      </w:pPr>
      <w:r>
        <w:t>*</w:t>
      </w:r>
      <w:r w:rsidR="00E00E29" w:rsidRPr="00AA4F9D">
        <w:tab/>
        <w:t>School districts must obtain parental consent before conducting an initial evaluation of a student, or before exiting a student from special education.</w:t>
      </w:r>
    </w:p>
    <w:p w:rsidR="00E00E29" w:rsidRPr="00AA4F9D" w:rsidRDefault="00D20E0D" w:rsidP="00AA4F9D">
      <w:pPr>
        <w:widowControl w:val="0"/>
        <w:ind w:left="720" w:right="720"/>
      </w:pPr>
      <w:r>
        <w:t>*</w:t>
      </w:r>
      <w:r w:rsidR="00E00E29" w:rsidRPr="00AA4F9D">
        <w:tab/>
        <w:t xml:space="preserve">School districts must provide written notice to parents before initiating, changing, or refusing to change the identification, evaluation, or educational placement of a student. </w:t>
      </w:r>
    </w:p>
    <w:p w:rsidR="00E00E29" w:rsidRPr="00AA4F9D" w:rsidRDefault="00D20E0D" w:rsidP="00AA4F9D">
      <w:pPr>
        <w:widowControl w:val="0"/>
        <w:ind w:left="720" w:right="720"/>
      </w:pPr>
      <w:r>
        <w:t>*</w:t>
      </w:r>
      <w:r w:rsidR="00E00E29" w:rsidRPr="00AA4F9D">
        <w:tab/>
        <w:t xml:space="preserve">School districts must provide parents, upon request by parents, with information about independent educational evaluations, including where they can be obtained. School districts must consider any independent educational evaluation presented by a parent at an IEP meeting. </w:t>
      </w:r>
    </w:p>
    <w:p w:rsidR="00E00E29" w:rsidRPr="00AA4F9D" w:rsidRDefault="00D20E0D" w:rsidP="00AA4F9D">
      <w:pPr>
        <w:widowControl w:val="0"/>
        <w:ind w:left="720" w:right="720"/>
      </w:pPr>
      <w:r>
        <w:t>*</w:t>
      </w:r>
      <w:r w:rsidR="00E00E29" w:rsidRPr="00AA4F9D">
        <w:tab/>
        <w:t>Parental consent is required before an IEP can be implemented.</w:t>
      </w:r>
    </w:p>
    <w:p w:rsidR="00E00E29" w:rsidRPr="00AA4F9D" w:rsidRDefault="00D20E0D" w:rsidP="00AA4F9D">
      <w:pPr>
        <w:widowControl w:val="0"/>
        <w:ind w:left="720" w:right="720"/>
      </w:pPr>
      <w:r>
        <w:t>*</w:t>
      </w:r>
      <w:r w:rsidR="00E00E29" w:rsidRPr="00AA4F9D">
        <w:tab/>
        <w:t>Parents have the right to file Compliance Complaints when school districts do not provide services and supports as agreed to in an IEP, or otherwise violate IDEA.</w:t>
      </w:r>
    </w:p>
    <w:p w:rsidR="00E00E29" w:rsidRPr="00AA4F9D" w:rsidRDefault="00D20E0D" w:rsidP="00AA4F9D">
      <w:pPr>
        <w:widowControl w:val="0"/>
        <w:ind w:left="720" w:right="720"/>
      </w:pPr>
      <w:r>
        <w:t>*</w:t>
      </w:r>
      <w:r w:rsidR="00E00E29" w:rsidRPr="00AA4F9D">
        <w:tab/>
        <w:t>Parents have a right to a formal legal process, the Due Process Hearing, to resolve disputes about IEP eligibility, supports, and services or placement.</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Part C of IDEA recognizes the need for identifying and reaching very young children with disabilities. This portion of IDEA provides guidelines concerning the funding and services to be provide to children from birth through 2 years of age. Families are entitled to several services through part C of IDEA. </w:t>
      </w:r>
    </w:p>
    <w:p w:rsidR="00E00E29" w:rsidRPr="00AA4F9D" w:rsidRDefault="00D20E0D" w:rsidP="00AA4F9D">
      <w:pPr>
        <w:widowControl w:val="0"/>
        <w:ind w:left="720" w:right="720"/>
      </w:pPr>
      <w:r>
        <w:t>*</w:t>
      </w:r>
      <w:r w:rsidR="00E00E29" w:rsidRPr="00AA4F9D">
        <w:tab/>
        <w:t>Every family is entitled to appropriate, timely, and multidisciplinary identification and intervention services for their very young child. These services must be made available to all families with infants and toddlers.</w:t>
      </w:r>
    </w:p>
    <w:p w:rsidR="00E00E29" w:rsidRPr="00AA4F9D" w:rsidRDefault="00D20E0D" w:rsidP="00AA4F9D">
      <w:pPr>
        <w:widowControl w:val="0"/>
        <w:ind w:left="720" w:right="720"/>
      </w:pPr>
      <w:r>
        <w:t>*</w:t>
      </w:r>
      <w:r w:rsidR="00E00E29" w:rsidRPr="00AA4F9D">
        <w:tab/>
        <w:t>Families are required to receive an Individualized Family Service Plan (IFSP). This plan lays out the priorities, resources, and concerns of the family. In addition, it describes the goals of the child, the services to be provided to the child, and steps for eventual transitioning of the child into formal education.</w:t>
      </w:r>
    </w:p>
    <w:p w:rsidR="00E00E29" w:rsidRPr="00AA4F9D" w:rsidRDefault="00D20E0D" w:rsidP="00AA4F9D">
      <w:pPr>
        <w:widowControl w:val="0"/>
        <w:ind w:left="720" w:right="720"/>
      </w:pPr>
      <w:r>
        <w:t>*</w:t>
      </w:r>
      <w:r w:rsidR="00E00E29" w:rsidRPr="00AA4F9D">
        <w:tab/>
        <w:t>Families have a right to participate in the creation of the IFSP, and must give consent prior to the initiation of intervention services.</w:t>
      </w:r>
    </w:p>
    <w:p w:rsidR="00E00E29" w:rsidRPr="00AA4F9D" w:rsidRDefault="00D20E0D" w:rsidP="00AA4F9D">
      <w:pPr>
        <w:widowControl w:val="0"/>
        <w:ind w:left="720" w:right="720"/>
      </w:pPr>
      <w:r>
        <w:t>*</w:t>
      </w:r>
      <w:r w:rsidR="00E00E29" w:rsidRPr="00AA4F9D">
        <w:tab/>
        <w:t>Lastly, parents are entitled to timely resolution of all conflicts or complaints regarding the evaluation or services provided to their child.</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The final section of IDEA, part D, describes national activities to be undertaken to improve the education of children with disabilities. These activities include grants to improve the education and transitional services provided to students with disabilities. In addition, this section provides resources to support programs, projects, and activities, which contribute positive results for children with disabilities (IDEA, 1997).</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In 2010, the US Department of Education published a report acknowledging the 35th anniversary of IDEA. The report highlighted many of the achievements gained because of this legislation including the increase in college enrollment and decrease in high school dropouts" (at 164-166).</w:t>
      </w:r>
    </w:p>
    <w:p w:rsidR="00E00E29" w:rsidRPr="00AA4F9D" w:rsidRDefault="00E00E29" w:rsidP="00AA4F9D">
      <w:pPr>
        <w:widowControl w:val="0"/>
      </w:pPr>
    </w:p>
    <w:p w:rsidR="00E00E29" w:rsidRPr="00AA4F9D" w:rsidRDefault="00E00E29" w:rsidP="00AA4F9D">
      <w:pPr>
        <w:widowControl w:val="0"/>
      </w:pPr>
      <w:r w:rsidRPr="00AA4F9D">
        <w:t>Similarly, describing what is available in New York State, the KPMG Report identified due process rights in special education which are not mirrored in Ontario. The Report states:</w:t>
      </w:r>
    </w:p>
    <w:p w:rsidR="00E00E29" w:rsidRPr="00AA4F9D" w:rsidRDefault="00E00E29" w:rsidP="00AA4F9D">
      <w:pPr>
        <w:widowControl w:val="0"/>
      </w:pPr>
    </w:p>
    <w:p w:rsidR="00E00E29" w:rsidRPr="00AA4F9D" w:rsidRDefault="00E00E29" w:rsidP="00AA4F9D">
      <w:pPr>
        <w:widowControl w:val="0"/>
        <w:ind w:left="720" w:right="720"/>
      </w:pPr>
      <w:r w:rsidRPr="00AA4F9D">
        <w:t xml:space="preserve">"Office of Special Education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Office of Special Education's home comes within the State Education Department's Office of Prekindergarten through Grade 12 education (P-12 education). Students with disabilities are an integral part of all aspects of P-12 Education policy development and program implementation. The Office of Special Education works to promote educational equity and excellence for students with disabilities through its roles and responsibilities to: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w:t>
      </w:r>
      <w:r w:rsidRPr="00AA4F9D">
        <w:tab/>
        <w:t xml:space="preserve">Oversee the implementation of federal and State laws and policy for students with disabilities. </w:t>
      </w:r>
    </w:p>
    <w:p w:rsidR="00E00E29" w:rsidRPr="00AA4F9D" w:rsidRDefault="00E00E29" w:rsidP="00AA4F9D">
      <w:pPr>
        <w:widowControl w:val="0"/>
        <w:ind w:left="720" w:right="720"/>
      </w:pPr>
      <w:r w:rsidRPr="00AA4F9D">
        <w:t>*</w:t>
      </w:r>
      <w:r w:rsidRPr="00AA4F9D">
        <w:tab/>
        <w:t xml:space="preserve">Provide general supervision and monitoring of all public and private schools serving New York State preschool and school age students with disabilities. </w:t>
      </w:r>
    </w:p>
    <w:p w:rsidR="00E00E29" w:rsidRPr="00AA4F9D" w:rsidRDefault="00E00E29" w:rsidP="00AA4F9D">
      <w:pPr>
        <w:widowControl w:val="0"/>
        <w:ind w:left="720" w:right="720"/>
      </w:pPr>
      <w:r w:rsidRPr="00AA4F9D">
        <w:lastRenderedPageBreak/>
        <w:t>*</w:t>
      </w:r>
      <w:r w:rsidRPr="00AA4F9D">
        <w:tab/>
        <w:t xml:space="preserve">Establish a broad network of technical assistance centers and providers to work directly with parents and school districts to provide current information and high quality professional development and technical assistance to improve results for students with disabilities. </w:t>
      </w:r>
    </w:p>
    <w:p w:rsidR="00E00E29" w:rsidRPr="00AA4F9D" w:rsidRDefault="00E00E29" w:rsidP="00AA4F9D">
      <w:pPr>
        <w:widowControl w:val="0"/>
        <w:ind w:left="720" w:right="720"/>
      </w:pPr>
      <w:r w:rsidRPr="00AA4F9D">
        <w:t>*</w:t>
      </w:r>
      <w:r w:rsidRPr="00AA4F9D">
        <w:tab/>
        <w:t>Ensure a system of due process, including special education mediation and impartial hearings</w:t>
      </w:r>
    </w:p>
    <w:p w:rsidR="00E00E29" w:rsidRPr="00AA4F9D" w:rsidRDefault="00E00E29" w:rsidP="00AA4F9D">
      <w:pPr>
        <w:widowControl w:val="0"/>
        <w:ind w:left="720" w:right="720"/>
      </w:pPr>
      <w:r w:rsidRPr="00AA4F9D">
        <w:t>*</w:t>
      </w:r>
      <w:r w:rsidR="00D20E0D">
        <w:tab/>
      </w:r>
      <w:r w:rsidRPr="00AA4F9D">
        <w:t>Meet with stakeholders through the Commissioner’s Advisory Panel for Special Education Services" (at 186-187).</w:t>
      </w:r>
    </w:p>
    <w:p w:rsidR="00E00E29" w:rsidRPr="00AA4F9D" w:rsidRDefault="00E00E29" w:rsidP="00AA4F9D">
      <w:pPr>
        <w:widowControl w:val="0"/>
      </w:pPr>
    </w:p>
    <w:p w:rsidR="00E00E29" w:rsidRPr="00AA4F9D" w:rsidRDefault="00E00E29" w:rsidP="00AA4F9D">
      <w:pPr>
        <w:widowControl w:val="0"/>
      </w:pPr>
      <w:bookmarkStart w:id="25" w:name="OLE_LINK42"/>
      <w:bookmarkStart w:id="26" w:name="OLE_LINK41"/>
      <w:r w:rsidRPr="00AA4F9D">
        <w:t>As well, in reaching its bottom-line conclusion, the Report did not explicitly recognize the fact that Ontario, unlike certain other jurisdictions, lacks a mandatory appeal process regarding individual education accommodation. That makes the Report's finding on point fatally flawed. The Report fails to do so even though</w:t>
      </w:r>
      <w:r w:rsidR="00960621" w:rsidRPr="00AA4F9D">
        <w:t xml:space="preserve">, as noted earlier in this Analysis, </w:t>
      </w:r>
      <w:r w:rsidRPr="00AA4F9D">
        <w:t xml:space="preserve">elsewhere it refers to appeal processes in some other jurisdictions. </w:t>
      </w:r>
      <w:r w:rsidR="00960621" w:rsidRPr="00AA4F9D">
        <w:t xml:space="preserve">The Report </w:t>
      </w:r>
      <w:r w:rsidRPr="00AA4F9D">
        <w:t>also notes the need for future improvement in Ontario in addressing disputes between families and schools over accommodation needs.</w:t>
      </w:r>
    </w:p>
    <w:p w:rsidR="00E00E29" w:rsidRPr="00AA4F9D" w:rsidRDefault="00E00E29" w:rsidP="00AA4F9D">
      <w:pPr>
        <w:widowControl w:val="0"/>
      </w:pPr>
    </w:p>
    <w:bookmarkEnd w:id="25"/>
    <w:bookmarkEnd w:id="26"/>
    <w:p w:rsidR="00E00E29" w:rsidRPr="00D20E0D" w:rsidRDefault="006A0818" w:rsidP="00AA4F9D">
      <w:pPr>
        <w:widowControl w:val="0"/>
        <w:rPr>
          <w:b/>
        </w:rPr>
      </w:pPr>
      <w:r w:rsidRPr="00D20E0D">
        <w:rPr>
          <w:b/>
        </w:rPr>
        <w:t>3</w:t>
      </w:r>
      <w:r w:rsidR="00D20E0D" w:rsidRPr="00D20E0D">
        <w:rPr>
          <w:b/>
        </w:rPr>
        <w:t>.</w:t>
      </w:r>
      <w:r w:rsidR="00E00E29" w:rsidRPr="00D20E0D">
        <w:rPr>
          <w:b/>
        </w:rPr>
        <w:t xml:space="preserve"> </w:t>
      </w:r>
      <w:bookmarkStart w:id="27" w:name="OLE_LINK44"/>
      <w:bookmarkStart w:id="28" w:name="OLE_LINK43"/>
      <w:r w:rsidR="00E00E29" w:rsidRPr="00D20E0D">
        <w:rPr>
          <w:b/>
        </w:rPr>
        <w:t xml:space="preserve">The </w:t>
      </w:r>
      <w:r w:rsidR="00D20E0D" w:rsidRPr="00D20E0D">
        <w:rPr>
          <w:b/>
        </w:rPr>
        <w:t>B</w:t>
      </w:r>
      <w:r w:rsidR="00E00E29" w:rsidRPr="00D20E0D">
        <w:rPr>
          <w:b/>
        </w:rPr>
        <w:t>uilt Environment in Educational Facilities</w:t>
      </w:r>
    </w:p>
    <w:bookmarkEnd w:id="27"/>
    <w:bookmarkEnd w:id="28"/>
    <w:p w:rsidR="00E00E29" w:rsidRPr="00AA4F9D" w:rsidRDefault="00E00E29" w:rsidP="00AA4F9D">
      <w:pPr>
        <w:widowControl w:val="0"/>
      </w:pPr>
    </w:p>
    <w:p w:rsidR="00E00E29" w:rsidRPr="00AA4F9D" w:rsidRDefault="00242FC7" w:rsidP="00AA4F9D">
      <w:pPr>
        <w:widowControl w:val="0"/>
      </w:pPr>
      <w:bookmarkStart w:id="29" w:name="OLE_LINK46"/>
      <w:bookmarkStart w:id="30" w:name="OLE_LINK45"/>
      <w:r w:rsidRPr="00AA4F9D">
        <w:t>As noted earlier, t</w:t>
      </w:r>
      <w:r w:rsidR="00E00E29" w:rsidRPr="00AA4F9D">
        <w:t xml:space="preserve">he </w:t>
      </w:r>
      <w:r w:rsidRPr="00AA4F9D">
        <w:t xml:space="preserve">KPMG </w:t>
      </w:r>
      <w:r w:rsidR="00E00E29" w:rsidRPr="00AA4F9D">
        <w:t xml:space="preserve">Report did not try to compare Ontario's deficient laws regarding the accessibility of the built environment in schools, colleges and universities, or try to compare these to more impressive regimes which the Report identifies in other jurisdictions. The Report did not appear to even examine the extent of built environment barriers in Ontario's education system, and did not refer to the critical fact, mentioned earlier in this Analysis, that at that time, only 85 of the 550 schools in the Toronto District School Board were disability-accessible, according to that school board's own measure of accessibility. The </w:t>
      </w:r>
      <w:r w:rsidRPr="00AA4F9D">
        <w:t xml:space="preserve">KPMG </w:t>
      </w:r>
      <w:r w:rsidR="00E00E29" w:rsidRPr="00AA4F9D">
        <w:t xml:space="preserve">Report </w:t>
      </w:r>
      <w:r w:rsidRPr="00AA4F9D">
        <w:t xml:space="preserve">also </w:t>
      </w:r>
      <w:r w:rsidR="00E00E29" w:rsidRPr="00AA4F9D">
        <w:t>did not note the problem of accessibility barriers in new buildings in Ontario post-secondary schools, such as Ryerson's new Student Learning Centre, or the renovated Osgoode Hall Law School. The Report does describe U.S. requirements</w:t>
      </w:r>
      <w:r w:rsidRPr="00AA4F9D">
        <w:t xml:space="preserve"> </w:t>
      </w:r>
      <w:r w:rsidR="00E00E29" w:rsidRPr="00AA4F9D">
        <w:t>which are not paralleled in Ontario, and which require educational organizations receiving federal funds to take certain steps to retrofit the built environment in order to promote accessibility for students with disabilities.</w:t>
      </w:r>
    </w:p>
    <w:p w:rsidR="00E00E29" w:rsidRPr="00AA4F9D" w:rsidRDefault="00E00E29" w:rsidP="00AA4F9D">
      <w:pPr>
        <w:widowControl w:val="0"/>
      </w:pPr>
      <w:r w:rsidRPr="00AA4F9D">
        <w:t xml:space="preserve"> </w:t>
      </w:r>
    </w:p>
    <w:p w:rsidR="00E00E29" w:rsidRPr="00AA4F9D" w:rsidRDefault="00E00E29" w:rsidP="00AA4F9D">
      <w:pPr>
        <w:widowControl w:val="0"/>
      </w:pPr>
      <w:r w:rsidRPr="00AA4F9D">
        <w:t>This is especially striking since the Report's review of different jurisdictions recited a New York State program aiming at the accessibility of the built environment in public schools, which has no counterpart in Ontario. This further contradicts the Report's claim that Ontario is comparable to the other jurisdictions examined. The Report states:</w:t>
      </w:r>
    </w:p>
    <w:p w:rsidR="00E00E29" w:rsidRPr="00AA4F9D" w:rsidRDefault="00E00E29" w:rsidP="00AA4F9D">
      <w:pPr>
        <w:widowControl w:val="0"/>
      </w:pPr>
    </w:p>
    <w:bookmarkEnd w:id="29"/>
    <w:bookmarkEnd w:id="30"/>
    <w:p w:rsidR="00E00E29" w:rsidRPr="00AA4F9D" w:rsidRDefault="00E00E29" w:rsidP="00AA4F9D">
      <w:pPr>
        <w:widowControl w:val="0"/>
        <w:ind w:left="720" w:right="720"/>
      </w:pPr>
      <w:r w:rsidRPr="00AA4F9D">
        <w:t xml:space="preserve">"New York City Department of Education (DOE) is committed to ensuring that its programs, services and activities are accessible to students with disabilities, including students with mobility impairments or other physical disabilities, in compliance with the </w:t>
      </w:r>
      <w:r w:rsidRPr="00AA4F9D">
        <w:rPr>
          <w:i/>
        </w:rPr>
        <w:t>Americans with Disabilities Act</w:t>
      </w:r>
      <w:r w:rsidRPr="00AA4F9D">
        <w:t xml:space="preserve"> (ADA). The DOE assesses all organizations located in buildings on a continuous basis to determine which schools are functionally accessible to students with disabilities" (at 188).</w:t>
      </w:r>
    </w:p>
    <w:p w:rsidR="00E00E29" w:rsidRPr="00AA4F9D" w:rsidRDefault="00E00E29" w:rsidP="00AA4F9D">
      <w:pPr>
        <w:widowControl w:val="0"/>
      </w:pPr>
    </w:p>
    <w:p w:rsidR="00E00E29" w:rsidRPr="00AA4F9D" w:rsidRDefault="00E00E29" w:rsidP="00AA4F9D">
      <w:pPr>
        <w:widowControl w:val="0"/>
      </w:pPr>
      <w:bookmarkStart w:id="31" w:name="OLE_LINK48"/>
      <w:bookmarkStart w:id="32" w:name="OLE_LINK47"/>
      <w:r w:rsidRPr="00AA4F9D">
        <w:t xml:space="preserve">The </w:t>
      </w:r>
      <w:r w:rsidR="00990A49" w:rsidRPr="00AA4F9D">
        <w:t xml:space="preserve">KPMG </w:t>
      </w:r>
      <w:r w:rsidRPr="00AA4F9D">
        <w:t>Report</w:t>
      </w:r>
      <w:r w:rsidR="00990A49" w:rsidRPr="00AA4F9D">
        <w:t xml:space="preserve">'s contents prove </w:t>
      </w:r>
      <w:r w:rsidRPr="00AA4F9D">
        <w:t xml:space="preserve">that the U.S. is well ahead of Ontario by requiring post-secondary educational organizations that receive federal funding to take steps to correct existing </w:t>
      </w:r>
      <w:r w:rsidRPr="00AA4F9D">
        <w:lastRenderedPageBreak/>
        <w:t>accessibility barriers in the built environment</w:t>
      </w:r>
      <w:r w:rsidR="00990A49" w:rsidRPr="00AA4F9D">
        <w:t>, although KPMG does not draw this conclusion from its own review</w:t>
      </w:r>
      <w:r w:rsidRPr="00AA4F9D">
        <w:t>. The Report states:</w:t>
      </w:r>
    </w:p>
    <w:p w:rsidR="00E00E29" w:rsidRPr="00AA4F9D" w:rsidRDefault="00E00E29" w:rsidP="00AA4F9D">
      <w:pPr>
        <w:widowControl w:val="0"/>
      </w:pPr>
    </w:p>
    <w:bookmarkEnd w:id="31"/>
    <w:bookmarkEnd w:id="32"/>
    <w:p w:rsidR="00E00E29" w:rsidRPr="00AA4F9D" w:rsidRDefault="00E00E29" w:rsidP="00AA4F9D">
      <w:pPr>
        <w:widowControl w:val="0"/>
        <w:ind w:left="720" w:right="720"/>
      </w:pPr>
      <w:r w:rsidRPr="00AA4F9D">
        <w:t>"Structural Supports and Physical Accessibility</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Federal laws include requirements related to the physical accessibility of facilities including those facilities used for higher education purposes. In recent decades, the removal of architectural barriers, such as providing curb cuts, ramps, and elevators, has helped make higher education more inclusive for students with disabilities. Structural accommodations involve making buildings accessible to individuals with disabilities. Typical structural accommodations include ramp availability, elevators, convenient parking, doorway and restroom facilities modifications, and architectural barriers removal or modifications" (at 169).</w:t>
      </w:r>
    </w:p>
    <w:p w:rsidR="00E00E29" w:rsidRPr="00AA4F9D" w:rsidRDefault="00E00E29" w:rsidP="00AA4F9D">
      <w:pPr>
        <w:widowControl w:val="0"/>
      </w:pPr>
    </w:p>
    <w:p w:rsidR="00E00E29" w:rsidRPr="00AA4F9D" w:rsidRDefault="00183F49" w:rsidP="00AA4F9D">
      <w:pPr>
        <w:pStyle w:val="Heading3"/>
        <w:keepNext w:val="0"/>
        <w:keepLines w:val="0"/>
        <w:widowControl w:val="0"/>
        <w:spacing w:before="0"/>
        <w:rPr>
          <w:rFonts w:ascii="Times New Roman" w:hAnsi="Times New Roman" w:cs="Times New Roman"/>
        </w:rPr>
      </w:pPr>
      <w:bookmarkStart w:id="33" w:name="OLE_LINK50"/>
      <w:bookmarkStart w:id="34" w:name="OLE_LINK49"/>
      <w:r w:rsidRPr="00AA4F9D">
        <w:rPr>
          <w:rFonts w:ascii="Times New Roman" w:hAnsi="Times New Roman" w:cs="Times New Roman"/>
        </w:rPr>
        <w:t>4.</w:t>
      </w:r>
      <w:r w:rsidR="00E00E29" w:rsidRPr="00AA4F9D">
        <w:rPr>
          <w:rFonts w:ascii="Times New Roman" w:hAnsi="Times New Roman" w:cs="Times New Roman"/>
        </w:rPr>
        <w:t xml:space="preserve"> Providing Accessible Instructional Materials</w:t>
      </w:r>
    </w:p>
    <w:bookmarkEnd w:id="33"/>
    <w:bookmarkEnd w:id="34"/>
    <w:p w:rsidR="00E00E29" w:rsidRPr="00AA4F9D" w:rsidRDefault="00E00E29" w:rsidP="00AA4F9D">
      <w:pPr>
        <w:widowControl w:val="0"/>
      </w:pPr>
    </w:p>
    <w:p w:rsidR="00E00E29" w:rsidRPr="00AA4F9D" w:rsidRDefault="00E00E29" w:rsidP="00AA4F9D">
      <w:pPr>
        <w:widowControl w:val="0"/>
      </w:pPr>
      <w:bookmarkStart w:id="35" w:name="OLE_LINK52"/>
      <w:bookmarkStart w:id="36" w:name="OLE_LINK51"/>
      <w:r w:rsidRPr="00AA4F9D">
        <w:t>The Report</w:t>
      </w:r>
      <w:r w:rsidR="005D4B4F" w:rsidRPr="00AA4F9D">
        <w:t xml:space="preserve">'s contents prove </w:t>
      </w:r>
      <w:r w:rsidRPr="00AA4F9D">
        <w:t>that the U.S. is ahead of Ontario in trying to develop a concerted strategy for insuring that post-secondary students with disabilities have access to reading materials in an accessible format</w:t>
      </w:r>
      <w:r w:rsidR="005D4B4F" w:rsidRPr="00AA4F9D">
        <w:t>, even though, here again, KPMG does not draw that conclusion from its own review</w:t>
      </w:r>
      <w:r w:rsidRPr="00AA4F9D">
        <w:t xml:space="preserve">. </w:t>
      </w:r>
      <w:bookmarkEnd w:id="35"/>
      <w:bookmarkEnd w:id="36"/>
      <w:r w:rsidRPr="00AA4F9D">
        <w:t>The Report states:</w:t>
      </w:r>
    </w:p>
    <w:p w:rsidR="00E00E29" w:rsidRPr="00AA4F9D" w:rsidRDefault="00E00E29" w:rsidP="00AA4F9D">
      <w:pPr>
        <w:widowControl w:val="0"/>
      </w:pPr>
    </w:p>
    <w:p w:rsidR="00E00E29" w:rsidRPr="00AA4F9D" w:rsidRDefault="00E00E29" w:rsidP="00AA4F9D">
      <w:pPr>
        <w:widowControl w:val="0"/>
        <w:ind w:left="720" w:right="720"/>
      </w:pPr>
      <w:r w:rsidRPr="00AA4F9D">
        <w:t>"Government Policies and Programs</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 xml:space="preserve">Advisory Commission on Accessible Instructional Materials in Postsecondary Education for Students with Disabilities </w:t>
      </w:r>
    </w:p>
    <w:p w:rsidR="00E00E29" w:rsidRPr="00AA4F9D" w:rsidRDefault="00E00E29" w:rsidP="00AA4F9D">
      <w:pPr>
        <w:widowControl w:val="0"/>
        <w:ind w:left="720" w:right="720"/>
      </w:pPr>
    </w:p>
    <w:p w:rsidR="00E00E29" w:rsidRPr="00AA4F9D" w:rsidRDefault="00E00E29" w:rsidP="00AA4F9D">
      <w:pPr>
        <w:widowControl w:val="0"/>
        <w:ind w:left="720" w:right="720"/>
      </w:pPr>
      <w:r w:rsidRPr="00AA4F9D">
        <w:t>The Advisory Commission on Accessible Instructional Materials in Postsecondary Education for Students with Disabilities, established by the Higher Education Opportunity Act of 2008 has brought together government leaders, representatives from the publishing industry, individuals with print disabilities, representatives from two-year and four-year institutions of higher education and leaders in accessible technology. This is the first commission in history charged with examining accessible instructional materials for postsecondary students with disabilities. The Commission studied the state of accessible materials for students with disabilities in postsecondary education and made recommendations to the US Congress for improving access to and the distribution of instructional materials in accessible formats. The Commission was tasked with submitting a report to the Secretary and the authorizing committees detailing the findings and recommendations of the study. The final AIM Commission report was posted online on December 6, 2011" (at 167).</w:t>
      </w:r>
    </w:p>
    <w:p w:rsidR="00E00E29" w:rsidRPr="00AA4F9D" w:rsidRDefault="00E00E29" w:rsidP="00AA4F9D">
      <w:pPr>
        <w:widowControl w:val="0"/>
      </w:pPr>
    </w:p>
    <w:p w:rsidR="00E00E29" w:rsidRPr="00AA4F9D" w:rsidRDefault="00187A0F" w:rsidP="00AA4F9D">
      <w:pPr>
        <w:pStyle w:val="Heading3"/>
        <w:keepNext w:val="0"/>
        <w:keepLines w:val="0"/>
        <w:widowControl w:val="0"/>
        <w:spacing w:before="0"/>
        <w:rPr>
          <w:rFonts w:ascii="Times New Roman" w:hAnsi="Times New Roman" w:cs="Times New Roman"/>
        </w:rPr>
      </w:pPr>
      <w:bookmarkStart w:id="37" w:name="OLE_LINK54"/>
      <w:bookmarkStart w:id="38" w:name="OLE_LINK53"/>
      <w:r w:rsidRPr="00AA4F9D">
        <w:rPr>
          <w:rFonts w:ascii="Times New Roman" w:hAnsi="Times New Roman" w:cs="Times New Roman"/>
        </w:rPr>
        <w:t>5.</w:t>
      </w:r>
      <w:r w:rsidR="00E00E29" w:rsidRPr="00AA4F9D">
        <w:rPr>
          <w:rFonts w:ascii="Times New Roman" w:hAnsi="Times New Roman" w:cs="Times New Roman"/>
        </w:rPr>
        <w:t xml:space="preserve"> Assured Right to Inclusive Education </w:t>
      </w:r>
    </w:p>
    <w:bookmarkEnd w:id="37"/>
    <w:bookmarkEnd w:id="38"/>
    <w:p w:rsidR="00E00E29" w:rsidRPr="00AA4F9D" w:rsidRDefault="00E00E29" w:rsidP="00AA4F9D">
      <w:pPr>
        <w:widowControl w:val="0"/>
      </w:pPr>
    </w:p>
    <w:p w:rsidR="00E00E29" w:rsidRPr="00AA4F9D" w:rsidRDefault="00E00E29" w:rsidP="00AA4F9D">
      <w:pPr>
        <w:widowControl w:val="0"/>
      </w:pPr>
      <w:bookmarkStart w:id="39" w:name="OLE_LINK56"/>
      <w:bookmarkStart w:id="40" w:name="OLE_LINK55"/>
      <w:r w:rsidRPr="00AA4F9D">
        <w:t xml:space="preserve">The Report recites information from New Brunswick which, if true, would contradict the Report's claim that Ontario is at least as strong as any other jurisdiction in education accessibility. </w:t>
      </w:r>
      <w:bookmarkEnd w:id="39"/>
      <w:bookmarkEnd w:id="40"/>
      <w:r w:rsidRPr="00AA4F9D">
        <w:t xml:space="preserve">The Report states: </w:t>
      </w:r>
    </w:p>
    <w:p w:rsidR="00E00E29" w:rsidRPr="00AA4F9D" w:rsidRDefault="00E00E29" w:rsidP="00AA4F9D">
      <w:pPr>
        <w:widowControl w:val="0"/>
      </w:pPr>
    </w:p>
    <w:p w:rsidR="00E00E29" w:rsidRPr="00AA4F9D" w:rsidRDefault="00E00E29" w:rsidP="00AA4F9D">
      <w:pPr>
        <w:widowControl w:val="0"/>
        <w:ind w:left="720" w:right="720"/>
      </w:pPr>
      <w:r w:rsidRPr="00AA4F9D">
        <w:t>"Educational Planning for Students with Exceptionalities: According to their government, New Brunswick has the strongest inclusive special education program in Canada. It is required, by law, that all children with disabilities be included into regular classroom settings. A cross-departmental Early Childhood Development policy framework has been implemented" (at 17).</w:t>
      </w:r>
    </w:p>
    <w:p w:rsidR="00E00E29" w:rsidRPr="00AA4F9D" w:rsidRDefault="00E00E29" w:rsidP="00AA4F9D">
      <w:pPr>
        <w:widowControl w:val="0"/>
      </w:pPr>
    </w:p>
    <w:p w:rsidR="00E00E29" w:rsidRPr="00AA4F9D" w:rsidRDefault="007A0273" w:rsidP="00AA4F9D">
      <w:pPr>
        <w:pStyle w:val="Heading3"/>
        <w:keepNext w:val="0"/>
        <w:keepLines w:val="0"/>
        <w:widowControl w:val="0"/>
        <w:spacing w:before="0"/>
        <w:rPr>
          <w:rFonts w:ascii="Times New Roman" w:hAnsi="Times New Roman" w:cs="Times New Roman"/>
        </w:rPr>
      </w:pPr>
      <w:bookmarkStart w:id="41" w:name="OLE_LINK58"/>
      <w:bookmarkStart w:id="42" w:name="OLE_LINK57"/>
      <w:r w:rsidRPr="00AA4F9D">
        <w:rPr>
          <w:rFonts w:ascii="Times New Roman" w:hAnsi="Times New Roman" w:cs="Times New Roman"/>
        </w:rPr>
        <w:t>6.</w:t>
      </w:r>
      <w:r w:rsidR="00E00E29" w:rsidRPr="00AA4F9D">
        <w:rPr>
          <w:rFonts w:ascii="Times New Roman" w:hAnsi="Times New Roman" w:cs="Times New Roman"/>
        </w:rPr>
        <w:t xml:space="preserve"> Pre-School Early Literacy Programming for Students with Vision Loss</w:t>
      </w:r>
    </w:p>
    <w:bookmarkEnd w:id="41"/>
    <w:bookmarkEnd w:id="42"/>
    <w:p w:rsidR="00E00E29" w:rsidRPr="00AA4F9D" w:rsidRDefault="00E00E29" w:rsidP="00AA4F9D">
      <w:pPr>
        <w:widowControl w:val="0"/>
      </w:pPr>
    </w:p>
    <w:p w:rsidR="00E00E29" w:rsidRPr="00AA4F9D" w:rsidRDefault="00E00E29" w:rsidP="00AA4F9D">
      <w:pPr>
        <w:widowControl w:val="0"/>
      </w:pPr>
      <w:bookmarkStart w:id="43" w:name="OLE_LINK60"/>
      <w:bookmarkStart w:id="44" w:name="OLE_LINK59"/>
      <w:r w:rsidRPr="00AA4F9D">
        <w:t>The Report explored pre-school programming and supports for students with disabilities in some jurisdictions. However, the Report did not recognize that Ontario lags far behind the Maritime provinces in the provision of pre-school literacy supports for children who are blind or low vision.</w:t>
      </w:r>
      <w:r w:rsidR="00A534ED" w:rsidRPr="00AA4F9D">
        <w:t xml:space="preserve"> Ontario makes these students wait until they are school-age to get early literacy support from teachers of the visually impaired (TVIs). In the Maritimes, TVI early literacy support is available to children with vision loss at the pre-school stage. </w:t>
      </w:r>
    </w:p>
    <w:p w:rsidR="00E00E29" w:rsidRPr="00AA4F9D" w:rsidRDefault="00E00E29" w:rsidP="00AA4F9D">
      <w:pPr>
        <w:widowControl w:val="0"/>
      </w:pPr>
    </w:p>
    <w:p w:rsidR="00E00E29" w:rsidRPr="00AA4F9D" w:rsidRDefault="008C558D" w:rsidP="00AA4F9D">
      <w:pPr>
        <w:widowControl w:val="0"/>
      </w:pPr>
      <w:bookmarkStart w:id="45" w:name="OLE_LINK62"/>
      <w:bookmarkStart w:id="46" w:name="OLE_LINK61"/>
      <w:bookmarkEnd w:id="43"/>
      <w:bookmarkEnd w:id="44"/>
      <w:r w:rsidRPr="00F8033C">
        <w:rPr>
          <w:rStyle w:val="Heading3Char"/>
          <w:rFonts w:ascii="Times New Roman" w:hAnsi="Times New Roman" w:cs="Times New Roman"/>
        </w:rPr>
        <w:t>7.</w:t>
      </w:r>
      <w:r w:rsidR="00E00E29" w:rsidRPr="00AA4F9D">
        <w:rPr>
          <w:rStyle w:val="Heading3Char"/>
          <w:rFonts w:ascii="Times New Roman" w:hAnsi="Times New Roman" w:cs="Times New Roman"/>
        </w:rPr>
        <w:t xml:space="preserve"> Ensuring Students Without Disabilities Are Receptive to Students with Disabilities in the Mainstream Classroom</w:t>
      </w:r>
    </w:p>
    <w:p w:rsidR="00E00E29" w:rsidRPr="00AA4F9D" w:rsidRDefault="00E00E29" w:rsidP="00AA4F9D">
      <w:pPr>
        <w:widowControl w:val="0"/>
      </w:pPr>
    </w:p>
    <w:p w:rsidR="00E00E29" w:rsidRPr="00AA4F9D" w:rsidRDefault="00E00E29" w:rsidP="00AA4F9D">
      <w:pPr>
        <w:widowControl w:val="0"/>
      </w:pPr>
      <w:r w:rsidRPr="00AA4F9D">
        <w:t xml:space="preserve">The Report did not compare measures to ensure students without disabilities are educated about the inclusion of students with disabilities in the education system' mainstream. </w:t>
      </w:r>
      <w:r w:rsidR="00525593" w:rsidRPr="00AA4F9D">
        <w:t>Chapter 3 of this Analysis of the KPMG Report</w:t>
      </w:r>
      <w:r w:rsidRPr="00AA4F9D">
        <w:t xml:space="preserve"> identif</w:t>
      </w:r>
      <w:r w:rsidR="00525593" w:rsidRPr="00AA4F9D">
        <w:t>ies</w:t>
      </w:r>
      <w:r w:rsidRPr="00AA4F9D">
        <w:t xml:space="preserve"> some jurisdictions that have </w:t>
      </w:r>
      <w:r w:rsidR="00D701A3" w:rsidRPr="00AA4F9D">
        <w:t>measures addressing this.</w:t>
      </w:r>
      <w:r w:rsidR="008C558D" w:rsidRPr="00AA4F9D">
        <w:t xml:space="preserve"> As noted earlier, this goes well beyond anti-bullying legislation, an area where the KPMG Report</w:t>
      </w:r>
      <w:r w:rsidR="00AA4F9D">
        <w:t xml:space="preserve"> </w:t>
      </w:r>
      <w:r w:rsidR="008C558D" w:rsidRPr="00AA4F9D">
        <w:t>says Ontario should do more.</w:t>
      </w:r>
      <w:r w:rsidR="00AA4F9D">
        <w:t xml:space="preserve"> </w:t>
      </w:r>
    </w:p>
    <w:p w:rsidR="00E00E29" w:rsidRPr="00AA4F9D" w:rsidRDefault="00E00E29" w:rsidP="00AA4F9D">
      <w:pPr>
        <w:widowControl w:val="0"/>
      </w:pPr>
    </w:p>
    <w:bookmarkEnd w:id="45"/>
    <w:bookmarkEnd w:id="46"/>
    <w:p w:rsidR="00E00E29" w:rsidRPr="00AA4F9D" w:rsidRDefault="00663FF1"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V.</w:t>
      </w:r>
      <w:r w:rsidR="00E00E29" w:rsidRPr="00AA4F9D">
        <w:rPr>
          <w:rFonts w:ascii="Times New Roman" w:hAnsi="Times New Roman" w:cs="Times New Roman"/>
          <w:sz w:val="24"/>
          <w:szCs w:val="24"/>
        </w:rPr>
        <w:t xml:space="preserve"> </w:t>
      </w:r>
      <w:bookmarkStart w:id="47" w:name="OLE_LINK64"/>
      <w:bookmarkStart w:id="48" w:name="OLE_LINK63"/>
      <w:r w:rsidR="00E00E29" w:rsidRPr="00AA4F9D">
        <w:rPr>
          <w:rFonts w:ascii="Times New Roman" w:hAnsi="Times New Roman" w:cs="Times New Roman"/>
          <w:sz w:val="24"/>
          <w:szCs w:val="24"/>
        </w:rPr>
        <w:t>The Report Conceded that a Key Measure in Ontario Which It Emphasized as Supporting Its Bottom-Line Conclusion May Not Be Effective in Practice</w:t>
      </w:r>
    </w:p>
    <w:bookmarkEnd w:id="47"/>
    <w:bookmarkEnd w:id="48"/>
    <w:p w:rsidR="00E00E29" w:rsidRPr="00AA4F9D" w:rsidRDefault="00E00E29" w:rsidP="00AA4F9D">
      <w:pPr>
        <w:widowControl w:val="0"/>
      </w:pPr>
    </w:p>
    <w:p w:rsidR="00E00E29" w:rsidRPr="00AA4F9D" w:rsidRDefault="00E00E29" w:rsidP="00AA4F9D">
      <w:pPr>
        <w:widowControl w:val="0"/>
      </w:pPr>
      <w:bookmarkStart w:id="49" w:name="OLE_LINK66"/>
      <w:bookmarkStart w:id="50" w:name="OLE_LINK65"/>
      <w:r w:rsidRPr="00AA4F9D">
        <w:t xml:space="preserve">The </w:t>
      </w:r>
      <w:r w:rsidR="00934D1B" w:rsidRPr="00AA4F9D">
        <w:t xml:space="preserve">KPMG </w:t>
      </w:r>
      <w:r w:rsidRPr="00AA4F9D">
        <w:t xml:space="preserve">Report's bottom-line finding is substantially weakened by its related comment that this is in effect a comparison of laws or policies as stated, not as delivered on the front lines. </w:t>
      </w:r>
      <w:bookmarkEnd w:id="49"/>
      <w:bookmarkEnd w:id="50"/>
      <w:r w:rsidRPr="00AA4F9D">
        <w:t>The Report states:</w:t>
      </w:r>
    </w:p>
    <w:p w:rsidR="00E00E29" w:rsidRPr="00AA4F9D" w:rsidRDefault="00E00E29" w:rsidP="00AA4F9D">
      <w:pPr>
        <w:widowControl w:val="0"/>
      </w:pPr>
    </w:p>
    <w:p w:rsidR="00E00E29" w:rsidRPr="00AA4F9D" w:rsidRDefault="00E00E29" w:rsidP="00AA4F9D">
      <w:pPr>
        <w:widowControl w:val="0"/>
        <w:ind w:left="720" w:right="720"/>
      </w:pPr>
      <w:r w:rsidRPr="00AA4F9D">
        <w:t>"Again, Ontario appears to be comparable or better than other jurisdictions as it relates to policies and strategic initiatives to help make education more accessible to persons with disabilities. Similar to Ontario, other jurisdictions have accessibility plans, disability strategies and action plans and equal access policies in place" (at 33).</w:t>
      </w:r>
    </w:p>
    <w:p w:rsidR="00E00E29" w:rsidRPr="00AA4F9D" w:rsidRDefault="00E00E29" w:rsidP="00AA4F9D">
      <w:pPr>
        <w:widowControl w:val="0"/>
      </w:pPr>
      <w:r w:rsidRPr="00AA4F9D">
        <w:t xml:space="preserve"> </w:t>
      </w:r>
    </w:p>
    <w:p w:rsidR="00E00E29" w:rsidRPr="00AA4F9D" w:rsidRDefault="00E00E29" w:rsidP="00AA4F9D">
      <w:pPr>
        <w:widowControl w:val="0"/>
      </w:pPr>
      <w:bookmarkStart w:id="51" w:name="OLE_LINK68"/>
      <w:bookmarkStart w:id="52" w:name="OLE_LINK67"/>
      <w:r w:rsidRPr="00AA4F9D">
        <w:t xml:space="preserve">Just as the Report over-emphasized the process of one-off individual student accommodations, it also </w:t>
      </w:r>
      <w:r w:rsidR="00934D1B" w:rsidRPr="00AA4F9D">
        <w:t xml:space="preserve">conceded </w:t>
      </w:r>
      <w:r w:rsidRPr="00AA4F9D">
        <w:t>that Ontario's regime for doing this is not consistently an effective solution.</w:t>
      </w:r>
      <w:bookmarkEnd w:id="51"/>
      <w:bookmarkEnd w:id="52"/>
      <w:r w:rsidRPr="00AA4F9D">
        <w:t xml:space="preserve"> To repeat the key part of an excerpt from the Report's bottom-line conclusion, cited above, the Report concluded:</w:t>
      </w:r>
    </w:p>
    <w:p w:rsidR="00E00E29" w:rsidRPr="00AA4F9D" w:rsidRDefault="00E00E29" w:rsidP="00AA4F9D">
      <w:pPr>
        <w:widowControl w:val="0"/>
      </w:pPr>
    </w:p>
    <w:p w:rsidR="00E00E29" w:rsidRPr="00AA4F9D" w:rsidRDefault="00E00E29" w:rsidP="00AA4F9D">
      <w:pPr>
        <w:widowControl w:val="0"/>
        <w:ind w:left="720" w:right="720"/>
      </w:pPr>
      <w:r w:rsidRPr="00AA4F9D">
        <w:t xml:space="preserve">"What is not clear, is how these practices play out in delivery. As will be demonstrated in the Section 4 of the report on barriers to accessibility, although there are regulations and policies in place in Ontario and its peer jurisdictions, </w:t>
      </w:r>
      <w:r w:rsidRPr="00AA4F9D">
        <w:lastRenderedPageBreak/>
        <w:t>these standards are not always delivered as intended. There are reports of schools receiving insufficient funding for accommodating special needs, poor transition planning, and a lack of feeling welcome at school. Despite regulations and policies in place to ensure high standards of accommodation in education, there are reported gaps in ensuring the delivery of these standards are at the level intended" (at 31).</w:t>
      </w:r>
    </w:p>
    <w:p w:rsidR="00E00E29" w:rsidRPr="00AA4F9D" w:rsidRDefault="00E00E29" w:rsidP="00AA4F9D">
      <w:pPr>
        <w:widowControl w:val="0"/>
      </w:pPr>
    </w:p>
    <w:p w:rsidR="00E00E29" w:rsidRPr="00AA4F9D" w:rsidRDefault="00934D1B"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VI.</w:t>
      </w:r>
      <w:r w:rsidR="00E00E29" w:rsidRPr="00AA4F9D">
        <w:rPr>
          <w:rFonts w:ascii="Times New Roman" w:hAnsi="Times New Roman" w:cs="Times New Roman"/>
          <w:sz w:val="24"/>
          <w:szCs w:val="24"/>
        </w:rPr>
        <w:t xml:space="preserve"> The Only Area Where the Report Says Ontario is Ahead of Other Jurisdictions, Loans and Grants for Post-Secondary Education, Doesn't Ensure Removal and Prevention of Recurring Accessibility Barriers in Ontario's Education system</w:t>
      </w:r>
    </w:p>
    <w:p w:rsidR="00E00E29" w:rsidRPr="00AA4F9D" w:rsidRDefault="00E00E29" w:rsidP="00AA4F9D">
      <w:pPr>
        <w:widowControl w:val="0"/>
      </w:pPr>
    </w:p>
    <w:p w:rsidR="00E00E29" w:rsidRPr="00AA4F9D" w:rsidRDefault="00E00E29" w:rsidP="00AA4F9D">
      <w:pPr>
        <w:widowControl w:val="0"/>
      </w:pPr>
      <w:bookmarkStart w:id="53" w:name="OLE_LINK70"/>
      <w:bookmarkStart w:id="54" w:name="OLE_LINK69"/>
      <w:r w:rsidRPr="00AA4F9D">
        <w:t xml:space="preserve">The </w:t>
      </w:r>
      <w:r w:rsidR="00566391" w:rsidRPr="00AA4F9D">
        <w:t xml:space="preserve">KPMG </w:t>
      </w:r>
      <w:r w:rsidRPr="00AA4F9D">
        <w:t>Report only explicitly identifie</w:t>
      </w:r>
      <w:r w:rsidR="00566391" w:rsidRPr="00AA4F9D">
        <w:t>d</w:t>
      </w:r>
      <w:r w:rsidRPr="00AA4F9D">
        <w:t xml:space="preserve"> one area where it specifically says Ontario is ahead of the other jurisdictions studied, namely loans or grants to college and university students with disabilities.</w:t>
      </w:r>
      <w:bookmarkEnd w:id="53"/>
      <w:bookmarkEnd w:id="54"/>
      <w:r w:rsidRPr="00AA4F9D">
        <w:t xml:space="preserve"> The Report states:</w:t>
      </w:r>
    </w:p>
    <w:p w:rsidR="00E00E29" w:rsidRPr="00AA4F9D" w:rsidRDefault="00E00E29" w:rsidP="00AA4F9D">
      <w:pPr>
        <w:widowControl w:val="0"/>
      </w:pPr>
    </w:p>
    <w:p w:rsidR="00E00E29" w:rsidRPr="00AA4F9D" w:rsidRDefault="00E00E29" w:rsidP="00AA4F9D">
      <w:pPr>
        <w:widowControl w:val="0"/>
        <w:ind w:left="720" w:right="720"/>
      </w:pPr>
      <w:r w:rsidRPr="00AA4F9D">
        <w:t>"Furthermore, Ontario appears to be a leading jurisdiction in offering loans and grant supports to students with disabilities seeking post-secondary education" (at 56).</w:t>
      </w:r>
    </w:p>
    <w:p w:rsidR="00E00E29" w:rsidRPr="00AA4F9D" w:rsidRDefault="00E00E29" w:rsidP="00AA4F9D">
      <w:pPr>
        <w:widowControl w:val="0"/>
      </w:pPr>
    </w:p>
    <w:p w:rsidR="0043583A" w:rsidRPr="00AA4F9D" w:rsidRDefault="00E00E29" w:rsidP="00AA4F9D">
      <w:pPr>
        <w:widowControl w:val="0"/>
      </w:pPr>
      <w:r w:rsidRPr="00AA4F9D">
        <w:t xml:space="preserve">For purposes of this Analysis, </w:t>
      </w:r>
      <w:r w:rsidR="000C1964" w:rsidRPr="00AA4F9D">
        <w:t xml:space="preserve">it is assumed </w:t>
      </w:r>
      <w:r w:rsidRPr="00AA4F9D">
        <w:t>that this conclusion is accurate</w:t>
      </w:r>
      <w:r w:rsidR="0043583A" w:rsidRPr="00AA4F9D">
        <w:t>. This is so,</w:t>
      </w:r>
      <w:r w:rsidR="00AA4F9D">
        <w:t xml:space="preserve"> </w:t>
      </w:r>
      <w:r w:rsidRPr="00AA4F9D">
        <w:t xml:space="preserve">even though </w:t>
      </w:r>
      <w:bookmarkStart w:id="55" w:name="OLE_LINK72"/>
      <w:bookmarkStart w:id="56" w:name="OLE_LINK71"/>
      <w:r w:rsidRPr="00AA4F9D">
        <w:t xml:space="preserve">the Report provides no detailed side-by-side comparison of Ontario's loan/grants programs with those in all the other jurisdictions studied. </w:t>
      </w:r>
    </w:p>
    <w:p w:rsidR="0043583A" w:rsidRPr="00AA4F9D" w:rsidRDefault="0043583A" w:rsidP="00AA4F9D">
      <w:pPr>
        <w:widowControl w:val="0"/>
      </w:pPr>
    </w:p>
    <w:p w:rsidR="00E00E29" w:rsidRPr="00AA4F9D" w:rsidRDefault="0043583A" w:rsidP="00AA4F9D">
      <w:pPr>
        <w:widowControl w:val="0"/>
      </w:pPr>
      <w:r w:rsidRPr="00AA4F9D">
        <w:t>S</w:t>
      </w:r>
      <w:r w:rsidR="00E00E29" w:rsidRPr="00AA4F9D">
        <w:t>uch loans and grants are of course helpful to students with disabilities</w:t>
      </w:r>
      <w:r w:rsidRPr="00AA4F9D">
        <w:t>. However,</w:t>
      </w:r>
      <w:r w:rsidR="00E00E29" w:rsidRPr="00AA4F9D">
        <w:t xml:space="preserve"> these alone are not capable of ensuring that Ontario's education system becomes fully accessible by 2025.</w:t>
      </w:r>
      <w:r w:rsidRPr="00AA4F9D">
        <w:t xml:space="preserve"> Those loans and grants don't systematically tear down existing accessibility barriers in Ontario's education system, and do not prevent the creation of new ones.</w:t>
      </w:r>
      <w:r w:rsidR="00E00E29" w:rsidRPr="00AA4F9D">
        <w:t xml:space="preserve"> </w:t>
      </w:r>
      <w:bookmarkEnd w:id="55"/>
      <w:bookmarkEnd w:id="56"/>
    </w:p>
    <w:p w:rsidR="00E00E29" w:rsidRPr="00AA4F9D" w:rsidRDefault="00E00E29" w:rsidP="00AA4F9D">
      <w:pPr>
        <w:widowControl w:val="0"/>
      </w:pPr>
    </w:p>
    <w:p w:rsidR="00E00E29" w:rsidRPr="00AA4F9D" w:rsidRDefault="00606294" w:rsidP="00AA4F9D">
      <w:pPr>
        <w:pStyle w:val="Heading2"/>
        <w:keepNext w:val="0"/>
        <w:keepLines w:val="0"/>
        <w:widowControl w:val="0"/>
        <w:spacing w:before="0"/>
        <w:rPr>
          <w:rFonts w:ascii="Times New Roman" w:hAnsi="Times New Roman" w:cs="Times New Roman"/>
          <w:sz w:val="24"/>
          <w:szCs w:val="24"/>
        </w:rPr>
      </w:pPr>
      <w:r w:rsidRPr="00AA4F9D">
        <w:rPr>
          <w:rFonts w:ascii="Times New Roman" w:hAnsi="Times New Roman" w:cs="Times New Roman"/>
          <w:sz w:val="24"/>
          <w:szCs w:val="24"/>
        </w:rPr>
        <w:t>VII.</w:t>
      </w:r>
      <w:r w:rsidR="00E00E29" w:rsidRPr="00AA4F9D">
        <w:rPr>
          <w:rFonts w:ascii="Times New Roman" w:hAnsi="Times New Roman" w:cs="Times New Roman"/>
          <w:sz w:val="24"/>
          <w:szCs w:val="24"/>
        </w:rPr>
        <w:t xml:space="preserve"> </w:t>
      </w:r>
      <w:r w:rsidR="00274AC7" w:rsidRPr="00AA4F9D">
        <w:rPr>
          <w:rFonts w:ascii="Times New Roman" w:hAnsi="Times New Roman" w:cs="Times New Roman"/>
          <w:sz w:val="24"/>
          <w:szCs w:val="24"/>
        </w:rPr>
        <w:t>Unc</w:t>
      </w:r>
      <w:r w:rsidRPr="00AA4F9D">
        <w:rPr>
          <w:rFonts w:ascii="Times New Roman" w:hAnsi="Times New Roman" w:cs="Times New Roman"/>
          <w:sz w:val="24"/>
          <w:szCs w:val="24"/>
        </w:rPr>
        <w:t xml:space="preserve">lear Why </w:t>
      </w:r>
      <w:r w:rsidR="00E00E29" w:rsidRPr="00AA4F9D">
        <w:rPr>
          <w:rFonts w:ascii="Times New Roman" w:hAnsi="Times New Roman" w:cs="Times New Roman"/>
          <w:sz w:val="24"/>
          <w:szCs w:val="24"/>
        </w:rPr>
        <w:t>KPMG Reach</w:t>
      </w:r>
      <w:r w:rsidRPr="00AA4F9D">
        <w:rPr>
          <w:rFonts w:ascii="Times New Roman" w:hAnsi="Times New Roman" w:cs="Times New Roman"/>
          <w:sz w:val="24"/>
          <w:szCs w:val="24"/>
        </w:rPr>
        <w:t>ed</w:t>
      </w:r>
      <w:r w:rsidR="00E00E29" w:rsidRPr="00AA4F9D">
        <w:rPr>
          <w:rFonts w:ascii="Times New Roman" w:hAnsi="Times New Roman" w:cs="Times New Roman"/>
          <w:sz w:val="24"/>
          <w:szCs w:val="24"/>
        </w:rPr>
        <w:t xml:space="preserve"> Its Incorrect Bottom-line Conclusion that Ontario is As Good </w:t>
      </w:r>
      <w:r w:rsidR="00F8033C">
        <w:rPr>
          <w:rFonts w:ascii="Times New Roman" w:hAnsi="Times New Roman" w:cs="Times New Roman"/>
          <w:sz w:val="24"/>
          <w:szCs w:val="24"/>
        </w:rPr>
        <w:t>a</w:t>
      </w:r>
      <w:r w:rsidR="00E00E29" w:rsidRPr="00AA4F9D">
        <w:rPr>
          <w:rFonts w:ascii="Times New Roman" w:hAnsi="Times New Roman" w:cs="Times New Roman"/>
          <w:sz w:val="24"/>
          <w:szCs w:val="24"/>
        </w:rPr>
        <w:t>s or Better Than All Other Jurisdictions Studied?</w:t>
      </w:r>
    </w:p>
    <w:p w:rsidR="00E00E29" w:rsidRPr="00AA4F9D" w:rsidRDefault="00E00E29" w:rsidP="00AA4F9D">
      <w:pPr>
        <w:widowControl w:val="0"/>
      </w:pPr>
    </w:p>
    <w:p w:rsidR="00E00E29" w:rsidRPr="00AA4F9D" w:rsidRDefault="00606294" w:rsidP="00AA4F9D">
      <w:pPr>
        <w:widowControl w:val="0"/>
      </w:pPr>
      <w:bookmarkStart w:id="57" w:name="OLE_LINK75"/>
      <w:bookmarkStart w:id="58" w:name="OLE_LINK76"/>
      <w:r w:rsidRPr="00AA4F9D">
        <w:t xml:space="preserve">In light of the </w:t>
      </w:r>
      <w:r w:rsidR="00613778" w:rsidRPr="00AA4F9D">
        <w:t>preceding</w:t>
      </w:r>
      <w:r w:rsidRPr="00AA4F9D">
        <w:t xml:space="preserve"> points, one cannot tell from the Report </w:t>
      </w:r>
      <w:r w:rsidR="00E00E29" w:rsidRPr="00AA4F9D">
        <w:t>why KPMG reached so obviously incorrect a bottom-line conclusion that Ontario is as good as or better than all other jurisdictions that KPMG studied. There are two possible explanations: Either KPMG simply did a very poor job in investigating and analyzing this issue, or the Ontario Government asked KPMG to include this conclusion in the Report</w:t>
      </w:r>
      <w:r w:rsidR="00E434EE" w:rsidRPr="00AA4F9D">
        <w:t xml:space="preserve"> and KPMG agreed to do so</w:t>
      </w:r>
      <w:r w:rsidR="00E00E29" w:rsidRPr="00AA4F9D">
        <w:t xml:space="preserve">. </w:t>
      </w:r>
    </w:p>
    <w:bookmarkEnd w:id="57"/>
    <w:bookmarkEnd w:id="58"/>
    <w:p w:rsidR="00E00E29" w:rsidRPr="00AA4F9D" w:rsidRDefault="00E00E29" w:rsidP="00AA4F9D">
      <w:pPr>
        <w:widowControl w:val="0"/>
      </w:pPr>
    </w:p>
    <w:p w:rsidR="004641C1" w:rsidRPr="00AA4F9D" w:rsidRDefault="00606294" w:rsidP="00AA4F9D">
      <w:pPr>
        <w:widowControl w:val="0"/>
      </w:pPr>
      <w:r w:rsidRPr="00AA4F9D">
        <w:t xml:space="preserve">It is not possible to tell </w:t>
      </w:r>
      <w:r w:rsidR="00E00E29" w:rsidRPr="00AA4F9D">
        <w:t xml:space="preserve">which explanation is correct. However, </w:t>
      </w:r>
      <w:r w:rsidR="004641C1" w:rsidRPr="00AA4F9D">
        <w:t xml:space="preserve">here are some </w:t>
      </w:r>
      <w:r w:rsidR="00E00E29" w:rsidRPr="00AA4F9D">
        <w:t xml:space="preserve">reflections. </w:t>
      </w:r>
    </w:p>
    <w:p w:rsidR="004641C1" w:rsidRPr="00AA4F9D" w:rsidRDefault="004641C1" w:rsidP="00AA4F9D">
      <w:pPr>
        <w:widowControl w:val="0"/>
      </w:pPr>
    </w:p>
    <w:p w:rsidR="005F7927" w:rsidRPr="00AA4F9D" w:rsidRDefault="00E00E29" w:rsidP="00AA4F9D">
      <w:pPr>
        <w:widowControl w:val="0"/>
      </w:pPr>
      <w:r w:rsidRPr="00AA4F9D">
        <w:t xml:space="preserve">KPMG is a well-known consulting firm. </w:t>
      </w:r>
      <w:r w:rsidR="005F7927" w:rsidRPr="00AA4F9D">
        <w:t>However, it is not clear what expertise it has in education accessibility barriers.</w:t>
      </w:r>
      <w:r w:rsidR="00E434EE" w:rsidRPr="00AA4F9D">
        <w:t xml:space="preserve"> Even if KPMG has no expertise in education accessibility issues, at least some of the foregoing fatal flaws in its bottom-line conclusion should have been obvious.</w:t>
      </w:r>
      <w:r w:rsidR="005F7927" w:rsidRPr="00AA4F9D">
        <w:t xml:space="preserve"> </w:t>
      </w:r>
    </w:p>
    <w:p w:rsidR="005F7927" w:rsidRPr="00AA4F9D" w:rsidRDefault="005F7927" w:rsidP="00AA4F9D">
      <w:pPr>
        <w:widowControl w:val="0"/>
      </w:pPr>
    </w:p>
    <w:p w:rsidR="006601EE" w:rsidRPr="00AA4F9D" w:rsidRDefault="00E00E29" w:rsidP="00AA4F9D">
      <w:pPr>
        <w:widowControl w:val="0"/>
      </w:pPr>
      <w:r w:rsidRPr="00AA4F9D">
        <w:t xml:space="preserve">It is not unusual for an outside consultant to submit draft reports to a client for feedback, and for the client to ask for the contents to be modified. </w:t>
      </w:r>
      <w:r w:rsidR="006601EE" w:rsidRPr="00AA4F9D">
        <w:t xml:space="preserve">It is not clear when a consulting firm will agree to do so, if asked. </w:t>
      </w:r>
    </w:p>
    <w:p w:rsidR="006601EE" w:rsidRPr="00AA4F9D" w:rsidRDefault="006601EE" w:rsidP="00AA4F9D">
      <w:pPr>
        <w:widowControl w:val="0"/>
      </w:pPr>
    </w:p>
    <w:p w:rsidR="00E00E29" w:rsidRPr="00AA4F9D" w:rsidRDefault="00E00E29" w:rsidP="00AA4F9D">
      <w:pPr>
        <w:widowControl w:val="0"/>
      </w:pPr>
      <w:r w:rsidRPr="00AA4F9D">
        <w:t xml:space="preserve">The AODA Alliance asked both KPMG and the Accessibility Directorate of Ontario what role the Government played in </w:t>
      </w:r>
      <w:r w:rsidR="006601EE" w:rsidRPr="00AA4F9D">
        <w:t xml:space="preserve">having </w:t>
      </w:r>
      <w:r w:rsidRPr="00AA4F9D">
        <w:t>this bottom-line conclusion</w:t>
      </w:r>
      <w:r w:rsidR="006601EE" w:rsidRPr="00AA4F9D">
        <w:t xml:space="preserve"> inserted in the KPMG Report.</w:t>
      </w:r>
      <w:r w:rsidRPr="00AA4F9D">
        <w:t xml:space="preserve"> The Accessibility Directorate of Ontario has not answered as of the date of this Analysis. KPMG responded in an October 27, 2016 email stating in material part: "We do not comment on client matters."</w:t>
      </w:r>
    </w:p>
    <w:p w:rsidR="00E00E29" w:rsidRPr="00AA4F9D" w:rsidRDefault="00E00E29" w:rsidP="00AA4F9D">
      <w:pPr>
        <w:widowControl w:val="0"/>
      </w:pPr>
    </w:p>
    <w:p w:rsidR="00E434EE" w:rsidRPr="00AA4F9D" w:rsidRDefault="00E00E29" w:rsidP="00AA4F9D">
      <w:pPr>
        <w:widowControl w:val="0"/>
      </w:pPr>
      <w:r w:rsidRPr="00AA4F9D">
        <w:t xml:space="preserve">There are </w:t>
      </w:r>
      <w:r w:rsidR="00E434EE" w:rsidRPr="00AA4F9D">
        <w:t xml:space="preserve">clear </w:t>
      </w:r>
      <w:r w:rsidRPr="00AA4F9D">
        <w:t xml:space="preserve">circumstances which </w:t>
      </w:r>
      <w:r w:rsidR="00E434EE" w:rsidRPr="00AA4F9D">
        <w:t xml:space="preserve">made </w:t>
      </w:r>
      <w:r w:rsidRPr="00AA4F9D">
        <w:t xml:space="preserve">this a reasonable question </w:t>
      </w:r>
      <w:r w:rsidR="00E434EE" w:rsidRPr="00AA4F9D">
        <w:t xml:space="preserve">for AODA Alliance </w:t>
      </w:r>
      <w:r w:rsidRPr="00AA4F9D">
        <w:t xml:space="preserve">to ask. </w:t>
      </w:r>
      <w:r w:rsidR="006601EE" w:rsidRPr="00AA4F9D">
        <w:t xml:space="preserve">First, the bottom—line conclusion in the KPMG Report, that Ontario is as good as or better than some or all other jurisdictions studied, sticks out like a sore thumb in the text of the KPMG Report. </w:t>
      </w:r>
    </w:p>
    <w:p w:rsidR="00E434EE" w:rsidRPr="00AA4F9D" w:rsidRDefault="00E434EE" w:rsidP="00AA4F9D">
      <w:pPr>
        <w:widowControl w:val="0"/>
      </w:pPr>
    </w:p>
    <w:p w:rsidR="006601EE" w:rsidRPr="00AA4F9D" w:rsidRDefault="006601EE" w:rsidP="00AA4F9D">
      <w:pPr>
        <w:widowControl w:val="0"/>
      </w:pPr>
      <w:r w:rsidRPr="00AA4F9D">
        <w:t>Second,</w:t>
      </w:r>
      <w:r w:rsidR="00E00E29" w:rsidRPr="00AA4F9D">
        <w:t xml:space="preserve"> KPMG reached significantly similar conclusions in </w:t>
      </w:r>
      <w:r w:rsidRPr="00AA4F9D">
        <w:t xml:space="preserve">two other </w:t>
      </w:r>
      <w:r w:rsidR="00E00E29" w:rsidRPr="00AA4F9D">
        <w:t>reports it undertook at the same time for the Accessibility Directorate of Ontario</w:t>
      </w:r>
      <w:r w:rsidRPr="00AA4F9D">
        <w:t>. Those reports</w:t>
      </w:r>
      <w:r w:rsidR="00AA4F9D">
        <w:t xml:space="preserve"> </w:t>
      </w:r>
      <w:r w:rsidR="00E00E29" w:rsidRPr="00AA4F9D">
        <w:t>examin</w:t>
      </w:r>
      <w:r w:rsidRPr="00AA4F9D">
        <w:t>ed</w:t>
      </w:r>
      <w:r w:rsidR="00E00E29" w:rsidRPr="00AA4F9D">
        <w:t xml:space="preserve"> actions on accessibility in public transportation and in the health care system. </w:t>
      </w:r>
    </w:p>
    <w:p w:rsidR="006601EE" w:rsidRPr="00AA4F9D" w:rsidRDefault="006601EE" w:rsidP="00AA4F9D">
      <w:pPr>
        <w:widowControl w:val="0"/>
      </w:pPr>
    </w:p>
    <w:p w:rsidR="00E00E29" w:rsidRPr="00AA4F9D" w:rsidRDefault="00F8033C" w:rsidP="00AA4F9D">
      <w:pPr>
        <w:widowControl w:val="0"/>
      </w:pPr>
      <w:r>
        <w:t>T</w:t>
      </w:r>
      <w:r w:rsidR="006601EE" w:rsidRPr="00AA4F9D">
        <w:t>hird</w:t>
      </w:r>
      <w:r w:rsidR="00E00E29" w:rsidRPr="00AA4F9D">
        <w:t xml:space="preserve">, just two months before the Accessibility Directorate of Ontario retained KPMG to prepare these reports, the Ontario cabinet minister then responsible for the Accessibility Directorate of Ontario, </w:t>
      </w:r>
      <w:r w:rsidR="006601EE" w:rsidRPr="00AA4F9D">
        <w:t xml:space="preserve">Brad Duguid, </w:t>
      </w:r>
      <w:r w:rsidR="00E00E29" w:rsidRPr="00AA4F9D">
        <w:t xml:space="preserve">began a recurring messaging strategy, claiming that Ontario is a "global leader" on accessibility. That </w:t>
      </w:r>
      <w:r w:rsidR="00E434EE" w:rsidRPr="00AA4F9D">
        <w:t xml:space="preserve">claim </w:t>
      </w:r>
      <w:r w:rsidR="00E00E29" w:rsidRPr="00AA4F9D">
        <w:t xml:space="preserve">is flatly contradicted by overwhelming evidence. </w:t>
      </w:r>
      <w:r w:rsidR="00A56C1F" w:rsidRPr="00AA4F9D">
        <w:t xml:space="preserve">For example, it </w:t>
      </w:r>
      <w:r w:rsidR="00E00E29" w:rsidRPr="00AA4F9D">
        <w:t xml:space="preserve">is </w:t>
      </w:r>
      <w:r w:rsidR="00E434EE" w:rsidRPr="00AA4F9D">
        <w:t xml:space="preserve">inconsistent with </w:t>
      </w:r>
      <w:r w:rsidR="00E00E29" w:rsidRPr="00AA4F9D">
        <w:t>the report of a Government-appointed Independent Review of the AODA's implementation which the same cabinet minister made public on February 13, 2015</w:t>
      </w:r>
      <w:r w:rsidR="00E434EE" w:rsidRPr="00AA4F9D">
        <w:t>. That was the</w:t>
      </w:r>
      <w:r w:rsidR="00AA4F9D">
        <w:t xml:space="preserve"> </w:t>
      </w:r>
      <w:r w:rsidR="00E00E29" w:rsidRPr="00AA4F9D">
        <w:t xml:space="preserve">same time as this </w:t>
      </w:r>
      <w:r w:rsidR="00E434EE" w:rsidRPr="00AA4F9D">
        <w:t xml:space="preserve">Ontario </w:t>
      </w:r>
      <w:r w:rsidR="00E00E29" w:rsidRPr="00AA4F9D">
        <w:t xml:space="preserve">Government claim of global leadership on accessibility was visibly made. To see the Ontario Government's announcement of its claim to be a global leader on accessibility on February 13, 2015, visit </w:t>
      </w:r>
      <w:hyperlink r:id="rId14" w:history="1">
        <w:r w:rsidR="00E00E29" w:rsidRPr="00AA4F9D">
          <w:rPr>
            <w:color w:val="0000FF" w:themeColor="hyperlink"/>
            <w:u w:val="single"/>
          </w:rPr>
          <w:t>http://www.aodaalliance.org/strong-effective-aoda/02132015a.asp</w:t>
        </w:r>
      </w:hyperlink>
      <w:r w:rsidR="00E00E29" w:rsidRPr="00AA4F9D">
        <w:t xml:space="preserve"> </w:t>
      </w:r>
    </w:p>
    <w:p w:rsidR="00E00E29" w:rsidRPr="00AA4F9D" w:rsidRDefault="00E00E29" w:rsidP="00AA4F9D">
      <w:pPr>
        <w:widowControl w:val="0"/>
      </w:pPr>
    </w:p>
    <w:p w:rsidR="00E434EE" w:rsidRPr="00AA4F9D" w:rsidRDefault="00E434EE" w:rsidP="00AA4F9D">
      <w:pPr>
        <w:widowControl w:val="0"/>
      </w:pPr>
      <w:r w:rsidRPr="00AA4F9D">
        <w:t>It is a cause of real concern that public money was used to prepare a report whose bottom-line conclusion is so obviously and substantially wrong. The Ontario Government has never explained why it did not simply use the officials in the Accessibility Directorate of Ontario to undertake this study. The Government has ample expertise in such activity. Moreover, the Accessibility Directorate of Ontario has been under-budget every year since the AODA was enacted in 2005, according to budget information the Government has given us.</w:t>
      </w:r>
    </w:p>
    <w:p w:rsidR="00E434EE" w:rsidRPr="00AA4F9D" w:rsidRDefault="00E434EE" w:rsidP="00AA4F9D">
      <w:pPr>
        <w:widowControl w:val="0"/>
      </w:pPr>
    </w:p>
    <w:p w:rsidR="00606294" w:rsidRPr="00AA4F9D" w:rsidRDefault="00606294" w:rsidP="00AA4F9D">
      <w:pPr>
        <w:pStyle w:val="Heading2"/>
        <w:keepNext w:val="0"/>
        <w:keepLines w:val="0"/>
        <w:widowControl w:val="0"/>
        <w:spacing w:before="0"/>
        <w:rPr>
          <w:rFonts w:ascii="Times New Roman" w:hAnsi="Times New Roman" w:cs="Times New Roman"/>
          <w:sz w:val="24"/>
          <w:szCs w:val="24"/>
        </w:rPr>
      </w:pPr>
      <w:bookmarkStart w:id="59" w:name="Start"/>
      <w:bookmarkEnd w:id="59"/>
      <w:r w:rsidRPr="00AA4F9D">
        <w:rPr>
          <w:rFonts w:ascii="Times New Roman" w:hAnsi="Times New Roman" w:cs="Times New Roman"/>
          <w:sz w:val="24"/>
          <w:szCs w:val="24"/>
        </w:rPr>
        <w:t>VII</w:t>
      </w:r>
      <w:r w:rsidR="00BE765D" w:rsidRPr="00AA4F9D">
        <w:rPr>
          <w:rFonts w:ascii="Times New Roman" w:hAnsi="Times New Roman" w:cs="Times New Roman"/>
          <w:sz w:val="24"/>
          <w:szCs w:val="24"/>
        </w:rPr>
        <w:t>I</w:t>
      </w:r>
      <w:r w:rsidRPr="00AA4F9D">
        <w:rPr>
          <w:rFonts w:ascii="Times New Roman" w:hAnsi="Times New Roman" w:cs="Times New Roman"/>
          <w:sz w:val="24"/>
          <w:szCs w:val="24"/>
        </w:rPr>
        <w:t>. The Report's Bottom-line Conclusion is Irrelevant to the Question Whether Ontario Needs an AODA Education Accessibility Standard</w:t>
      </w:r>
      <w:bookmarkStart w:id="60" w:name="Complete"/>
      <w:bookmarkEnd w:id="60"/>
      <w:r w:rsidRPr="00AA4F9D">
        <w:rPr>
          <w:rFonts w:ascii="Times New Roman" w:hAnsi="Times New Roman" w:cs="Times New Roman"/>
          <w:sz w:val="24"/>
          <w:szCs w:val="24"/>
        </w:rPr>
        <w:t xml:space="preserve"> </w:t>
      </w:r>
    </w:p>
    <w:p w:rsidR="00606294" w:rsidRPr="00AA4F9D" w:rsidRDefault="00606294" w:rsidP="00AA4F9D">
      <w:pPr>
        <w:widowControl w:val="0"/>
      </w:pPr>
    </w:p>
    <w:p w:rsidR="00606294" w:rsidRPr="00AA4F9D" w:rsidRDefault="00606294" w:rsidP="00AA4F9D">
      <w:pPr>
        <w:widowControl w:val="0"/>
      </w:pPr>
      <w:bookmarkStart w:id="61" w:name="OLE_LINK73"/>
      <w:bookmarkStart w:id="62" w:name="OLE_LINK74"/>
      <w:r w:rsidRPr="00AA4F9D">
        <w:t xml:space="preserve">Even if the Report's bottom-line conclusion had been accurate and reliable, which </w:t>
      </w:r>
      <w:r w:rsidR="00205C48" w:rsidRPr="00AA4F9D">
        <w:t xml:space="preserve">this Analysis disproves, </w:t>
      </w:r>
      <w:r w:rsidRPr="00AA4F9D">
        <w:t xml:space="preserve">that conclusion does not contradict or weaken the pressing need for the Ontario Government to </w:t>
      </w:r>
      <w:r w:rsidR="00205C48" w:rsidRPr="00AA4F9D">
        <w:t xml:space="preserve">now </w:t>
      </w:r>
      <w:r w:rsidRPr="00AA4F9D">
        <w:t xml:space="preserve">develop and implement an Education Accessibility Standard under the AODA. The AODA does not provide that it is good enough for the Ontario Government to put in place accessibility measures that are merely as strong as or stronger than those in place in other jurisdictions. The AODA requires the Government to lead Ontario, including its education system, to become fully disability-accessible by 2025. </w:t>
      </w:r>
    </w:p>
    <w:p w:rsidR="00606294" w:rsidRPr="00AA4F9D" w:rsidRDefault="00606294" w:rsidP="00AA4F9D">
      <w:pPr>
        <w:widowControl w:val="0"/>
      </w:pPr>
    </w:p>
    <w:p w:rsidR="00606294" w:rsidRPr="00AA4F9D" w:rsidRDefault="00606294" w:rsidP="00AA4F9D">
      <w:pPr>
        <w:widowControl w:val="0"/>
      </w:pPr>
      <w:r w:rsidRPr="00AA4F9D">
        <w:t xml:space="preserve">If the measures now in place will not assure that Ontario will reach that goal, the Ontario </w:t>
      </w:r>
      <w:r w:rsidRPr="00AA4F9D">
        <w:lastRenderedPageBreak/>
        <w:t xml:space="preserve">Government must enact and effectively enforce all the accessibility standards needed to ensure that Ontario reaches that goal on time. </w:t>
      </w:r>
      <w:bookmarkEnd w:id="61"/>
      <w:bookmarkEnd w:id="62"/>
      <w:r w:rsidRPr="00AA4F9D">
        <w:t>Ontario could, as KPMG incorrectly claims, be as good as or better than other jurisdictions, without ever coming an</w:t>
      </w:r>
      <w:r w:rsidR="00F8033C">
        <w:t>ywhere near full accessibility.</w:t>
      </w:r>
      <w:bookmarkStart w:id="63" w:name="_GoBack"/>
      <w:bookmarkEnd w:id="63"/>
    </w:p>
    <w:sectPr w:rsidR="00606294" w:rsidRPr="00AA4F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79" w:rsidRDefault="00F90679" w:rsidP="00A62AF2">
      <w:r>
        <w:separator/>
      </w:r>
    </w:p>
  </w:endnote>
  <w:endnote w:type="continuationSeparator" w:id="0">
    <w:p w:rsidR="00F90679" w:rsidRDefault="00F90679" w:rsidP="00A6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79" w:rsidRDefault="00F90679" w:rsidP="00A62AF2">
      <w:r>
        <w:separator/>
      </w:r>
    </w:p>
  </w:footnote>
  <w:footnote w:type="continuationSeparator" w:id="0">
    <w:p w:rsidR="00F90679" w:rsidRDefault="00F90679" w:rsidP="00A6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3C" w:rsidRDefault="00DC2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F2"/>
    <w:rsid w:val="00004F45"/>
    <w:rsid w:val="000067AE"/>
    <w:rsid w:val="000072D7"/>
    <w:rsid w:val="0000789C"/>
    <w:rsid w:val="00012A24"/>
    <w:rsid w:val="0001413C"/>
    <w:rsid w:val="00014EE0"/>
    <w:rsid w:val="00020AFC"/>
    <w:rsid w:val="00022317"/>
    <w:rsid w:val="00027D31"/>
    <w:rsid w:val="0003651F"/>
    <w:rsid w:val="000366EA"/>
    <w:rsid w:val="00036C15"/>
    <w:rsid w:val="00041622"/>
    <w:rsid w:val="00041A33"/>
    <w:rsid w:val="00041FB6"/>
    <w:rsid w:val="00045C89"/>
    <w:rsid w:val="00050576"/>
    <w:rsid w:val="00050DA2"/>
    <w:rsid w:val="00050DED"/>
    <w:rsid w:val="000512D6"/>
    <w:rsid w:val="000523A0"/>
    <w:rsid w:val="000539A9"/>
    <w:rsid w:val="0005544A"/>
    <w:rsid w:val="00061F09"/>
    <w:rsid w:val="00064242"/>
    <w:rsid w:val="00064A6A"/>
    <w:rsid w:val="000721D1"/>
    <w:rsid w:val="00073259"/>
    <w:rsid w:val="00073718"/>
    <w:rsid w:val="00074786"/>
    <w:rsid w:val="00074E66"/>
    <w:rsid w:val="0007511F"/>
    <w:rsid w:val="00080356"/>
    <w:rsid w:val="00083E48"/>
    <w:rsid w:val="00086A7D"/>
    <w:rsid w:val="00091244"/>
    <w:rsid w:val="000938E1"/>
    <w:rsid w:val="00093D0D"/>
    <w:rsid w:val="0009599E"/>
    <w:rsid w:val="00096A90"/>
    <w:rsid w:val="000979B8"/>
    <w:rsid w:val="00097FD5"/>
    <w:rsid w:val="000A2B6B"/>
    <w:rsid w:val="000A4740"/>
    <w:rsid w:val="000A484C"/>
    <w:rsid w:val="000A6483"/>
    <w:rsid w:val="000B2235"/>
    <w:rsid w:val="000B3D11"/>
    <w:rsid w:val="000C1964"/>
    <w:rsid w:val="000C1BBE"/>
    <w:rsid w:val="000C4973"/>
    <w:rsid w:val="000C58B7"/>
    <w:rsid w:val="000D2A53"/>
    <w:rsid w:val="000D40F7"/>
    <w:rsid w:val="000D4671"/>
    <w:rsid w:val="000D6F26"/>
    <w:rsid w:val="000E05F8"/>
    <w:rsid w:val="000E0CF6"/>
    <w:rsid w:val="000E2297"/>
    <w:rsid w:val="000E4103"/>
    <w:rsid w:val="000E5170"/>
    <w:rsid w:val="000E6C5D"/>
    <w:rsid w:val="000F20CA"/>
    <w:rsid w:val="000F343D"/>
    <w:rsid w:val="000F53D0"/>
    <w:rsid w:val="000F69E7"/>
    <w:rsid w:val="000F6A97"/>
    <w:rsid w:val="00102B8A"/>
    <w:rsid w:val="00104DF0"/>
    <w:rsid w:val="00113272"/>
    <w:rsid w:val="0011688F"/>
    <w:rsid w:val="00120879"/>
    <w:rsid w:val="00122322"/>
    <w:rsid w:val="00126DF8"/>
    <w:rsid w:val="00126F79"/>
    <w:rsid w:val="001335DD"/>
    <w:rsid w:val="001356DB"/>
    <w:rsid w:val="00136C0E"/>
    <w:rsid w:val="001410B9"/>
    <w:rsid w:val="00142F8F"/>
    <w:rsid w:val="00147508"/>
    <w:rsid w:val="00147E77"/>
    <w:rsid w:val="00153E41"/>
    <w:rsid w:val="00156137"/>
    <w:rsid w:val="0016385F"/>
    <w:rsid w:val="00163F30"/>
    <w:rsid w:val="00164C10"/>
    <w:rsid w:val="00167864"/>
    <w:rsid w:val="00170A38"/>
    <w:rsid w:val="00172D78"/>
    <w:rsid w:val="0017734D"/>
    <w:rsid w:val="00183F49"/>
    <w:rsid w:val="00184201"/>
    <w:rsid w:val="00184A58"/>
    <w:rsid w:val="00185835"/>
    <w:rsid w:val="00186C29"/>
    <w:rsid w:val="00187A0F"/>
    <w:rsid w:val="00187D67"/>
    <w:rsid w:val="00192B45"/>
    <w:rsid w:val="00192F7B"/>
    <w:rsid w:val="001931DB"/>
    <w:rsid w:val="00195439"/>
    <w:rsid w:val="00196FBE"/>
    <w:rsid w:val="001A1A84"/>
    <w:rsid w:val="001B0723"/>
    <w:rsid w:val="001B145D"/>
    <w:rsid w:val="001B21B8"/>
    <w:rsid w:val="001B6769"/>
    <w:rsid w:val="001C3506"/>
    <w:rsid w:val="001D1B8E"/>
    <w:rsid w:val="001D7F2D"/>
    <w:rsid w:val="001E0790"/>
    <w:rsid w:val="001F023C"/>
    <w:rsid w:val="001F1CA7"/>
    <w:rsid w:val="001F315C"/>
    <w:rsid w:val="001F343F"/>
    <w:rsid w:val="001F64B2"/>
    <w:rsid w:val="001F75E9"/>
    <w:rsid w:val="002052B5"/>
    <w:rsid w:val="002058FD"/>
    <w:rsid w:val="00205C48"/>
    <w:rsid w:val="002076ED"/>
    <w:rsid w:val="00212472"/>
    <w:rsid w:val="0021727A"/>
    <w:rsid w:val="00240145"/>
    <w:rsid w:val="00242FC7"/>
    <w:rsid w:val="002478BE"/>
    <w:rsid w:val="00252487"/>
    <w:rsid w:val="00254ADF"/>
    <w:rsid w:val="00257987"/>
    <w:rsid w:val="00265D9A"/>
    <w:rsid w:val="00265DB9"/>
    <w:rsid w:val="00266528"/>
    <w:rsid w:val="0027083D"/>
    <w:rsid w:val="002720EE"/>
    <w:rsid w:val="00274AC7"/>
    <w:rsid w:val="00281663"/>
    <w:rsid w:val="00284C27"/>
    <w:rsid w:val="002850C7"/>
    <w:rsid w:val="00285545"/>
    <w:rsid w:val="0028781E"/>
    <w:rsid w:val="00292ECD"/>
    <w:rsid w:val="00295520"/>
    <w:rsid w:val="002A2ECC"/>
    <w:rsid w:val="002A3C31"/>
    <w:rsid w:val="002A493A"/>
    <w:rsid w:val="002A5512"/>
    <w:rsid w:val="002A6FCA"/>
    <w:rsid w:val="002B0488"/>
    <w:rsid w:val="002B1D63"/>
    <w:rsid w:val="002B3EF4"/>
    <w:rsid w:val="002B55EF"/>
    <w:rsid w:val="002C2E7A"/>
    <w:rsid w:val="002C77FE"/>
    <w:rsid w:val="002C7B1C"/>
    <w:rsid w:val="002D212B"/>
    <w:rsid w:val="002D46FD"/>
    <w:rsid w:val="002E2C97"/>
    <w:rsid w:val="002E3999"/>
    <w:rsid w:val="002F027C"/>
    <w:rsid w:val="002F786E"/>
    <w:rsid w:val="0030129A"/>
    <w:rsid w:val="00303F1A"/>
    <w:rsid w:val="00304FE6"/>
    <w:rsid w:val="00305743"/>
    <w:rsid w:val="0030647E"/>
    <w:rsid w:val="00310DCD"/>
    <w:rsid w:val="00311A88"/>
    <w:rsid w:val="00314D04"/>
    <w:rsid w:val="00315C57"/>
    <w:rsid w:val="00317920"/>
    <w:rsid w:val="003217EA"/>
    <w:rsid w:val="00325ACB"/>
    <w:rsid w:val="00331186"/>
    <w:rsid w:val="0033230E"/>
    <w:rsid w:val="003338A5"/>
    <w:rsid w:val="0033460A"/>
    <w:rsid w:val="00337A33"/>
    <w:rsid w:val="00340198"/>
    <w:rsid w:val="00340817"/>
    <w:rsid w:val="0034208B"/>
    <w:rsid w:val="00342BED"/>
    <w:rsid w:val="003519E5"/>
    <w:rsid w:val="00353409"/>
    <w:rsid w:val="00353A4F"/>
    <w:rsid w:val="0035672B"/>
    <w:rsid w:val="00356CC7"/>
    <w:rsid w:val="00357467"/>
    <w:rsid w:val="0036302A"/>
    <w:rsid w:val="003636EE"/>
    <w:rsid w:val="00367109"/>
    <w:rsid w:val="00367411"/>
    <w:rsid w:val="00374E3E"/>
    <w:rsid w:val="00376F8A"/>
    <w:rsid w:val="003774F0"/>
    <w:rsid w:val="00381678"/>
    <w:rsid w:val="00382028"/>
    <w:rsid w:val="003851DE"/>
    <w:rsid w:val="0038568C"/>
    <w:rsid w:val="00390D57"/>
    <w:rsid w:val="003933B0"/>
    <w:rsid w:val="00394F3F"/>
    <w:rsid w:val="00394FFD"/>
    <w:rsid w:val="00395288"/>
    <w:rsid w:val="003A1CDA"/>
    <w:rsid w:val="003A4C38"/>
    <w:rsid w:val="003A69B1"/>
    <w:rsid w:val="003A6E83"/>
    <w:rsid w:val="003A70CE"/>
    <w:rsid w:val="003B0411"/>
    <w:rsid w:val="003B06CD"/>
    <w:rsid w:val="003B08EE"/>
    <w:rsid w:val="003B52D2"/>
    <w:rsid w:val="003B6D41"/>
    <w:rsid w:val="003C15CE"/>
    <w:rsid w:val="003C1C49"/>
    <w:rsid w:val="003C5D6F"/>
    <w:rsid w:val="003D1A6A"/>
    <w:rsid w:val="003D5CA6"/>
    <w:rsid w:val="003D6727"/>
    <w:rsid w:val="003D6941"/>
    <w:rsid w:val="003D70EA"/>
    <w:rsid w:val="003E444B"/>
    <w:rsid w:val="003F1175"/>
    <w:rsid w:val="003F18A3"/>
    <w:rsid w:val="003F2674"/>
    <w:rsid w:val="003F362A"/>
    <w:rsid w:val="003F3A1D"/>
    <w:rsid w:val="003F5487"/>
    <w:rsid w:val="00401B01"/>
    <w:rsid w:val="00422F02"/>
    <w:rsid w:val="00423966"/>
    <w:rsid w:val="00423C3C"/>
    <w:rsid w:val="004257A1"/>
    <w:rsid w:val="004266B8"/>
    <w:rsid w:val="00430948"/>
    <w:rsid w:val="004309F7"/>
    <w:rsid w:val="00430CB0"/>
    <w:rsid w:val="00431876"/>
    <w:rsid w:val="00431C60"/>
    <w:rsid w:val="004349EA"/>
    <w:rsid w:val="0043583A"/>
    <w:rsid w:val="00436150"/>
    <w:rsid w:val="0043683F"/>
    <w:rsid w:val="004373A9"/>
    <w:rsid w:val="00445F54"/>
    <w:rsid w:val="00446F6E"/>
    <w:rsid w:val="00447F1A"/>
    <w:rsid w:val="00450055"/>
    <w:rsid w:val="004522BE"/>
    <w:rsid w:val="00453892"/>
    <w:rsid w:val="00453923"/>
    <w:rsid w:val="0046114E"/>
    <w:rsid w:val="00462975"/>
    <w:rsid w:val="00462B1A"/>
    <w:rsid w:val="00462FDB"/>
    <w:rsid w:val="004641C1"/>
    <w:rsid w:val="00485F0B"/>
    <w:rsid w:val="004A07A0"/>
    <w:rsid w:val="004A5AA0"/>
    <w:rsid w:val="004A5DE3"/>
    <w:rsid w:val="004B019F"/>
    <w:rsid w:val="004B7B2F"/>
    <w:rsid w:val="004C2E06"/>
    <w:rsid w:val="004C424B"/>
    <w:rsid w:val="004D13C9"/>
    <w:rsid w:val="004D3BCB"/>
    <w:rsid w:val="004D3E6C"/>
    <w:rsid w:val="004E0788"/>
    <w:rsid w:val="004E0FFE"/>
    <w:rsid w:val="004E18AD"/>
    <w:rsid w:val="004E22C8"/>
    <w:rsid w:val="004E702E"/>
    <w:rsid w:val="004F0B13"/>
    <w:rsid w:val="004F5980"/>
    <w:rsid w:val="004F641D"/>
    <w:rsid w:val="004F7C79"/>
    <w:rsid w:val="004F7F5C"/>
    <w:rsid w:val="00502A0A"/>
    <w:rsid w:val="0050494C"/>
    <w:rsid w:val="00507B87"/>
    <w:rsid w:val="005138FE"/>
    <w:rsid w:val="00514E21"/>
    <w:rsid w:val="0051683C"/>
    <w:rsid w:val="0052102F"/>
    <w:rsid w:val="00523CF8"/>
    <w:rsid w:val="00523E7B"/>
    <w:rsid w:val="00524392"/>
    <w:rsid w:val="00525593"/>
    <w:rsid w:val="00527747"/>
    <w:rsid w:val="00532873"/>
    <w:rsid w:val="005329C5"/>
    <w:rsid w:val="0053466E"/>
    <w:rsid w:val="005425EC"/>
    <w:rsid w:val="00546E30"/>
    <w:rsid w:val="005506EB"/>
    <w:rsid w:val="00552F1E"/>
    <w:rsid w:val="00557F43"/>
    <w:rsid w:val="00560BE4"/>
    <w:rsid w:val="005642EB"/>
    <w:rsid w:val="00566391"/>
    <w:rsid w:val="00570C77"/>
    <w:rsid w:val="00572F52"/>
    <w:rsid w:val="0057530D"/>
    <w:rsid w:val="00576141"/>
    <w:rsid w:val="005804E0"/>
    <w:rsid w:val="005849F9"/>
    <w:rsid w:val="005A01FE"/>
    <w:rsid w:val="005A0D56"/>
    <w:rsid w:val="005A13DB"/>
    <w:rsid w:val="005B0835"/>
    <w:rsid w:val="005B09F3"/>
    <w:rsid w:val="005B4DF7"/>
    <w:rsid w:val="005B6B6E"/>
    <w:rsid w:val="005B6C53"/>
    <w:rsid w:val="005C496C"/>
    <w:rsid w:val="005C69D0"/>
    <w:rsid w:val="005D4B4F"/>
    <w:rsid w:val="005E4821"/>
    <w:rsid w:val="005E51EA"/>
    <w:rsid w:val="005F282E"/>
    <w:rsid w:val="005F35D3"/>
    <w:rsid w:val="005F7927"/>
    <w:rsid w:val="006009DC"/>
    <w:rsid w:val="00601FB7"/>
    <w:rsid w:val="006020B2"/>
    <w:rsid w:val="006032C6"/>
    <w:rsid w:val="00603327"/>
    <w:rsid w:val="00606294"/>
    <w:rsid w:val="0060723E"/>
    <w:rsid w:val="00613778"/>
    <w:rsid w:val="006154EE"/>
    <w:rsid w:val="00630C40"/>
    <w:rsid w:val="00632265"/>
    <w:rsid w:val="00632626"/>
    <w:rsid w:val="00637BDD"/>
    <w:rsid w:val="00647728"/>
    <w:rsid w:val="0064777E"/>
    <w:rsid w:val="00652B0C"/>
    <w:rsid w:val="00652D1E"/>
    <w:rsid w:val="00656F60"/>
    <w:rsid w:val="006601EE"/>
    <w:rsid w:val="00663FF1"/>
    <w:rsid w:val="00664A90"/>
    <w:rsid w:val="00664ECA"/>
    <w:rsid w:val="006723F2"/>
    <w:rsid w:val="00676CC1"/>
    <w:rsid w:val="006837C3"/>
    <w:rsid w:val="00683F15"/>
    <w:rsid w:val="0068557D"/>
    <w:rsid w:val="006921E8"/>
    <w:rsid w:val="00692932"/>
    <w:rsid w:val="006A0818"/>
    <w:rsid w:val="006A15BD"/>
    <w:rsid w:val="006A3FE8"/>
    <w:rsid w:val="006A4FC8"/>
    <w:rsid w:val="006B29B8"/>
    <w:rsid w:val="006B4FF5"/>
    <w:rsid w:val="006B79EC"/>
    <w:rsid w:val="006C0BDD"/>
    <w:rsid w:val="006C1330"/>
    <w:rsid w:val="006C3064"/>
    <w:rsid w:val="006D2207"/>
    <w:rsid w:val="006D397A"/>
    <w:rsid w:val="006E12BE"/>
    <w:rsid w:val="006E242B"/>
    <w:rsid w:val="006F047E"/>
    <w:rsid w:val="006F433E"/>
    <w:rsid w:val="006F5886"/>
    <w:rsid w:val="006F5F42"/>
    <w:rsid w:val="006F62F3"/>
    <w:rsid w:val="006F7672"/>
    <w:rsid w:val="006F7AB7"/>
    <w:rsid w:val="006F7DE7"/>
    <w:rsid w:val="00701DD1"/>
    <w:rsid w:val="00707EDF"/>
    <w:rsid w:val="00710765"/>
    <w:rsid w:val="007150B0"/>
    <w:rsid w:val="00716EA0"/>
    <w:rsid w:val="007219CD"/>
    <w:rsid w:val="0072222B"/>
    <w:rsid w:val="00723D05"/>
    <w:rsid w:val="007240FD"/>
    <w:rsid w:val="00727F7C"/>
    <w:rsid w:val="00730F56"/>
    <w:rsid w:val="00734A85"/>
    <w:rsid w:val="00734E07"/>
    <w:rsid w:val="00736C69"/>
    <w:rsid w:val="0074290D"/>
    <w:rsid w:val="00743B6D"/>
    <w:rsid w:val="00744F76"/>
    <w:rsid w:val="00745586"/>
    <w:rsid w:val="00746C5F"/>
    <w:rsid w:val="0075012E"/>
    <w:rsid w:val="00750EB3"/>
    <w:rsid w:val="007612CD"/>
    <w:rsid w:val="007629FC"/>
    <w:rsid w:val="00762C4A"/>
    <w:rsid w:val="00766AF3"/>
    <w:rsid w:val="00766B0A"/>
    <w:rsid w:val="00766DFE"/>
    <w:rsid w:val="00772149"/>
    <w:rsid w:val="0078151E"/>
    <w:rsid w:val="00781866"/>
    <w:rsid w:val="00782B6C"/>
    <w:rsid w:val="00784BFE"/>
    <w:rsid w:val="007914E3"/>
    <w:rsid w:val="00795923"/>
    <w:rsid w:val="00795FC0"/>
    <w:rsid w:val="007A0273"/>
    <w:rsid w:val="007A0C36"/>
    <w:rsid w:val="007A2C35"/>
    <w:rsid w:val="007A3429"/>
    <w:rsid w:val="007A7ABE"/>
    <w:rsid w:val="007B0694"/>
    <w:rsid w:val="007B3443"/>
    <w:rsid w:val="007B36E8"/>
    <w:rsid w:val="007B36EC"/>
    <w:rsid w:val="007C3390"/>
    <w:rsid w:val="007C48DF"/>
    <w:rsid w:val="007C6CA7"/>
    <w:rsid w:val="007C7416"/>
    <w:rsid w:val="007D04F7"/>
    <w:rsid w:val="007D4DCA"/>
    <w:rsid w:val="007D6720"/>
    <w:rsid w:val="007D6745"/>
    <w:rsid w:val="007E0708"/>
    <w:rsid w:val="007E0D4E"/>
    <w:rsid w:val="007E1620"/>
    <w:rsid w:val="007F163F"/>
    <w:rsid w:val="007F6377"/>
    <w:rsid w:val="008058BB"/>
    <w:rsid w:val="00805AD4"/>
    <w:rsid w:val="00810231"/>
    <w:rsid w:val="0082500A"/>
    <w:rsid w:val="008252EE"/>
    <w:rsid w:val="00825E28"/>
    <w:rsid w:val="00830736"/>
    <w:rsid w:val="0083256C"/>
    <w:rsid w:val="008353EB"/>
    <w:rsid w:val="008362A3"/>
    <w:rsid w:val="00841627"/>
    <w:rsid w:val="0084308F"/>
    <w:rsid w:val="00843327"/>
    <w:rsid w:val="008466C0"/>
    <w:rsid w:val="008500FC"/>
    <w:rsid w:val="00855304"/>
    <w:rsid w:val="00857093"/>
    <w:rsid w:val="00857B79"/>
    <w:rsid w:val="00870BF6"/>
    <w:rsid w:val="008735DB"/>
    <w:rsid w:val="0087687D"/>
    <w:rsid w:val="008771AD"/>
    <w:rsid w:val="00877493"/>
    <w:rsid w:val="008776B8"/>
    <w:rsid w:val="008861F1"/>
    <w:rsid w:val="0088669D"/>
    <w:rsid w:val="00890ADB"/>
    <w:rsid w:val="00890C29"/>
    <w:rsid w:val="008918D5"/>
    <w:rsid w:val="008A13F4"/>
    <w:rsid w:val="008A3BED"/>
    <w:rsid w:val="008A5564"/>
    <w:rsid w:val="008A693D"/>
    <w:rsid w:val="008B0302"/>
    <w:rsid w:val="008B5395"/>
    <w:rsid w:val="008B61FF"/>
    <w:rsid w:val="008C0E20"/>
    <w:rsid w:val="008C1F4E"/>
    <w:rsid w:val="008C558D"/>
    <w:rsid w:val="008C5DC3"/>
    <w:rsid w:val="008D1EA1"/>
    <w:rsid w:val="008E60C9"/>
    <w:rsid w:val="008E68A9"/>
    <w:rsid w:val="008F14AA"/>
    <w:rsid w:val="008F421D"/>
    <w:rsid w:val="008F692B"/>
    <w:rsid w:val="00901506"/>
    <w:rsid w:val="00905406"/>
    <w:rsid w:val="00906E65"/>
    <w:rsid w:val="00910081"/>
    <w:rsid w:val="009130E5"/>
    <w:rsid w:val="009139E8"/>
    <w:rsid w:val="00916656"/>
    <w:rsid w:val="00917824"/>
    <w:rsid w:val="00921427"/>
    <w:rsid w:val="0092234A"/>
    <w:rsid w:val="00926FDC"/>
    <w:rsid w:val="00927953"/>
    <w:rsid w:val="00932523"/>
    <w:rsid w:val="00933093"/>
    <w:rsid w:val="00934D1B"/>
    <w:rsid w:val="009352F0"/>
    <w:rsid w:val="00941302"/>
    <w:rsid w:val="00941AB0"/>
    <w:rsid w:val="00947ABF"/>
    <w:rsid w:val="00950D66"/>
    <w:rsid w:val="00952BBE"/>
    <w:rsid w:val="00960621"/>
    <w:rsid w:val="00962845"/>
    <w:rsid w:val="00962E08"/>
    <w:rsid w:val="00965F78"/>
    <w:rsid w:val="00966C5E"/>
    <w:rsid w:val="00972C50"/>
    <w:rsid w:val="009807A2"/>
    <w:rsid w:val="00980D93"/>
    <w:rsid w:val="009830F9"/>
    <w:rsid w:val="00987072"/>
    <w:rsid w:val="00987428"/>
    <w:rsid w:val="00990A49"/>
    <w:rsid w:val="00990DB8"/>
    <w:rsid w:val="009963C6"/>
    <w:rsid w:val="009970F2"/>
    <w:rsid w:val="009A0B95"/>
    <w:rsid w:val="009A15AF"/>
    <w:rsid w:val="009A2818"/>
    <w:rsid w:val="009A3977"/>
    <w:rsid w:val="009A7987"/>
    <w:rsid w:val="009A7A91"/>
    <w:rsid w:val="009B1E4F"/>
    <w:rsid w:val="009B6395"/>
    <w:rsid w:val="009C01A5"/>
    <w:rsid w:val="009C05CC"/>
    <w:rsid w:val="009C4D5B"/>
    <w:rsid w:val="009C51CB"/>
    <w:rsid w:val="009C58BE"/>
    <w:rsid w:val="009C696B"/>
    <w:rsid w:val="009D05C0"/>
    <w:rsid w:val="009D109E"/>
    <w:rsid w:val="009D112B"/>
    <w:rsid w:val="009D4010"/>
    <w:rsid w:val="009D793D"/>
    <w:rsid w:val="009E1162"/>
    <w:rsid w:val="009E3593"/>
    <w:rsid w:val="009E3737"/>
    <w:rsid w:val="009E46A4"/>
    <w:rsid w:val="009E482A"/>
    <w:rsid w:val="009E4A0A"/>
    <w:rsid w:val="009E54DC"/>
    <w:rsid w:val="009E7011"/>
    <w:rsid w:val="009F07B0"/>
    <w:rsid w:val="009F630B"/>
    <w:rsid w:val="00A001CE"/>
    <w:rsid w:val="00A04497"/>
    <w:rsid w:val="00A07C2E"/>
    <w:rsid w:val="00A12122"/>
    <w:rsid w:val="00A13A13"/>
    <w:rsid w:val="00A1514A"/>
    <w:rsid w:val="00A20DC6"/>
    <w:rsid w:val="00A2279D"/>
    <w:rsid w:val="00A25F72"/>
    <w:rsid w:val="00A314C9"/>
    <w:rsid w:val="00A33898"/>
    <w:rsid w:val="00A343D4"/>
    <w:rsid w:val="00A35088"/>
    <w:rsid w:val="00A36981"/>
    <w:rsid w:val="00A36CEB"/>
    <w:rsid w:val="00A3735D"/>
    <w:rsid w:val="00A4225E"/>
    <w:rsid w:val="00A47222"/>
    <w:rsid w:val="00A534ED"/>
    <w:rsid w:val="00A565F4"/>
    <w:rsid w:val="00A56C1F"/>
    <w:rsid w:val="00A5796E"/>
    <w:rsid w:val="00A607BF"/>
    <w:rsid w:val="00A62105"/>
    <w:rsid w:val="00A62AF2"/>
    <w:rsid w:val="00A64593"/>
    <w:rsid w:val="00A64774"/>
    <w:rsid w:val="00A657DC"/>
    <w:rsid w:val="00A675E0"/>
    <w:rsid w:val="00A6788D"/>
    <w:rsid w:val="00A7291A"/>
    <w:rsid w:val="00A74258"/>
    <w:rsid w:val="00A82607"/>
    <w:rsid w:val="00A83255"/>
    <w:rsid w:val="00A9021E"/>
    <w:rsid w:val="00A91744"/>
    <w:rsid w:val="00AA4F9D"/>
    <w:rsid w:val="00AA7EC1"/>
    <w:rsid w:val="00AA7F4A"/>
    <w:rsid w:val="00AB01B0"/>
    <w:rsid w:val="00AB064E"/>
    <w:rsid w:val="00AB2A4F"/>
    <w:rsid w:val="00AC15F5"/>
    <w:rsid w:val="00AC29C7"/>
    <w:rsid w:val="00AC2C4A"/>
    <w:rsid w:val="00AC4D8A"/>
    <w:rsid w:val="00AC78F3"/>
    <w:rsid w:val="00AD2470"/>
    <w:rsid w:val="00AD718A"/>
    <w:rsid w:val="00AD73A7"/>
    <w:rsid w:val="00AD73BE"/>
    <w:rsid w:val="00AE18E5"/>
    <w:rsid w:val="00AE1C56"/>
    <w:rsid w:val="00AE2EA3"/>
    <w:rsid w:val="00AF270A"/>
    <w:rsid w:val="00AF33B5"/>
    <w:rsid w:val="00B000A9"/>
    <w:rsid w:val="00B05E06"/>
    <w:rsid w:val="00B06452"/>
    <w:rsid w:val="00B10586"/>
    <w:rsid w:val="00B1297C"/>
    <w:rsid w:val="00B22698"/>
    <w:rsid w:val="00B22F51"/>
    <w:rsid w:val="00B23002"/>
    <w:rsid w:val="00B23694"/>
    <w:rsid w:val="00B24C1E"/>
    <w:rsid w:val="00B27B7F"/>
    <w:rsid w:val="00B33019"/>
    <w:rsid w:val="00B35BF1"/>
    <w:rsid w:val="00B403A0"/>
    <w:rsid w:val="00B40930"/>
    <w:rsid w:val="00B40CA0"/>
    <w:rsid w:val="00B40CB7"/>
    <w:rsid w:val="00B410E1"/>
    <w:rsid w:val="00B455E5"/>
    <w:rsid w:val="00B51A52"/>
    <w:rsid w:val="00B54086"/>
    <w:rsid w:val="00B57BD3"/>
    <w:rsid w:val="00B60FC3"/>
    <w:rsid w:val="00B62FEA"/>
    <w:rsid w:val="00B63E9E"/>
    <w:rsid w:val="00B65D7B"/>
    <w:rsid w:val="00B65E84"/>
    <w:rsid w:val="00B7006F"/>
    <w:rsid w:val="00B71A3E"/>
    <w:rsid w:val="00B72DC6"/>
    <w:rsid w:val="00B7532F"/>
    <w:rsid w:val="00B76A0F"/>
    <w:rsid w:val="00B815D1"/>
    <w:rsid w:val="00B83336"/>
    <w:rsid w:val="00B84C26"/>
    <w:rsid w:val="00B85B22"/>
    <w:rsid w:val="00B85DD6"/>
    <w:rsid w:val="00B86938"/>
    <w:rsid w:val="00B93D2B"/>
    <w:rsid w:val="00BA172B"/>
    <w:rsid w:val="00BB7CAE"/>
    <w:rsid w:val="00BC0A12"/>
    <w:rsid w:val="00BC42F6"/>
    <w:rsid w:val="00BC6BF5"/>
    <w:rsid w:val="00BD1547"/>
    <w:rsid w:val="00BD215B"/>
    <w:rsid w:val="00BE0D20"/>
    <w:rsid w:val="00BE1897"/>
    <w:rsid w:val="00BE1E8F"/>
    <w:rsid w:val="00BE20D9"/>
    <w:rsid w:val="00BE22EC"/>
    <w:rsid w:val="00BE252D"/>
    <w:rsid w:val="00BE45B1"/>
    <w:rsid w:val="00BE4638"/>
    <w:rsid w:val="00BE5072"/>
    <w:rsid w:val="00BE592B"/>
    <w:rsid w:val="00BE647B"/>
    <w:rsid w:val="00BE765D"/>
    <w:rsid w:val="00BF1303"/>
    <w:rsid w:val="00BF575F"/>
    <w:rsid w:val="00C01032"/>
    <w:rsid w:val="00C0639A"/>
    <w:rsid w:val="00C076D1"/>
    <w:rsid w:val="00C10EA6"/>
    <w:rsid w:val="00C11041"/>
    <w:rsid w:val="00C1288A"/>
    <w:rsid w:val="00C14025"/>
    <w:rsid w:val="00C206A6"/>
    <w:rsid w:val="00C23F25"/>
    <w:rsid w:val="00C2577D"/>
    <w:rsid w:val="00C33BE2"/>
    <w:rsid w:val="00C33C61"/>
    <w:rsid w:val="00C42F0E"/>
    <w:rsid w:val="00C45E39"/>
    <w:rsid w:val="00C45EC9"/>
    <w:rsid w:val="00C54539"/>
    <w:rsid w:val="00C551D9"/>
    <w:rsid w:val="00C573B6"/>
    <w:rsid w:val="00C613FF"/>
    <w:rsid w:val="00C61C6B"/>
    <w:rsid w:val="00C64623"/>
    <w:rsid w:val="00C67DE5"/>
    <w:rsid w:val="00C86347"/>
    <w:rsid w:val="00C91E5C"/>
    <w:rsid w:val="00C924FD"/>
    <w:rsid w:val="00C9301C"/>
    <w:rsid w:val="00C93DDD"/>
    <w:rsid w:val="00C94748"/>
    <w:rsid w:val="00C97371"/>
    <w:rsid w:val="00CA0493"/>
    <w:rsid w:val="00CA0E43"/>
    <w:rsid w:val="00CA332E"/>
    <w:rsid w:val="00CA41DB"/>
    <w:rsid w:val="00CA6006"/>
    <w:rsid w:val="00CA6933"/>
    <w:rsid w:val="00CB1B50"/>
    <w:rsid w:val="00CB6315"/>
    <w:rsid w:val="00CC07FD"/>
    <w:rsid w:val="00CC10F0"/>
    <w:rsid w:val="00CD09A0"/>
    <w:rsid w:val="00CD4E58"/>
    <w:rsid w:val="00CD662C"/>
    <w:rsid w:val="00CE18C6"/>
    <w:rsid w:val="00CE5B8C"/>
    <w:rsid w:val="00CE7A59"/>
    <w:rsid w:val="00CF27EA"/>
    <w:rsid w:val="00CF45C4"/>
    <w:rsid w:val="00CF5B8D"/>
    <w:rsid w:val="00D01892"/>
    <w:rsid w:val="00D04C47"/>
    <w:rsid w:val="00D0714F"/>
    <w:rsid w:val="00D105AF"/>
    <w:rsid w:val="00D171BD"/>
    <w:rsid w:val="00D20E0D"/>
    <w:rsid w:val="00D239E3"/>
    <w:rsid w:val="00D26D41"/>
    <w:rsid w:val="00D300E5"/>
    <w:rsid w:val="00D3706D"/>
    <w:rsid w:val="00D370F2"/>
    <w:rsid w:val="00D4175C"/>
    <w:rsid w:val="00D42956"/>
    <w:rsid w:val="00D46BB6"/>
    <w:rsid w:val="00D55A4E"/>
    <w:rsid w:val="00D5797C"/>
    <w:rsid w:val="00D6023F"/>
    <w:rsid w:val="00D616BD"/>
    <w:rsid w:val="00D701A3"/>
    <w:rsid w:val="00D77919"/>
    <w:rsid w:val="00D80CFB"/>
    <w:rsid w:val="00D81226"/>
    <w:rsid w:val="00D8182A"/>
    <w:rsid w:val="00D81854"/>
    <w:rsid w:val="00D83A04"/>
    <w:rsid w:val="00D8465D"/>
    <w:rsid w:val="00D847E8"/>
    <w:rsid w:val="00D85D72"/>
    <w:rsid w:val="00D90AC5"/>
    <w:rsid w:val="00D937D3"/>
    <w:rsid w:val="00D937F5"/>
    <w:rsid w:val="00DB0C89"/>
    <w:rsid w:val="00DB1F7E"/>
    <w:rsid w:val="00DB2DCC"/>
    <w:rsid w:val="00DB5930"/>
    <w:rsid w:val="00DC0CAC"/>
    <w:rsid w:val="00DC2C3C"/>
    <w:rsid w:val="00DC480E"/>
    <w:rsid w:val="00DC4850"/>
    <w:rsid w:val="00DC4CBB"/>
    <w:rsid w:val="00DC512E"/>
    <w:rsid w:val="00DD04DF"/>
    <w:rsid w:val="00DD163B"/>
    <w:rsid w:val="00DE3633"/>
    <w:rsid w:val="00DF17BB"/>
    <w:rsid w:val="00E00E29"/>
    <w:rsid w:val="00E061BE"/>
    <w:rsid w:val="00E06BB9"/>
    <w:rsid w:val="00E17C57"/>
    <w:rsid w:val="00E214BC"/>
    <w:rsid w:val="00E21B77"/>
    <w:rsid w:val="00E25131"/>
    <w:rsid w:val="00E267F0"/>
    <w:rsid w:val="00E27E6B"/>
    <w:rsid w:val="00E30454"/>
    <w:rsid w:val="00E31608"/>
    <w:rsid w:val="00E32087"/>
    <w:rsid w:val="00E32CAA"/>
    <w:rsid w:val="00E339F5"/>
    <w:rsid w:val="00E343D1"/>
    <w:rsid w:val="00E36DB7"/>
    <w:rsid w:val="00E425EC"/>
    <w:rsid w:val="00E434EE"/>
    <w:rsid w:val="00E44603"/>
    <w:rsid w:val="00E45917"/>
    <w:rsid w:val="00E50438"/>
    <w:rsid w:val="00E54252"/>
    <w:rsid w:val="00E54FED"/>
    <w:rsid w:val="00E6524D"/>
    <w:rsid w:val="00E653F7"/>
    <w:rsid w:val="00E66068"/>
    <w:rsid w:val="00E70A2A"/>
    <w:rsid w:val="00E760A9"/>
    <w:rsid w:val="00E82691"/>
    <w:rsid w:val="00E83758"/>
    <w:rsid w:val="00E86EA1"/>
    <w:rsid w:val="00E9788D"/>
    <w:rsid w:val="00EA578C"/>
    <w:rsid w:val="00EA7832"/>
    <w:rsid w:val="00EB4BF3"/>
    <w:rsid w:val="00EB597E"/>
    <w:rsid w:val="00EB737A"/>
    <w:rsid w:val="00EC1F0C"/>
    <w:rsid w:val="00EC2B71"/>
    <w:rsid w:val="00EC31B4"/>
    <w:rsid w:val="00EC3AA8"/>
    <w:rsid w:val="00EC45F0"/>
    <w:rsid w:val="00EC6889"/>
    <w:rsid w:val="00ED1FBD"/>
    <w:rsid w:val="00ED3B75"/>
    <w:rsid w:val="00EE5AC4"/>
    <w:rsid w:val="00EF156A"/>
    <w:rsid w:val="00EF20AF"/>
    <w:rsid w:val="00EF3657"/>
    <w:rsid w:val="00EF5480"/>
    <w:rsid w:val="00F0314D"/>
    <w:rsid w:val="00F0735A"/>
    <w:rsid w:val="00F15193"/>
    <w:rsid w:val="00F15680"/>
    <w:rsid w:val="00F16AD7"/>
    <w:rsid w:val="00F204D7"/>
    <w:rsid w:val="00F21F57"/>
    <w:rsid w:val="00F228DB"/>
    <w:rsid w:val="00F23536"/>
    <w:rsid w:val="00F24206"/>
    <w:rsid w:val="00F24827"/>
    <w:rsid w:val="00F2580B"/>
    <w:rsid w:val="00F31E2E"/>
    <w:rsid w:val="00F32158"/>
    <w:rsid w:val="00F3372C"/>
    <w:rsid w:val="00F40DCB"/>
    <w:rsid w:val="00F41F43"/>
    <w:rsid w:val="00F46C3D"/>
    <w:rsid w:val="00F5134B"/>
    <w:rsid w:val="00F560C5"/>
    <w:rsid w:val="00F579E1"/>
    <w:rsid w:val="00F60CC6"/>
    <w:rsid w:val="00F66670"/>
    <w:rsid w:val="00F67EAA"/>
    <w:rsid w:val="00F70699"/>
    <w:rsid w:val="00F73C02"/>
    <w:rsid w:val="00F7442D"/>
    <w:rsid w:val="00F7463B"/>
    <w:rsid w:val="00F77AA5"/>
    <w:rsid w:val="00F8033C"/>
    <w:rsid w:val="00F82337"/>
    <w:rsid w:val="00F903D4"/>
    <w:rsid w:val="00F90679"/>
    <w:rsid w:val="00F936FD"/>
    <w:rsid w:val="00F94BF2"/>
    <w:rsid w:val="00F95E11"/>
    <w:rsid w:val="00FA0979"/>
    <w:rsid w:val="00FA3176"/>
    <w:rsid w:val="00FA3E60"/>
    <w:rsid w:val="00FA7F68"/>
    <w:rsid w:val="00FB08DD"/>
    <w:rsid w:val="00FB2B95"/>
    <w:rsid w:val="00FB37EF"/>
    <w:rsid w:val="00FB758E"/>
    <w:rsid w:val="00FC0A0A"/>
    <w:rsid w:val="00FC4B25"/>
    <w:rsid w:val="00FD3003"/>
    <w:rsid w:val="00FD35D7"/>
    <w:rsid w:val="00FD427E"/>
    <w:rsid w:val="00FD4425"/>
    <w:rsid w:val="00FD48C5"/>
    <w:rsid w:val="00FD78CF"/>
    <w:rsid w:val="00FE0E03"/>
    <w:rsid w:val="00FE11AC"/>
    <w:rsid w:val="00FE1A4E"/>
    <w:rsid w:val="00FE2A80"/>
    <w:rsid w:val="00FE4270"/>
    <w:rsid w:val="00FE5ADA"/>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CCE5B"/>
  <w15:docId w15:val="{6F0145DE-F7E3-465B-A122-CA32C10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19CD"/>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A62AF2"/>
    <w:pPr>
      <w:tabs>
        <w:tab w:val="center" w:pos="4680"/>
        <w:tab w:val="right" w:pos="9360"/>
      </w:tabs>
    </w:pPr>
  </w:style>
  <w:style w:type="character" w:customStyle="1" w:styleId="HeaderChar">
    <w:name w:val="Header Char"/>
    <w:basedOn w:val="DefaultParagraphFont"/>
    <w:link w:val="Header"/>
    <w:uiPriority w:val="99"/>
    <w:rsid w:val="00A62AF2"/>
    <w:rPr>
      <w:rFonts w:ascii="Times New Roman" w:hAnsi="Times New Roman" w:cs="Times New Roman"/>
      <w:sz w:val="24"/>
      <w:szCs w:val="24"/>
    </w:rPr>
  </w:style>
  <w:style w:type="paragraph" w:styleId="Footer">
    <w:name w:val="footer"/>
    <w:basedOn w:val="Normal"/>
    <w:link w:val="FooterChar"/>
    <w:uiPriority w:val="99"/>
    <w:unhideWhenUsed/>
    <w:rsid w:val="00A62AF2"/>
    <w:pPr>
      <w:tabs>
        <w:tab w:val="center" w:pos="4680"/>
        <w:tab w:val="right" w:pos="9360"/>
      </w:tabs>
    </w:pPr>
  </w:style>
  <w:style w:type="character" w:customStyle="1" w:styleId="FooterChar">
    <w:name w:val="Footer Char"/>
    <w:basedOn w:val="DefaultParagraphFont"/>
    <w:link w:val="Footer"/>
    <w:uiPriority w:val="99"/>
    <w:rsid w:val="00A62AF2"/>
    <w:rPr>
      <w:rFonts w:ascii="Times New Roman" w:hAnsi="Times New Roman" w:cs="Times New Roman"/>
      <w:sz w:val="24"/>
      <w:szCs w:val="24"/>
    </w:rPr>
  </w:style>
  <w:style w:type="character" w:styleId="Hyperlink">
    <w:name w:val="Hyperlink"/>
    <w:basedOn w:val="DefaultParagraphFont"/>
    <w:uiPriority w:val="99"/>
    <w:unhideWhenUsed/>
    <w:rsid w:val="006E242B"/>
    <w:rPr>
      <w:color w:val="0000FF" w:themeColor="hyperlink"/>
      <w:u w:val="single"/>
    </w:rPr>
  </w:style>
  <w:style w:type="character" w:styleId="FollowedHyperlink">
    <w:name w:val="FollowedHyperlink"/>
    <w:basedOn w:val="DefaultParagraphFont"/>
    <w:uiPriority w:val="99"/>
    <w:semiHidden/>
    <w:unhideWhenUsed/>
    <w:rsid w:val="00240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166">
      <w:bodyDiv w:val="1"/>
      <w:marLeft w:val="0"/>
      <w:marRight w:val="0"/>
      <w:marTop w:val="0"/>
      <w:marBottom w:val="0"/>
      <w:divBdr>
        <w:top w:val="none" w:sz="0" w:space="0" w:color="auto"/>
        <w:left w:val="none" w:sz="0" w:space="0" w:color="auto"/>
        <w:bottom w:val="none" w:sz="0" w:space="0" w:color="auto"/>
        <w:right w:val="none" w:sz="0" w:space="0" w:color="auto"/>
      </w:divBdr>
    </w:div>
    <w:div w:id="86078664">
      <w:bodyDiv w:val="1"/>
      <w:marLeft w:val="0"/>
      <w:marRight w:val="0"/>
      <w:marTop w:val="0"/>
      <w:marBottom w:val="0"/>
      <w:divBdr>
        <w:top w:val="none" w:sz="0" w:space="0" w:color="auto"/>
        <w:left w:val="none" w:sz="0" w:space="0" w:color="auto"/>
        <w:bottom w:val="none" w:sz="0" w:space="0" w:color="auto"/>
        <w:right w:val="none" w:sz="0" w:space="0" w:color="auto"/>
      </w:divBdr>
    </w:div>
    <w:div w:id="106238506">
      <w:bodyDiv w:val="1"/>
      <w:marLeft w:val="0"/>
      <w:marRight w:val="0"/>
      <w:marTop w:val="0"/>
      <w:marBottom w:val="0"/>
      <w:divBdr>
        <w:top w:val="none" w:sz="0" w:space="0" w:color="auto"/>
        <w:left w:val="none" w:sz="0" w:space="0" w:color="auto"/>
        <w:bottom w:val="none" w:sz="0" w:space="0" w:color="auto"/>
        <w:right w:val="none" w:sz="0" w:space="0" w:color="auto"/>
      </w:divBdr>
    </w:div>
    <w:div w:id="184515712">
      <w:bodyDiv w:val="1"/>
      <w:marLeft w:val="0"/>
      <w:marRight w:val="0"/>
      <w:marTop w:val="0"/>
      <w:marBottom w:val="0"/>
      <w:divBdr>
        <w:top w:val="none" w:sz="0" w:space="0" w:color="auto"/>
        <w:left w:val="none" w:sz="0" w:space="0" w:color="auto"/>
        <w:bottom w:val="none" w:sz="0" w:space="0" w:color="auto"/>
        <w:right w:val="none" w:sz="0" w:space="0" w:color="auto"/>
      </w:divBdr>
    </w:div>
    <w:div w:id="192960501">
      <w:bodyDiv w:val="1"/>
      <w:marLeft w:val="0"/>
      <w:marRight w:val="0"/>
      <w:marTop w:val="0"/>
      <w:marBottom w:val="0"/>
      <w:divBdr>
        <w:top w:val="none" w:sz="0" w:space="0" w:color="auto"/>
        <w:left w:val="none" w:sz="0" w:space="0" w:color="auto"/>
        <w:bottom w:val="none" w:sz="0" w:space="0" w:color="auto"/>
        <w:right w:val="none" w:sz="0" w:space="0" w:color="auto"/>
      </w:divBdr>
    </w:div>
    <w:div w:id="205877585">
      <w:bodyDiv w:val="1"/>
      <w:marLeft w:val="0"/>
      <w:marRight w:val="0"/>
      <w:marTop w:val="0"/>
      <w:marBottom w:val="0"/>
      <w:divBdr>
        <w:top w:val="none" w:sz="0" w:space="0" w:color="auto"/>
        <w:left w:val="none" w:sz="0" w:space="0" w:color="auto"/>
        <w:bottom w:val="none" w:sz="0" w:space="0" w:color="auto"/>
        <w:right w:val="none" w:sz="0" w:space="0" w:color="auto"/>
      </w:divBdr>
    </w:div>
    <w:div w:id="236483563">
      <w:bodyDiv w:val="1"/>
      <w:marLeft w:val="0"/>
      <w:marRight w:val="0"/>
      <w:marTop w:val="0"/>
      <w:marBottom w:val="0"/>
      <w:divBdr>
        <w:top w:val="none" w:sz="0" w:space="0" w:color="auto"/>
        <w:left w:val="none" w:sz="0" w:space="0" w:color="auto"/>
        <w:bottom w:val="none" w:sz="0" w:space="0" w:color="auto"/>
        <w:right w:val="none" w:sz="0" w:space="0" w:color="auto"/>
      </w:divBdr>
    </w:div>
    <w:div w:id="271324695">
      <w:bodyDiv w:val="1"/>
      <w:marLeft w:val="0"/>
      <w:marRight w:val="0"/>
      <w:marTop w:val="0"/>
      <w:marBottom w:val="0"/>
      <w:divBdr>
        <w:top w:val="none" w:sz="0" w:space="0" w:color="auto"/>
        <w:left w:val="none" w:sz="0" w:space="0" w:color="auto"/>
        <w:bottom w:val="none" w:sz="0" w:space="0" w:color="auto"/>
        <w:right w:val="none" w:sz="0" w:space="0" w:color="auto"/>
      </w:divBdr>
    </w:div>
    <w:div w:id="272791688">
      <w:bodyDiv w:val="1"/>
      <w:marLeft w:val="0"/>
      <w:marRight w:val="0"/>
      <w:marTop w:val="0"/>
      <w:marBottom w:val="0"/>
      <w:divBdr>
        <w:top w:val="none" w:sz="0" w:space="0" w:color="auto"/>
        <w:left w:val="none" w:sz="0" w:space="0" w:color="auto"/>
        <w:bottom w:val="none" w:sz="0" w:space="0" w:color="auto"/>
        <w:right w:val="none" w:sz="0" w:space="0" w:color="auto"/>
      </w:divBdr>
    </w:div>
    <w:div w:id="291206063">
      <w:bodyDiv w:val="1"/>
      <w:marLeft w:val="0"/>
      <w:marRight w:val="0"/>
      <w:marTop w:val="0"/>
      <w:marBottom w:val="0"/>
      <w:divBdr>
        <w:top w:val="none" w:sz="0" w:space="0" w:color="auto"/>
        <w:left w:val="none" w:sz="0" w:space="0" w:color="auto"/>
        <w:bottom w:val="none" w:sz="0" w:space="0" w:color="auto"/>
        <w:right w:val="none" w:sz="0" w:space="0" w:color="auto"/>
      </w:divBdr>
    </w:div>
    <w:div w:id="306202480">
      <w:bodyDiv w:val="1"/>
      <w:marLeft w:val="0"/>
      <w:marRight w:val="0"/>
      <w:marTop w:val="0"/>
      <w:marBottom w:val="0"/>
      <w:divBdr>
        <w:top w:val="none" w:sz="0" w:space="0" w:color="auto"/>
        <w:left w:val="none" w:sz="0" w:space="0" w:color="auto"/>
        <w:bottom w:val="none" w:sz="0" w:space="0" w:color="auto"/>
        <w:right w:val="none" w:sz="0" w:space="0" w:color="auto"/>
      </w:divBdr>
    </w:div>
    <w:div w:id="312490109">
      <w:bodyDiv w:val="1"/>
      <w:marLeft w:val="0"/>
      <w:marRight w:val="0"/>
      <w:marTop w:val="0"/>
      <w:marBottom w:val="0"/>
      <w:divBdr>
        <w:top w:val="none" w:sz="0" w:space="0" w:color="auto"/>
        <w:left w:val="none" w:sz="0" w:space="0" w:color="auto"/>
        <w:bottom w:val="none" w:sz="0" w:space="0" w:color="auto"/>
        <w:right w:val="none" w:sz="0" w:space="0" w:color="auto"/>
      </w:divBdr>
    </w:div>
    <w:div w:id="346366131">
      <w:bodyDiv w:val="1"/>
      <w:marLeft w:val="0"/>
      <w:marRight w:val="0"/>
      <w:marTop w:val="0"/>
      <w:marBottom w:val="0"/>
      <w:divBdr>
        <w:top w:val="none" w:sz="0" w:space="0" w:color="auto"/>
        <w:left w:val="none" w:sz="0" w:space="0" w:color="auto"/>
        <w:bottom w:val="none" w:sz="0" w:space="0" w:color="auto"/>
        <w:right w:val="none" w:sz="0" w:space="0" w:color="auto"/>
      </w:divBdr>
    </w:div>
    <w:div w:id="389614971">
      <w:bodyDiv w:val="1"/>
      <w:marLeft w:val="0"/>
      <w:marRight w:val="0"/>
      <w:marTop w:val="0"/>
      <w:marBottom w:val="0"/>
      <w:divBdr>
        <w:top w:val="none" w:sz="0" w:space="0" w:color="auto"/>
        <w:left w:val="none" w:sz="0" w:space="0" w:color="auto"/>
        <w:bottom w:val="none" w:sz="0" w:space="0" w:color="auto"/>
        <w:right w:val="none" w:sz="0" w:space="0" w:color="auto"/>
      </w:divBdr>
    </w:div>
    <w:div w:id="404304714">
      <w:bodyDiv w:val="1"/>
      <w:marLeft w:val="0"/>
      <w:marRight w:val="0"/>
      <w:marTop w:val="0"/>
      <w:marBottom w:val="0"/>
      <w:divBdr>
        <w:top w:val="none" w:sz="0" w:space="0" w:color="auto"/>
        <w:left w:val="none" w:sz="0" w:space="0" w:color="auto"/>
        <w:bottom w:val="none" w:sz="0" w:space="0" w:color="auto"/>
        <w:right w:val="none" w:sz="0" w:space="0" w:color="auto"/>
      </w:divBdr>
    </w:div>
    <w:div w:id="430129779">
      <w:bodyDiv w:val="1"/>
      <w:marLeft w:val="0"/>
      <w:marRight w:val="0"/>
      <w:marTop w:val="0"/>
      <w:marBottom w:val="0"/>
      <w:divBdr>
        <w:top w:val="none" w:sz="0" w:space="0" w:color="auto"/>
        <w:left w:val="none" w:sz="0" w:space="0" w:color="auto"/>
        <w:bottom w:val="none" w:sz="0" w:space="0" w:color="auto"/>
        <w:right w:val="none" w:sz="0" w:space="0" w:color="auto"/>
      </w:divBdr>
    </w:div>
    <w:div w:id="472992380">
      <w:bodyDiv w:val="1"/>
      <w:marLeft w:val="0"/>
      <w:marRight w:val="0"/>
      <w:marTop w:val="0"/>
      <w:marBottom w:val="0"/>
      <w:divBdr>
        <w:top w:val="none" w:sz="0" w:space="0" w:color="auto"/>
        <w:left w:val="none" w:sz="0" w:space="0" w:color="auto"/>
        <w:bottom w:val="none" w:sz="0" w:space="0" w:color="auto"/>
        <w:right w:val="none" w:sz="0" w:space="0" w:color="auto"/>
      </w:divBdr>
    </w:div>
    <w:div w:id="536502002">
      <w:bodyDiv w:val="1"/>
      <w:marLeft w:val="0"/>
      <w:marRight w:val="0"/>
      <w:marTop w:val="0"/>
      <w:marBottom w:val="0"/>
      <w:divBdr>
        <w:top w:val="none" w:sz="0" w:space="0" w:color="auto"/>
        <w:left w:val="none" w:sz="0" w:space="0" w:color="auto"/>
        <w:bottom w:val="none" w:sz="0" w:space="0" w:color="auto"/>
        <w:right w:val="none" w:sz="0" w:space="0" w:color="auto"/>
      </w:divBdr>
    </w:div>
    <w:div w:id="536817133">
      <w:bodyDiv w:val="1"/>
      <w:marLeft w:val="0"/>
      <w:marRight w:val="0"/>
      <w:marTop w:val="0"/>
      <w:marBottom w:val="0"/>
      <w:divBdr>
        <w:top w:val="none" w:sz="0" w:space="0" w:color="auto"/>
        <w:left w:val="none" w:sz="0" w:space="0" w:color="auto"/>
        <w:bottom w:val="none" w:sz="0" w:space="0" w:color="auto"/>
        <w:right w:val="none" w:sz="0" w:space="0" w:color="auto"/>
      </w:divBdr>
    </w:div>
    <w:div w:id="578637626">
      <w:bodyDiv w:val="1"/>
      <w:marLeft w:val="0"/>
      <w:marRight w:val="0"/>
      <w:marTop w:val="0"/>
      <w:marBottom w:val="0"/>
      <w:divBdr>
        <w:top w:val="none" w:sz="0" w:space="0" w:color="auto"/>
        <w:left w:val="none" w:sz="0" w:space="0" w:color="auto"/>
        <w:bottom w:val="none" w:sz="0" w:space="0" w:color="auto"/>
        <w:right w:val="none" w:sz="0" w:space="0" w:color="auto"/>
      </w:divBdr>
    </w:div>
    <w:div w:id="637684465">
      <w:bodyDiv w:val="1"/>
      <w:marLeft w:val="0"/>
      <w:marRight w:val="0"/>
      <w:marTop w:val="0"/>
      <w:marBottom w:val="0"/>
      <w:divBdr>
        <w:top w:val="none" w:sz="0" w:space="0" w:color="auto"/>
        <w:left w:val="none" w:sz="0" w:space="0" w:color="auto"/>
        <w:bottom w:val="none" w:sz="0" w:space="0" w:color="auto"/>
        <w:right w:val="none" w:sz="0" w:space="0" w:color="auto"/>
      </w:divBdr>
    </w:div>
    <w:div w:id="648052495">
      <w:bodyDiv w:val="1"/>
      <w:marLeft w:val="0"/>
      <w:marRight w:val="0"/>
      <w:marTop w:val="0"/>
      <w:marBottom w:val="0"/>
      <w:divBdr>
        <w:top w:val="none" w:sz="0" w:space="0" w:color="auto"/>
        <w:left w:val="none" w:sz="0" w:space="0" w:color="auto"/>
        <w:bottom w:val="none" w:sz="0" w:space="0" w:color="auto"/>
        <w:right w:val="none" w:sz="0" w:space="0" w:color="auto"/>
      </w:divBdr>
    </w:div>
    <w:div w:id="650645863">
      <w:bodyDiv w:val="1"/>
      <w:marLeft w:val="0"/>
      <w:marRight w:val="0"/>
      <w:marTop w:val="0"/>
      <w:marBottom w:val="0"/>
      <w:divBdr>
        <w:top w:val="none" w:sz="0" w:space="0" w:color="auto"/>
        <w:left w:val="none" w:sz="0" w:space="0" w:color="auto"/>
        <w:bottom w:val="none" w:sz="0" w:space="0" w:color="auto"/>
        <w:right w:val="none" w:sz="0" w:space="0" w:color="auto"/>
      </w:divBdr>
    </w:div>
    <w:div w:id="679311727">
      <w:bodyDiv w:val="1"/>
      <w:marLeft w:val="0"/>
      <w:marRight w:val="0"/>
      <w:marTop w:val="0"/>
      <w:marBottom w:val="0"/>
      <w:divBdr>
        <w:top w:val="none" w:sz="0" w:space="0" w:color="auto"/>
        <w:left w:val="none" w:sz="0" w:space="0" w:color="auto"/>
        <w:bottom w:val="none" w:sz="0" w:space="0" w:color="auto"/>
        <w:right w:val="none" w:sz="0" w:space="0" w:color="auto"/>
      </w:divBdr>
    </w:div>
    <w:div w:id="685257759">
      <w:bodyDiv w:val="1"/>
      <w:marLeft w:val="0"/>
      <w:marRight w:val="0"/>
      <w:marTop w:val="0"/>
      <w:marBottom w:val="0"/>
      <w:divBdr>
        <w:top w:val="none" w:sz="0" w:space="0" w:color="auto"/>
        <w:left w:val="none" w:sz="0" w:space="0" w:color="auto"/>
        <w:bottom w:val="none" w:sz="0" w:space="0" w:color="auto"/>
        <w:right w:val="none" w:sz="0" w:space="0" w:color="auto"/>
      </w:divBdr>
    </w:div>
    <w:div w:id="701904491">
      <w:bodyDiv w:val="1"/>
      <w:marLeft w:val="0"/>
      <w:marRight w:val="0"/>
      <w:marTop w:val="0"/>
      <w:marBottom w:val="0"/>
      <w:divBdr>
        <w:top w:val="none" w:sz="0" w:space="0" w:color="auto"/>
        <w:left w:val="none" w:sz="0" w:space="0" w:color="auto"/>
        <w:bottom w:val="none" w:sz="0" w:space="0" w:color="auto"/>
        <w:right w:val="none" w:sz="0" w:space="0" w:color="auto"/>
      </w:divBdr>
    </w:div>
    <w:div w:id="726949578">
      <w:bodyDiv w:val="1"/>
      <w:marLeft w:val="0"/>
      <w:marRight w:val="0"/>
      <w:marTop w:val="0"/>
      <w:marBottom w:val="0"/>
      <w:divBdr>
        <w:top w:val="none" w:sz="0" w:space="0" w:color="auto"/>
        <w:left w:val="none" w:sz="0" w:space="0" w:color="auto"/>
        <w:bottom w:val="none" w:sz="0" w:space="0" w:color="auto"/>
        <w:right w:val="none" w:sz="0" w:space="0" w:color="auto"/>
      </w:divBdr>
    </w:div>
    <w:div w:id="737938736">
      <w:bodyDiv w:val="1"/>
      <w:marLeft w:val="0"/>
      <w:marRight w:val="0"/>
      <w:marTop w:val="0"/>
      <w:marBottom w:val="0"/>
      <w:divBdr>
        <w:top w:val="none" w:sz="0" w:space="0" w:color="auto"/>
        <w:left w:val="none" w:sz="0" w:space="0" w:color="auto"/>
        <w:bottom w:val="none" w:sz="0" w:space="0" w:color="auto"/>
        <w:right w:val="none" w:sz="0" w:space="0" w:color="auto"/>
      </w:divBdr>
    </w:div>
    <w:div w:id="824511049">
      <w:bodyDiv w:val="1"/>
      <w:marLeft w:val="0"/>
      <w:marRight w:val="0"/>
      <w:marTop w:val="0"/>
      <w:marBottom w:val="0"/>
      <w:divBdr>
        <w:top w:val="none" w:sz="0" w:space="0" w:color="auto"/>
        <w:left w:val="none" w:sz="0" w:space="0" w:color="auto"/>
        <w:bottom w:val="none" w:sz="0" w:space="0" w:color="auto"/>
        <w:right w:val="none" w:sz="0" w:space="0" w:color="auto"/>
      </w:divBdr>
    </w:div>
    <w:div w:id="844053726">
      <w:bodyDiv w:val="1"/>
      <w:marLeft w:val="0"/>
      <w:marRight w:val="0"/>
      <w:marTop w:val="0"/>
      <w:marBottom w:val="0"/>
      <w:divBdr>
        <w:top w:val="none" w:sz="0" w:space="0" w:color="auto"/>
        <w:left w:val="none" w:sz="0" w:space="0" w:color="auto"/>
        <w:bottom w:val="none" w:sz="0" w:space="0" w:color="auto"/>
        <w:right w:val="none" w:sz="0" w:space="0" w:color="auto"/>
      </w:divBdr>
    </w:div>
    <w:div w:id="872154947">
      <w:bodyDiv w:val="1"/>
      <w:marLeft w:val="0"/>
      <w:marRight w:val="0"/>
      <w:marTop w:val="0"/>
      <w:marBottom w:val="0"/>
      <w:divBdr>
        <w:top w:val="none" w:sz="0" w:space="0" w:color="auto"/>
        <w:left w:val="none" w:sz="0" w:space="0" w:color="auto"/>
        <w:bottom w:val="none" w:sz="0" w:space="0" w:color="auto"/>
        <w:right w:val="none" w:sz="0" w:space="0" w:color="auto"/>
      </w:divBdr>
    </w:div>
    <w:div w:id="950281496">
      <w:bodyDiv w:val="1"/>
      <w:marLeft w:val="0"/>
      <w:marRight w:val="0"/>
      <w:marTop w:val="0"/>
      <w:marBottom w:val="0"/>
      <w:divBdr>
        <w:top w:val="none" w:sz="0" w:space="0" w:color="auto"/>
        <w:left w:val="none" w:sz="0" w:space="0" w:color="auto"/>
        <w:bottom w:val="none" w:sz="0" w:space="0" w:color="auto"/>
        <w:right w:val="none" w:sz="0" w:space="0" w:color="auto"/>
      </w:divBdr>
    </w:div>
    <w:div w:id="1037848228">
      <w:bodyDiv w:val="1"/>
      <w:marLeft w:val="0"/>
      <w:marRight w:val="0"/>
      <w:marTop w:val="0"/>
      <w:marBottom w:val="0"/>
      <w:divBdr>
        <w:top w:val="none" w:sz="0" w:space="0" w:color="auto"/>
        <w:left w:val="none" w:sz="0" w:space="0" w:color="auto"/>
        <w:bottom w:val="none" w:sz="0" w:space="0" w:color="auto"/>
        <w:right w:val="none" w:sz="0" w:space="0" w:color="auto"/>
      </w:divBdr>
    </w:div>
    <w:div w:id="1054962699">
      <w:bodyDiv w:val="1"/>
      <w:marLeft w:val="0"/>
      <w:marRight w:val="0"/>
      <w:marTop w:val="0"/>
      <w:marBottom w:val="0"/>
      <w:divBdr>
        <w:top w:val="none" w:sz="0" w:space="0" w:color="auto"/>
        <w:left w:val="none" w:sz="0" w:space="0" w:color="auto"/>
        <w:bottom w:val="none" w:sz="0" w:space="0" w:color="auto"/>
        <w:right w:val="none" w:sz="0" w:space="0" w:color="auto"/>
      </w:divBdr>
    </w:div>
    <w:div w:id="1111583914">
      <w:bodyDiv w:val="1"/>
      <w:marLeft w:val="0"/>
      <w:marRight w:val="0"/>
      <w:marTop w:val="0"/>
      <w:marBottom w:val="0"/>
      <w:divBdr>
        <w:top w:val="none" w:sz="0" w:space="0" w:color="auto"/>
        <w:left w:val="none" w:sz="0" w:space="0" w:color="auto"/>
        <w:bottom w:val="none" w:sz="0" w:space="0" w:color="auto"/>
        <w:right w:val="none" w:sz="0" w:space="0" w:color="auto"/>
      </w:divBdr>
    </w:div>
    <w:div w:id="1152062660">
      <w:bodyDiv w:val="1"/>
      <w:marLeft w:val="0"/>
      <w:marRight w:val="0"/>
      <w:marTop w:val="0"/>
      <w:marBottom w:val="0"/>
      <w:divBdr>
        <w:top w:val="none" w:sz="0" w:space="0" w:color="auto"/>
        <w:left w:val="none" w:sz="0" w:space="0" w:color="auto"/>
        <w:bottom w:val="none" w:sz="0" w:space="0" w:color="auto"/>
        <w:right w:val="none" w:sz="0" w:space="0" w:color="auto"/>
      </w:divBdr>
    </w:div>
    <w:div w:id="1201937368">
      <w:bodyDiv w:val="1"/>
      <w:marLeft w:val="0"/>
      <w:marRight w:val="0"/>
      <w:marTop w:val="0"/>
      <w:marBottom w:val="0"/>
      <w:divBdr>
        <w:top w:val="none" w:sz="0" w:space="0" w:color="auto"/>
        <w:left w:val="none" w:sz="0" w:space="0" w:color="auto"/>
        <w:bottom w:val="none" w:sz="0" w:space="0" w:color="auto"/>
        <w:right w:val="none" w:sz="0" w:space="0" w:color="auto"/>
      </w:divBdr>
    </w:div>
    <w:div w:id="1209565016">
      <w:bodyDiv w:val="1"/>
      <w:marLeft w:val="0"/>
      <w:marRight w:val="0"/>
      <w:marTop w:val="0"/>
      <w:marBottom w:val="0"/>
      <w:divBdr>
        <w:top w:val="none" w:sz="0" w:space="0" w:color="auto"/>
        <w:left w:val="none" w:sz="0" w:space="0" w:color="auto"/>
        <w:bottom w:val="none" w:sz="0" w:space="0" w:color="auto"/>
        <w:right w:val="none" w:sz="0" w:space="0" w:color="auto"/>
      </w:divBdr>
    </w:div>
    <w:div w:id="1260410791">
      <w:bodyDiv w:val="1"/>
      <w:marLeft w:val="0"/>
      <w:marRight w:val="0"/>
      <w:marTop w:val="0"/>
      <w:marBottom w:val="0"/>
      <w:divBdr>
        <w:top w:val="none" w:sz="0" w:space="0" w:color="auto"/>
        <w:left w:val="none" w:sz="0" w:space="0" w:color="auto"/>
        <w:bottom w:val="none" w:sz="0" w:space="0" w:color="auto"/>
        <w:right w:val="none" w:sz="0" w:space="0" w:color="auto"/>
      </w:divBdr>
    </w:div>
    <w:div w:id="1348559801">
      <w:bodyDiv w:val="1"/>
      <w:marLeft w:val="0"/>
      <w:marRight w:val="0"/>
      <w:marTop w:val="0"/>
      <w:marBottom w:val="0"/>
      <w:divBdr>
        <w:top w:val="none" w:sz="0" w:space="0" w:color="auto"/>
        <w:left w:val="none" w:sz="0" w:space="0" w:color="auto"/>
        <w:bottom w:val="none" w:sz="0" w:space="0" w:color="auto"/>
        <w:right w:val="none" w:sz="0" w:space="0" w:color="auto"/>
      </w:divBdr>
    </w:div>
    <w:div w:id="1442988367">
      <w:bodyDiv w:val="1"/>
      <w:marLeft w:val="0"/>
      <w:marRight w:val="0"/>
      <w:marTop w:val="0"/>
      <w:marBottom w:val="0"/>
      <w:divBdr>
        <w:top w:val="none" w:sz="0" w:space="0" w:color="auto"/>
        <w:left w:val="none" w:sz="0" w:space="0" w:color="auto"/>
        <w:bottom w:val="none" w:sz="0" w:space="0" w:color="auto"/>
        <w:right w:val="none" w:sz="0" w:space="0" w:color="auto"/>
      </w:divBdr>
    </w:div>
    <w:div w:id="1565991543">
      <w:bodyDiv w:val="1"/>
      <w:marLeft w:val="0"/>
      <w:marRight w:val="0"/>
      <w:marTop w:val="0"/>
      <w:marBottom w:val="0"/>
      <w:divBdr>
        <w:top w:val="none" w:sz="0" w:space="0" w:color="auto"/>
        <w:left w:val="none" w:sz="0" w:space="0" w:color="auto"/>
        <w:bottom w:val="none" w:sz="0" w:space="0" w:color="auto"/>
        <w:right w:val="none" w:sz="0" w:space="0" w:color="auto"/>
      </w:divBdr>
    </w:div>
    <w:div w:id="1616904748">
      <w:bodyDiv w:val="1"/>
      <w:marLeft w:val="0"/>
      <w:marRight w:val="0"/>
      <w:marTop w:val="0"/>
      <w:marBottom w:val="0"/>
      <w:divBdr>
        <w:top w:val="none" w:sz="0" w:space="0" w:color="auto"/>
        <w:left w:val="none" w:sz="0" w:space="0" w:color="auto"/>
        <w:bottom w:val="none" w:sz="0" w:space="0" w:color="auto"/>
        <w:right w:val="none" w:sz="0" w:space="0" w:color="auto"/>
      </w:divBdr>
    </w:div>
    <w:div w:id="1679307457">
      <w:bodyDiv w:val="1"/>
      <w:marLeft w:val="0"/>
      <w:marRight w:val="0"/>
      <w:marTop w:val="0"/>
      <w:marBottom w:val="0"/>
      <w:divBdr>
        <w:top w:val="none" w:sz="0" w:space="0" w:color="auto"/>
        <w:left w:val="none" w:sz="0" w:space="0" w:color="auto"/>
        <w:bottom w:val="none" w:sz="0" w:space="0" w:color="auto"/>
        <w:right w:val="none" w:sz="0" w:space="0" w:color="auto"/>
      </w:divBdr>
    </w:div>
    <w:div w:id="1684287360">
      <w:bodyDiv w:val="1"/>
      <w:marLeft w:val="0"/>
      <w:marRight w:val="0"/>
      <w:marTop w:val="0"/>
      <w:marBottom w:val="0"/>
      <w:divBdr>
        <w:top w:val="none" w:sz="0" w:space="0" w:color="auto"/>
        <w:left w:val="none" w:sz="0" w:space="0" w:color="auto"/>
        <w:bottom w:val="none" w:sz="0" w:space="0" w:color="auto"/>
        <w:right w:val="none" w:sz="0" w:space="0" w:color="auto"/>
      </w:divBdr>
    </w:div>
    <w:div w:id="1718123144">
      <w:bodyDiv w:val="1"/>
      <w:marLeft w:val="0"/>
      <w:marRight w:val="0"/>
      <w:marTop w:val="0"/>
      <w:marBottom w:val="0"/>
      <w:divBdr>
        <w:top w:val="none" w:sz="0" w:space="0" w:color="auto"/>
        <w:left w:val="none" w:sz="0" w:space="0" w:color="auto"/>
        <w:bottom w:val="none" w:sz="0" w:space="0" w:color="auto"/>
        <w:right w:val="none" w:sz="0" w:space="0" w:color="auto"/>
      </w:divBdr>
    </w:div>
    <w:div w:id="1755972627">
      <w:bodyDiv w:val="1"/>
      <w:marLeft w:val="0"/>
      <w:marRight w:val="0"/>
      <w:marTop w:val="0"/>
      <w:marBottom w:val="0"/>
      <w:divBdr>
        <w:top w:val="none" w:sz="0" w:space="0" w:color="auto"/>
        <w:left w:val="none" w:sz="0" w:space="0" w:color="auto"/>
        <w:bottom w:val="none" w:sz="0" w:space="0" w:color="auto"/>
        <w:right w:val="none" w:sz="0" w:space="0" w:color="auto"/>
      </w:divBdr>
    </w:div>
    <w:div w:id="1913811457">
      <w:bodyDiv w:val="1"/>
      <w:marLeft w:val="0"/>
      <w:marRight w:val="0"/>
      <w:marTop w:val="0"/>
      <w:marBottom w:val="0"/>
      <w:divBdr>
        <w:top w:val="none" w:sz="0" w:space="0" w:color="auto"/>
        <w:left w:val="none" w:sz="0" w:space="0" w:color="auto"/>
        <w:bottom w:val="none" w:sz="0" w:space="0" w:color="auto"/>
        <w:right w:val="none" w:sz="0" w:space="0" w:color="auto"/>
      </w:divBdr>
    </w:div>
    <w:div w:id="1915771617">
      <w:bodyDiv w:val="1"/>
      <w:marLeft w:val="0"/>
      <w:marRight w:val="0"/>
      <w:marTop w:val="0"/>
      <w:marBottom w:val="0"/>
      <w:divBdr>
        <w:top w:val="none" w:sz="0" w:space="0" w:color="auto"/>
        <w:left w:val="none" w:sz="0" w:space="0" w:color="auto"/>
        <w:bottom w:val="none" w:sz="0" w:space="0" w:color="auto"/>
        <w:right w:val="none" w:sz="0" w:space="0" w:color="auto"/>
      </w:divBdr>
    </w:div>
    <w:div w:id="1969894455">
      <w:bodyDiv w:val="1"/>
      <w:marLeft w:val="0"/>
      <w:marRight w:val="0"/>
      <w:marTop w:val="0"/>
      <w:marBottom w:val="0"/>
      <w:divBdr>
        <w:top w:val="none" w:sz="0" w:space="0" w:color="auto"/>
        <w:left w:val="none" w:sz="0" w:space="0" w:color="auto"/>
        <w:bottom w:val="none" w:sz="0" w:space="0" w:color="auto"/>
        <w:right w:val="none" w:sz="0" w:space="0" w:color="auto"/>
      </w:divBdr>
    </w:div>
    <w:div w:id="1982078236">
      <w:bodyDiv w:val="1"/>
      <w:marLeft w:val="0"/>
      <w:marRight w:val="0"/>
      <w:marTop w:val="0"/>
      <w:marBottom w:val="0"/>
      <w:divBdr>
        <w:top w:val="none" w:sz="0" w:space="0" w:color="auto"/>
        <w:left w:val="none" w:sz="0" w:space="0" w:color="auto"/>
        <w:bottom w:val="none" w:sz="0" w:space="0" w:color="auto"/>
        <w:right w:val="none" w:sz="0" w:space="0" w:color="auto"/>
      </w:divBdr>
    </w:div>
    <w:div w:id="1985692990">
      <w:bodyDiv w:val="1"/>
      <w:marLeft w:val="0"/>
      <w:marRight w:val="0"/>
      <w:marTop w:val="0"/>
      <w:marBottom w:val="0"/>
      <w:divBdr>
        <w:top w:val="none" w:sz="0" w:space="0" w:color="auto"/>
        <w:left w:val="none" w:sz="0" w:space="0" w:color="auto"/>
        <w:bottom w:val="none" w:sz="0" w:space="0" w:color="auto"/>
        <w:right w:val="none" w:sz="0" w:space="0" w:color="auto"/>
      </w:divBdr>
    </w:div>
    <w:div w:id="1999729465">
      <w:bodyDiv w:val="1"/>
      <w:marLeft w:val="0"/>
      <w:marRight w:val="0"/>
      <w:marTop w:val="0"/>
      <w:marBottom w:val="0"/>
      <w:divBdr>
        <w:top w:val="none" w:sz="0" w:space="0" w:color="auto"/>
        <w:left w:val="none" w:sz="0" w:space="0" w:color="auto"/>
        <w:bottom w:val="none" w:sz="0" w:space="0" w:color="auto"/>
        <w:right w:val="none" w:sz="0" w:space="0" w:color="auto"/>
      </w:divBdr>
    </w:div>
    <w:div w:id="2029989726">
      <w:bodyDiv w:val="1"/>
      <w:marLeft w:val="0"/>
      <w:marRight w:val="0"/>
      <w:marTop w:val="0"/>
      <w:marBottom w:val="0"/>
      <w:divBdr>
        <w:top w:val="none" w:sz="0" w:space="0" w:color="auto"/>
        <w:left w:val="none" w:sz="0" w:space="0" w:color="auto"/>
        <w:bottom w:val="none" w:sz="0" w:space="0" w:color="auto"/>
        <w:right w:val="none" w:sz="0" w:space="0" w:color="auto"/>
      </w:divBdr>
    </w:div>
    <w:div w:id="2041347983">
      <w:bodyDiv w:val="1"/>
      <w:marLeft w:val="0"/>
      <w:marRight w:val="0"/>
      <w:marTop w:val="0"/>
      <w:marBottom w:val="0"/>
      <w:divBdr>
        <w:top w:val="none" w:sz="0" w:space="0" w:color="auto"/>
        <w:left w:val="none" w:sz="0" w:space="0" w:color="auto"/>
        <w:bottom w:val="none" w:sz="0" w:space="0" w:color="auto"/>
        <w:right w:val="none" w:sz="0" w:space="0" w:color="auto"/>
      </w:divBdr>
    </w:div>
    <w:div w:id="2045279509">
      <w:bodyDiv w:val="1"/>
      <w:marLeft w:val="0"/>
      <w:marRight w:val="0"/>
      <w:marTop w:val="0"/>
      <w:marBottom w:val="0"/>
      <w:divBdr>
        <w:top w:val="none" w:sz="0" w:space="0" w:color="auto"/>
        <w:left w:val="none" w:sz="0" w:space="0" w:color="auto"/>
        <w:bottom w:val="none" w:sz="0" w:space="0" w:color="auto"/>
        <w:right w:val="none" w:sz="0" w:space="0" w:color="auto"/>
      </w:divBdr>
    </w:div>
    <w:div w:id="2066291712">
      <w:bodyDiv w:val="1"/>
      <w:marLeft w:val="0"/>
      <w:marRight w:val="0"/>
      <w:marTop w:val="0"/>
      <w:marBottom w:val="0"/>
      <w:divBdr>
        <w:top w:val="none" w:sz="0" w:space="0" w:color="auto"/>
        <w:left w:val="none" w:sz="0" w:space="0" w:color="auto"/>
        <w:bottom w:val="none" w:sz="0" w:space="0" w:color="auto"/>
        <w:right w:val="none" w:sz="0" w:space="0" w:color="auto"/>
      </w:divBdr>
    </w:div>
    <w:div w:id="2079982506">
      <w:bodyDiv w:val="1"/>
      <w:marLeft w:val="0"/>
      <w:marRight w:val="0"/>
      <w:marTop w:val="0"/>
      <w:marBottom w:val="0"/>
      <w:divBdr>
        <w:top w:val="none" w:sz="0" w:space="0" w:color="auto"/>
        <w:left w:val="none" w:sz="0" w:space="0" w:color="auto"/>
        <w:bottom w:val="none" w:sz="0" w:space="0" w:color="auto"/>
        <w:right w:val="none" w:sz="0" w:space="0" w:color="auto"/>
      </w:divBdr>
    </w:div>
    <w:div w:id="21337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daalliance.org" TargetMode="External"/><Relationship Id="rId13" Type="http://schemas.openxmlformats.org/officeDocument/2006/relationships/hyperlink" Target="http://www.aodaalliance.org/strong-effective-aoda/09142007.asp"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odafeedback@gmail.com" TargetMode="External"/><Relationship Id="rId12" Type="http://schemas.openxmlformats.org/officeDocument/2006/relationships/hyperlink" Target="http://www.aodaalliance.org/strong-effective-aoda/09142007.as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odaalliance.org" TargetMode="External"/><Relationship Id="rId11" Type="http://schemas.openxmlformats.org/officeDocument/2006/relationships/hyperlink" Target="http://www.ohrc.on.ca/en/opportunity-succeed-achieving-barrier-free-education-students-disabilitie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aodaalliance.org/strong-effective-aoda/KPMG-ADO-Final-Report-Education-Sep-8-vF.docx"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aodaalliance.org/strong-effective-aoda/06132014.asp" TargetMode="External"/><Relationship Id="rId14" Type="http://schemas.openxmlformats.org/officeDocument/2006/relationships/hyperlink" Target="http://www.aodaalliance.org/strong-effective-aoda/02132015a.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44</Pages>
  <Words>17669</Words>
  <Characters>100718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118151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Lepofsky</dc:creator>
  <cp:lastModifiedBy>Marion Hayward</cp:lastModifiedBy>
  <cp:revision>5</cp:revision>
  <dcterms:created xsi:type="dcterms:W3CDTF">2016-11-09T18:18:00Z</dcterms:created>
  <dcterms:modified xsi:type="dcterms:W3CDTF">2016-11-09T19:24:00Z</dcterms:modified>
</cp:coreProperties>
</file>