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4C80C" w14:textId="77777777" w:rsidR="004B4634" w:rsidRPr="00560BB1" w:rsidRDefault="004B4634" w:rsidP="00560BB1">
      <w:pPr>
        <w:rPr>
          <w:rFonts w:ascii="Cambria" w:hAnsi="Cambria"/>
          <w:b/>
          <w:sz w:val="28"/>
        </w:rPr>
      </w:pPr>
      <w:r w:rsidRPr="00560BB1">
        <w:rPr>
          <w:rFonts w:ascii="Cambria" w:hAnsi="Cambria"/>
          <w:b/>
          <w:sz w:val="28"/>
        </w:rPr>
        <w:t xml:space="preserve">What </w:t>
      </w:r>
      <w:r w:rsidR="000E1351">
        <w:rPr>
          <w:rFonts w:ascii="Cambria" w:hAnsi="Cambria"/>
          <w:b/>
          <w:sz w:val="28"/>
        </w:rPr>
        <w:t xml:space="preserve">Should </w:t>
      </w:r>
      <w:r w:rsidRPr="00560BB1">
        <w:rPr>
          <w:rFonts w:ascii="Cambria" w:hAnsi="Cambria"/>
          <w:b/>
          <w:sz w:val="28"/>
        </w:rPr>
        <w:t>the Canadians with Disabilities Act</w:t>
      </w:r>
      <w:r w:rsidR="00412AD3">
        <w:rPr>
          <w:rFonts w:ascii="Cambria" w:hAnsi="Cambria"/>
          <w:b/>
          <w:sz w:val="28"/>
        </w:rPr>
        <w:t xml:space="preserve"> Include</w:t>
      </w:r>
      <w:r w:rsidR="000E1351">
        <w:rPr>
          <w:rFonts w:ascii="Cambria" w:hAnsi="Cambria"/>
          <w:b/>
          <w:sz w:val="28"/>
        </w:rPr>
        <w:t>? A Discussion Paper</w:t>
      </w:r>
      <w:r w:rsidRPr="00560BB1">
        <w:rPr>
          <w:rFonts w:ascii="Cambria" w:hAnsi="Cambria"/>
          <w:b/>
          <w:sz w:val="28"/>
        </w:rPr>
        <w:t xml:space="preserve"> </w:t>
      </w:r>
    </w:p>
    <w:p w14:paraId="369B7490" w14:textId="77777777" w:rsidR="00362803" w:rsidRDefault="00362803" w:rsidP="002A198E">
      <w:pPr>
        <w:widowControl w:val="0"/>
        <w:rPr>
          <w:lang w:val="en-CA"/>
        </w:rPr>
      </w:pPr>
    </w:p>
    <w:p w14:paraId="04D38A10" w14:textId="77777777" w:rsidR="005C691B" w:rsidRDefault="004B4634" w:rsidP="002A198E">
      <w:pPr>
        <w:widowControl w:val="0"/>
        <w:rPr>
          <w:lang w:val="en-CA"/>
        </w:rPr>
        <w:sectPr w:rsidR="005C691B" w:rsidSect="005C691B">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cols w:space="720"/>
          <w:docGrid w:linePitch="360"/>
        </w:sectPr>
      </w:pPr>
      <w:r w:rsidRPr="002A198E">
        <w:rPr>
          <w:lang w:val="en-CA"/>
        </w:rPr>
        <w:t>By David Lepofsky, C</w:t>
      </w:r>
      <w:r w:rsidR="002A198E" w:rsidRPr="002A198E">
        <w:rPr>
          <w:lang w:val="en-CA"/>
        </w:rPr>
        <w:t>M</w:t>
      </w:r>
      <w:r w:rsidRPr="002A198E">
        <w:rPr>
          <w:lang w:val="en-CA"/>
        </w:rPr>
        <w:t>. O.Ont.</w:t>
      </w:r>
      <w:r w:rsidR="002B28C2" w:rsidRPr="002A198E">
        <w:rPr>
          <w:lang w:val="en-CA"/>
        </w:rPr>
        <w:t xml:space="preserve"> LL.B. (Osgoode Hall Law School, LL.M (Harvard Law School, LL.D. (Hon</w:t>
      </w:r>
      <w:r w:rsidR="002A198E" w:rsidRPr="002A198E">
        <w:rPr>
          <w:lang w:val="en-CA"/>
        </w:rPr>
        <w:t>.</w:t>
      </w:r>
      <w:r w:rsidR="002B28C2" w:rsidRPr="002A198E">
        <w:rPr>
          <w:lang w:val="en-CA"/>
        </w:rPr>
        <w:t>) (</w:t>
      </w:r>
      <w:r w:rsidR="002A198E" w:rsidRPr="002A198E">
        <w:rPr>
          <w:lang w:val="en-CA"/>
        </w:rPr>
        <w:t>Q</w:t>
      </w:r>
      <w:r w:rsidR="002B28C2" w:rsidRPr="002A198E">
        <w:rPr>
          <w:lang w:val="en-CA"/>
        </w:rPr>
        <w:t>ueen</w:t>
      </w:r>
      <w:r w:rsidR="002A198E" w:rsidRPr="002A198E">
        <w:rPr>
          <w:lang w:val="en-CA"/>
        </w:rPr>
        <w:t>'</w:t>
      </w:r>
      <w:r w:rsidR="002B28C2" w:rsidRPr="002A198E">
        <w:rPr>
          <w:lang w:val="en-CA"/>
        </w:rPr>
        <w:t>s University</w:t>
      </w:r>
      <w:r w:rsidR="00DA33E0">
        <w:rPr>
          <w:lang w:val="en-CA"/>
        </w:rPr>
        <w:t>,</w:t>
      </w:r>
      <w:r w:rsidR="002B28C2" w:rsidRPr="002A198E">
        <w:rPr>
          <w:lang w:val="en-CA"/>
        </w:rPr>
        <w:t xml:space="preserve"> University of Western Ontario</w:t>
      </w:r>
      <w:r w:rsidR="00DA33E0">
        <w:rPr>
          <w:lang w:val="en-CA"/>
        </w:rPr>
        <w:t xml:space="preserve"> and the Law Society of Upper Canada</w:t>
      </w:r>
      <w:r w:rsidR="002B28C2" w:rsidRPr="002A198E">
        <w:rPr>
          <w:lang w:val="en-CA"/>
        </w:rPr>
        <w:t>)</w:t>
      </w:r>
      <w:bookmarkStart w:id="0" w:name="OLE_LINK5"/>
      <w:bookmarkStart w:id="1" w:name="OLE_LINK6"/>
      <w:r w:rsidR="00A226E9">
        <w:rPr>
          <w:rStyle w:val="EndnoteReference"/>
          <w:lang w:val="en-CA"/>
        </w:rPr>
        <w:endnoteReference w:id="1"/>
      </w:r>
    </w:p>
    <w:bookmarkEnd w:id="0"/>
    <w:bookmarkEnd w:id="1"/>
    <w:p w14:paraId="426441CF" w14:textId="77777777" w:rsidR="00A226E9" w:rsidRPr="002A198E" w:rsidRDefault="00A226E9" w:rsidP="002A198E">
      <w:pPr>
        <w:widowControl w:val="0"/>
        <w:rPr>
          <w:lang w:val="en-CA"/>
        </w:rPr>
      </w:pPr>
      <w:r w:rsidRPr="002A198E">
        <w:rPr>
          <w:lang w:val="en-CA"/>
        </w:rPr>
        <w:lastRenderedPageBreak/>
        <w:t xml:space="preserve"> </w:t>
      </w:r>
    </w:p>
    <w:p w14:paraId="1B3D6C4E" w14:textId="77777777" w:rsidR="00A226E9" w:rsidRPr="002A198E" w:rsidRDefault="00A226E9" w:rsidP="002A198E">
      <w:pPr>
        <w:pStyle w:val="Heading1"/>
        <w:keepNext w:val="0"/>
        <w:keepLines w:val="0"/>
        <w:widowControl w:val="0"/>
        <w:spacing w:before="0"/>
        <w:rPr>
          <w:lang w:val="en-CA"/>
        </w:rPr>
      </w:pPr>
      <w:bookmarkStart w:id="2" w:name="_Toc319660875"/>
      <w:r>
        <w:rPr>
          <w:lang w:val="en-CA"/>
        </w:rPr>
        <w:t>1</w:t>
      </w:r>
      <w:r w:rsidRPr="002A198E">
        <w:rPr>
          <w:lang w:val="en-CA"/>
        </w:rPr>
        <w:t>. Introduction</w:t>
      </w:r>
      <w:bookmarkEnd w:id="2"/>
      <w:r w:rsidRPr="002A198E">
        <w:rPr>
          <w:lang w:val="en-CA"/>
        </w:rPr>
        <w:t xml:space="preserve"> </w:t>
      </w:r>
    </w:p>
    <w:p w14:paraId="1E70B877" w14:textId="77777777" w:rsidR="00A226E9" w:rsidRPr="002A198E" w:rsidRDefault="00A226E9" w:rsidP="002A198E">
      <w:pPr>
        <w:widowControl w:val="0"/>
        <w:rPr>
          <w:lang w:val="en-CA"/>
        </w:rPr>
      </w:pPr>
    </w:p>
    <w:p w14:paraId="656175AF" w14:textId="27AE61EC" w:rsidR="00A226E9" w:rsidRPr="002A198E" w:rsidRDefault="00A226E9" w:rsidP="002A198E">
      <w:pPr>
        <w:widowControl w:val="0"/>
        <w:rPr>
          <w:lang w:val="en-CA"/>
        </w:rPr>
      </w:pPr>
      <w:r w:rsidRPr="002A198E">
        <w:rPr>
          <w:lang w:val="en-CA"/>
        </w:rPr>
        <w:t xml:space="preserve">Travelers </w:t>
      </w:r>
      <w:r w:rsidR="000B6566">
        <w:rPr>
          <w:lang w:val="en-CA"/>
        </w:rPr>
        <w:t xml:space="preserve">increasingly </w:t>
      </w:r>
      <w:r w:rsidRPr="002A198E">
        <w:rPr>
          <w:lang w:val="en-CA"/>
        </w:rPr>
        <w:t>buy airline tickets o</w:t>
      </w:r>
      <w:r>
        <w:rPr>
          <w:lang w:val="en-CA"/>
        </w:rPr>
        <w:t>n</w:t>
      </w:r>
      <w:r w:rsidRPr="002A198E">
        <w:rPr>
          <w:lang w:val="en-CA"/>
        </w:rPr>
        <w:t xml:space="preserve">line. Yet airlines’ websites too often are inaccessible to </w:t>
      </w:r>
      <w:r w:rsidR="002509FA">
        <w:rPr>
          <w:lang w:val="en-CA"/>
        </w:rPr>
        <w:t xml:space="preserve">computer </w:t>
      </w:r>
      <w:r w:rsidRPr="002A198E">
        <w:rPr>
          <w:lang w:val="en-CA"/>
        </w:rPr>
        <w:t>access technology that some people with disabilities use. Compounding thi</w:t>
      </w:r>
      <w:r>
        <w:rPr>
          <w:lang w:val="en-CA"/>
        </w:rPr>
        <w:t>s</w:t>
      </w:r>
      <w:r w:rsidRPr="002A198E">
        <w:rPr>
          <w:lang w:val="en-CA"/>
        </w:rPr>
        <w:t xml:space="preserve">, some airlines </w:t>
      </w:r>
      <w:r>
        <w:rPr>
          <w:lang w:val="en-CA"/>
        </w:rPr>
        <w:t xml:space="preserve">charge </w:t>
      </w:r>
      <w:r w:rsidRPr="002A198E">
        <w:rPr>
          <w:lang w:val="en-CA"/>
        </w:rPr>
        <w:t>an added fee for buying tickets by phone</w:t>
      </w:r>
      <w:r w:rsidR="000B75C1">
        <w:rPr>
          <w:lang w:val="en-CA"/>
        </w:rPr>
        <w:t xml:space="preserve">, a financial penalty for </w:t>
      </w:r>
      <w:proofErr w:type="spellStart"/>
      <w:r w:rsidR="000B75C1">
        <w:rPr>
          <w:lang w:val="en-CA"/>
        </w:rPr>
        <w:t>peoplewho</w:t>
      </w:r>
      <w:proofErr w:type="spellEnd"/>
      <w:r w:rsidR="000B75C1">
        <w:rPr>
          <w:lang w:val="en-CA"/>
        </w:rPr>
        <w:t xml:space="preserve"> cannot use a computer due to their disability</w:t>
      </w:r>
      <w:r w:rsidRPr="002A198E">
        <w:rPr>
          <w:lang w:val="en-CA"/>
        </w:rPr>
        <w:t xml:space="preserve">. </w:t>
      </w:r>
    </w:p>
    <w:p w14:paraId="66ECAD36" w14:textId="77777777" w:rsidR="00A226E9" w:rsidRPr="002A198E" w:rsidRDefault="00A226E9" w:rsidP="002A198E">
      <w:pPr>
        <w:widowControl w:val="0"/>
        <w:rPr>
          <w:lang w:val="en-CA"/>
        </w:rPr>
      </w:pPr>
    </w:p>
    <w:p w14:paraId="20BDED60" w14:textId="77777777" w:rsidR="00A226E9" w:rsidRPr="002A198E" w:rsidRDefault="00A226E9" w:rsidP="002A198E">
      <w:pPr>
        <w:widowControl w:val="0"/>
        <w:rPr>
          <w:lang w:val="en-CA"/>
        </w:rPr>
      </w:pPr>
      <w:r w:rsidRPr="002A198E">
        <w:rPr>
          <w:lang w:val="en-CA"/>
        </w:rPr>
        <w:t>Self-serve electronic touch-screen check-in kiosks are popping up at Canadian airports. These typically don’t accommodate those with disabilities like motor limitations, vision loss or dyslexia.</w:t>
      </w:r>
    </w:p>
    <w:p w14:paraId="31483FE9" w14:textId="77777777" w:rsidR="00A226E9" w:rsidRPr="002A198E" w:rsidRDefault="00A226E9" w:rsidP="002A198E">
      <w:pPr>
        <w:widowControl w:val="0"/>
        <w:rPr>
          <w:lang w:val="en-CA"/>
        </w:rPr>
      </w:pPr>
    </w:p>
    <w:p w14:paraId="3BC8A4C9" w14:textId="77777777" w:rsidR="002A40BC" w:rsidRDefault="00A226E9" w:rsidP="002A40BC">
      <w:pPr>
        <w:widowControl w:val="0"/>
        <w:rPr>
          <w:lang w:val="en-CA"/>
        </w:rPr>
      </w:pPr>
      <w:r w:rsidRPr="002A198E">
        <w:rPr>
          <w:lang w:val="en-CA"/>
        </w:rPr>
        <w:t>Canadian cable</w:t>
      </w:r>
      <w:r w:rsidR="00A12A6B">
        <w:rPr>
          <w:lang w:val="en-CA"/>
        </w:rPr>
        <w:t>-TV</w:t>
      </w:r>
      <w:r w:rsidRPr="002A198E">
        <w:rPr>
          <w:lang w:val="en-CA"/>
        </w:rPr>
        <w:t xml:space="preserve"> companies updat</w:t>
      </w:r>
      <w:r>
        <w:rPr>
          <w:lang w:val="en-CA"/>
        </w:rPr>
        <w:t>e</w:t>
      </w:r>
      <w:r w:rsidRPr="002A198E">
        <w:rPr>
          <w:lang w:val="en-CA"/>
        </w:rPr>
        <w:t xml:space="preserve"> set-top boxes, needed </w:t>
      </w:r>
      <w:r>
        <w:rPr>
          <w:lang w:val="en-CA"/>
        </w:rPr>
        <w:t xml:space="preserve">for </w:t>
      </w:r>
      <w:r w:rsidRPr="002A198E">
        <w:rPr>
          <w:lang w:val="en-CA"/>
        </w:rPr>
        <w:t xml:space="preserve">cable TV services. </w:t>
      </w:r>
      <w:r w:rsidR="00A12A6B">
        <w:rPr>
          <w:lang w:val="en-CA"/>
        </w:rPr>
        <w:t>T</w:t>
      </w:r>
      <w:r w:rsidRPr="002A198E">
        <w:rPr>
          <w:lang w:val="en-CA"/>
        </w:rPr>
        <w:t>hese don’t incorporate universal design principles to make them disability-accessible. The same i</w:t>
      </w:r>
      <w:r>
        <w:rPr>
          <w:lang w:val="en-CA"/>
        </w:rPr>
        <w:t>s true</w:t>
      </w:r>
      <w:r w:rsidRPr="002A198E">
        <w:rPr>
          <w:lang w:val="en-CA"/>
        </w:rPr>
        <w:t xml:space="preserve"> for some banks’ ATMs. </w:t>
      </w:r>
      <w:r w:rsidR="00107E0F">
        <w:rPr>
          <w:lang w:val="en-CA"/>
        </w:rPr>
        <w:t xml:space="preserve">Yet </w:t>
      </w:r>
      <w:r w:rsidRPr="002A198E">
        <w:rPr>
          <w:lang w:val="en-CA"/>
        </w:rPr>
        <w:t xml:space="preserve">access technology </w:t>
      </w:r>
      <w:r w:rsidR="00A146F3">
        <w:rPr>
          <w:lang w:val="en-CA"/>
        </w:rPr>
        <w:t xml:space="preserve">could </w:t>
      </w:r>
      <w:r w:rsidRPr="002A198E">
        <w:rPr>
          <w:lang w:val="en-CA"/>
        </w:rPr>
        <w:t>readily be incorporate</w:t>
      </w:r>
      <w:r>
        <w:rPr>
          <w:lang w:val="en-CA"/>
        </w:rPr>
        <w:t>d</w:t>
      </w:r>
      <w:r w:rsidRPr="002A198E">
        <w:rPr>
          <w:lang w:val="en-CA"/>
        </w:rPr>
        <w:t>.</w:t>
      </w:r>
      <w:r w:rsidR="002A40BC">
        <w:rPr>
          <w:lang w:val="en-CA"/>
        </w:rPr>
        <w:t xml:space="preserve"> </w:t>
      </w:r>
    </w:p>
    <w:p w14:paraId="1B669661" w14:textId="77777777" w:rsidR="002A40BC" w:rsidRDefault="002A40BC" w:rsidP="002A40BC">
      <w:pPr>
        <w:widowControl w:val="0"/>
        <w:rPr>
          <w:lang w:val="en-CA"/>
        </w:rPr>
      </w:pPr>
    </w:p>
    <w:p w14:paraId="49A3B52B" w14:textId="6B7046F6" w:rsidR="002A40BC" w:rsidRPr="002A40BC" w:rsidRDefault="009C70BC" w:rsidP="002A40BC">
      <w:pPr>
        <w:widowControl w:val="0"/>
        <w:rPr>
          <w:lang w:val="en-CA"/>
        </w:rPr>
      </w:pPr>
      <w:r>
        <w:rPr>
          <w:lang w:val="en-CA"/>
        </w:rPr>
        <w:t>A</w:t>
      </w:r>
      <w:r w:rsidR="000240E4">
        <w:rPr>
          <w:lang w:val="en-CA"/>
        </w:rPr>
        <w:t xml:space="preserve">ccessibility </w:t>
      </w:r>
      <w:r>
        <w:rPr>
          <w:lang w:val="en-CA"/>
        </w:rPr>
        <w:t xml:space="preserve">in Canada </w:t>
      </w:r>
      <w:r w:rsidR="000240E4">
        <w:rPr>
          <w:lang w:val="en-CA"/>
        </w:rPr>
        <w:t xml:space="preserve">for people with disabilities trails far behind the </w:t>
      </w:r>
      <w:r w:rsidR="00A146F3">
        <w:rPr>
          <w:lang w:val="en-CA"/>
        </w:rPr>
        <w:t xml:space="preserve">US </w:t>
      </w:r>
      <w:r w:rsidR="000240E4">
        <w:rPr>
          <w:lang w:val="en-CA"/>
        </w:rPr>
        <w:t xml:space="preserve">experience. </w:t>
      </w:r>
      <w:r w:rsidR="002A40BC">
        <w:rPr>
          <w:lang w:val="en-CA"/>
        </w:rPr>
        <w:t xml:space="preserve">Canadian accessibility law </w:t>
      </w:r>
      <w:r w:rsidR="000240E4">
        <w:rPr>
          <w:lang w:val="en-CA"/>
        </w:rPr>
        <w:t xml:space="preserve">similarly </w:t>
      </w:r>
      <w:r w:rsidR="002A40BC">
        <w:rPr>
          <w:lang w:val="en-CA"/>
        </w:rPr>
        <w:t xml:space="preserve">trails far behind US law. For example, the </w:t>
      </w:r>
      <w:r w:rsidR="002A40BC" w:rsidRPr="001F2E59">
        <w:rPr>
          <w:i/>
          <w:lang w:val="en-CA"/>
        </w:rPr>
        <w:t>Americans with Disabilities Act,</w:t>
      </w:r>
      <w:r w:rsidR="002A40BC">
        <w:rPr>
          <w:lang w:val="en-CA"/>
        </w:rPr>
        <w:t xml:space="preserve"> imposing detailed accessibility requirements,</w:t>
      </w:r>
      <w:r w:rsidR="002A40BC">
        <w:rPr>
          <w:rStyle w:val="EndnoteReference"/>
          <w:lang w:val="en-CA"/>
        </w:rPr>
        <w:endnoteReference w:id="2"/>
      </w:r>
      <w:r w:rsidR="002A40BC">
        <w:rPr>
          <w:lang w:val="en-CA"/>
        </w:rPr>
        <w:t xml:space="preserve"> has been in force since 1990. </w:t>
      </w:r>
      <w:r w:rsidR="00402600">
        <w:rPr>
          <w:lang w:val="en-CA"/>
        </w:rPr>
        <w:t xml:space="preserve">Section 508 of the U.S. </w:t>
      </w:r>
      <w:r w:rsidR="00402600" w:rsidRPr="003A4E29">
        <w:rPr>
          <w:i/>
          <w:lang w:val="en-CA"/>
        </w:rPr>
        <w:t>Rehabilitation Act</w:t>
      </w:r>
      <w:r w:rsidR="00402600">
        <w:rPr>
          <w:lang w:val="en-CA"/>
        </w:rPr>
        <w:t xml:space="preserve"> requires that when the U.S. Government procures technology for its use, it must meet accessibility requirements.</w:t>
      </w:r>
      <w:r w:rsidR="00402600">
        <w:rPr>
          <w:rStyle w:val="EndnoteReference"/>
          <w:lang w:val="en-CA"/>
        </w:rPr>
        <w:endnoteReference w:id="3"/>
      </w:r>
      <w:r w:rsidR="00402600">
        <w:rPr>
          <w:lang w:val="en-CA"/>
        </w:rPr>
        <w:t xml:space="preserve"> M</w:t>
      </w:r>
      <w:r w:rsidR="002A40BC">
        <w:rPr>
          <w:lang w:val="en-CA"/>
        </w:rPr>
        <w:t xml:space="preserve">ore recently, the </w:t>
      </w:r>
      <w:r w:rsidR="002A40BC" w:rsidRPr="003A4E29">
        <w:rPr>
          <w:i/>
          <w:lang w:val="en-CA"/>
        </w:rPr>
        <w:t>21st Century Communications and Video Accessibility Act</w:t>
      </w:r>
      <w:r w:rsidR="002A40BC">
        <w:rPr>
          <w:lang w:val="en-CA"/>
        </w:rPr>
        <w:t xml:space="preserve">, imposes communications technology accessibility requirements, </w:t>
      </w:r>
      <w:r w:rsidR="00A86F95">
        <w:rPr>
          <w:lang w:val="en-CA"/>
        </w:rPr>
        <w:t xml:space="preserve">e.g. </w:t>
      </w:r>
      <w:r w:rsidR="004F2FB4">
        <w:rPr>
          <w:lang w:val="en-CA"/>
        </w:rPr>
        <w:t xml:space="preserve">for </w:t>
      </w:r>
      <w:r w:rsidR="002A40BC">
        <w:rPr>
          <w:lang w:val="en-CA"/>
        </w:rPr>
        <w:t>set-</w:t>
      </w:r>
      <w:r w:rsidR="004F2FB4">
        <w:rPr>
          <w:lang w:val="en-CA"/>
        </w:rPr>
        <w:t xml:space="preserve">top </w:t>
      </w:r>
      <w:r w:rsidR="002A40BC">
        <w:rPr>
          <w:lang w:val="en-CA"/>
        </w:rPr>
        <w:t>cable</w:t>
      </w:r>
      <w:r w:rsidR="004F2FB4">
        <w:rPr>
          <w:lang w:val="en-CA"/>
        </w:rPr>
        <w:t>-</w:t>
      </w:r>
      <w:r w:rsidR="002A40BC">
        <w:rPr>
          <w:lang w:val="en-CA"/>
        </w:rPr>
        <w:t>TV box accessibility.</w:t>
      </w:r>
      <w:r w:rsidR="002A40BC">
        <w:rPr>
          <w:rStyle w:val="EndnoteReference"/>
          <w:lang w:val="en-CA"/>
        </w:rPr>
        <w:endnoteReference w:id="4"/>
      </w:r>
      <w:r w:rsidR="002A40BC">
        <w:rPr>
          <w:lang w:val="en-CA"/>
        </w:rPr>
        <w:t xml:space="preserve"> </w:t>
      </w:r>
    </w:p>
    <w:p w14:paraId="286A19B9" w14:textId="77777777" w:rsidR="00A226E9" w:rsidRPr="002A198E" w:rsidRDefault="00A226E9" w:rsidP="002A198E">
      <w:pPr>
        <w:widowControl w:val="0"/>
        <w:rPr>
          <w:lang w:val="en-CA"/>
        </w:rPr>
      </w:pPr>
    </w:p>
    <w:p w14:paraId="0969A5A7" w14:textId="57FEB7D8" w:rsidR="00B33070" w:rsidRDefault="00B33070" w:rsidP="009923A4">
      <w:pPr>
        <w:widowControl w:val="0"/>
        <w:rPr>
          <w:lang w:val="en-CA"/>
        </w:rPr>
      </w:pPr>
      <w:r>
        <w:rPr>
          <w:lang w:val="en-CA"/>
        </w:rPr>
        <w:t xml:space="preserve">Canada's </w:t>
      </w:r>
      <w:r w:rsidRPr="000B0E4D">
        <w:rPr>
          <w:i/>
          <w:lang w:val="en-CA"/>
        </w:rPr>
        <w:t>Charter of Rights</w:t>
      </w:r>
      <w:r w:rsidR="000B0E4D">
        <w:rPr>
          <w:i/>
          <w:lang w:val="en-CA"/>
        </w:rPr>
        <w:t xml:space="preserve"> </w:t>
      </w:r>
      <w:r>
        <w:rPr>
          <w:lang w:val="en-CA"/>
        </w:rPr>
        <w:t xml:space="preserve">and human rights legislation across the country impose impressive requirements to ensure accessibility for people with disabilities. Yet far too frequently, these exist on paper, </w:t>
      </w:r>
      <w:r w:rsidR="00F7259C">
        <w:rPr>
          <w:lang w:val="en-CA"/>
        </w:rPr>
        <w:t xml:space="preserve">not </w:t>
      </w:r>
      <w:r>
        <w:rPr>
          <w:lang w:val="en-CA"/>
        </w:rPr>
        <w:t>in the lives of people with disabilities.</w:t>
      </w:r>
    </w:p>
    <w:p w14:paraId="3504AA2C" w14:textId="77777777" w:rsidR="00B33070" w:rsidRDefault="00B33070" w:rsidP="009923A4">
      <w:pPr>
        <w:widowControl w:val="0"/>
        <w:rPr>
          <w:lang w:val="en-CA"/>
        </w:rPr>
      </w:pPr>
    </w:p>
    <w:p w14:paraId="0F011DCC" w14:textId="73DA2A1F" w:rsidR="00A226E9" w:rsidRPr="002A198E" w:rsidRDefault="00E80A70" w:rsidP="002A198E">
      <w:pPr>
        <w:widowControl w:val="0"/>
        <w:rPr>
          <w:lang w:val="en-CA"/>
        </w:rPr>
      </w:pPr>
      <w:r>
        <w:rPr>
          <w:lang w:val="en-CA"/>
        </w:rPr>
        <w:t xml:space="preserve">Canada's courts </w:t>
      </w:r>
      <w:r w:rsidR="000B0E4D">
        <w:rPr>
          <w:lang w:val="en-CA"/>
        </w:rPr>
        <w:t xml:space="preserve">have </w:t>
      </w:r>
      <w:r w:rsidR="00C57415">
        <w:rPr>
          <w:lang w:val="en-CA"/>
        </w:rPr>
        <w:t>reached important decisions on disability accessibility</w:t>
      </w:r>
      <w:r w:rsidR="00603B0D">
        <w:rPr>
          <w:lang w:val="en-CA"/>
        </w:rPr>
        <w:t>.</w:t>
      </w:r>
      <w:r w:rsidR="00C57415">
        <w:rPr>
          <w:lang w:val="en-CA"/>
        </w:rPr>
        <w:t xml:space="preserve"> </w:t>
      </w:r>
      <w:r w:rsidR="00603B0D">
        <w:rPr>
          <w:lang w:val="en-CA"/>
        </w:rPr>
        <w:t xml:space="preserve">Yet </w:t>
      </w:r>
      <w:r w:rsidR="003E5A3F">
        <w:rPr>
          <w:lang w:val="en-CA"/>
        </w:rPr>
        <w:t xml:space="preserve">they </w:t>
      </w:r>
      <w:r w:rsidR="00C57415">
        <w:rPr>
          <w:lang w:val="en-CA"/>
        </w:rPr>
        <w:t xml:space="preserve">far too often go </w:t>
      </w:r>
      <w:r w:rsidR="00340758">
        <w:rPr>
          <w:lang w:val="en-CA"/>
        </w:rPr>
        <w:t>unimplemented</w:t>
      </w:r>
      <w:r w:rsidR="00C57415">
        <w:rPr>
          <w:lang w:val="en-CA"/>
        </w:rPr>
        <w:t xml:space="preserve">. </w:t>
      </w:r>
      <w:r w:rsidR="002509FA">
        <w:rPr>
          <w:lang w:val="en-CA"/>
        </w:rPr>
        <w:t xml:space="preserve">The Supreme Court of Canada’s landmark </w:t>
      </w:r>
      <w:r w:rsidR="002509FA">
        <w:rPr>
          <w:i/>
          <w:lang w:val="en-CA"/>
        </w:rPr>
        <w:t xml:space="preserve">Eldridge v. </w:t>
      </w:r>
      <w:r w:rsidR="00A226E9" w:rsidRPr="00AE6517">
        <w:rPr>
          <w:i/>
          <w:lang w:val="en-CA"/>
        </w:rPr>
        <w:t>BC.</w:t>
      </w:r>
      <w:r w:rsidR="003E5A3F">
        <w:rPr>
          <w:i/>
          <w:lang w:val="en-CA"/>
        </w:rPr>
        <w:t xml:space="preserve"> </w:t>
      </w:r>
      <w:r w:rsidR="003E5A3F" w:rsidRPr="000B0E4D">
        <w:rPr>
          <w:lang w:val="en-CA"/>
        </w:rPr>
        <w:t>decision</w:t>
      </w:r>
      <w:r w:rsidR="00A226E9">
        <w:rPr>
          <w:i/>
          <w:lang w:val="en-CA"/>
        </w:rPr>
        <w:t>,</w:t>
      </w:r>
      <w:r w:rsidR="00A226E9">
        <w:rPr>
          <w:rStyle w:val="EndnoteReference"/>
          <w:i/>
          <w:lang w:val="en-CA"/>
        </w:rPr>
        <w:endnoteReference w:id="5"/>
      </w:r>
      <w:r w:rsidR="00A226E9" w:rsidRPr="002A198E">
        <w:rPr>
          <w:lang w:val="en-CA"/>
        </w:rPr>
        <w:t xml:space="preserve"> Canada’s </w:t>
      </w:r>
      <w:r w:rsidR="003E5A3F">
        <w:rPr>
          <w:lang w:val="en-CA"/>
        </w:rPr>
        <w:t xml:space="preserve">strongest </w:t>
      </w:r>
      <w:r w:rsidR="00A226E9" w:rsidRPr="002A198E">
        <w:rPr>
          <w:lang w:val="en-CA"/>
        </w:rPr>
        <w:t>disability equality</w:t>
      </w:r>
      <w:r w:rsidR="00107E0F">
        <w:rPr>
          <w:lang w:val="en-CA"/>
        </w:rPr>
        <w:t>/</w:t>
      </w:r>
      <w:r w:rsidR="00A226E9" w:rsidRPr="002A198E">
        <w:rPr>
          <w:lang w:val="en-CA"/>
        </w:rPr>
        <w:t>accessibility</w:t>
      </w:r>
      <w:r w:rsidR="00A226E9">
        <w:rPr>
          <w:lang w:val="en-CA"/>
        </w:rPr>
        <w:t xml:space="preserve"> ruling</w:t>
      </w:r>
      <w:r w:rsidR="003E5A3F">
        <w:rPr>
          <w:lang w:val="en-CA"/>
        </w:rPr>
        <w:t>,</w:t>
      </w:r>
      <w:r w:rsidR="00A226E9" w:rsidRPr="002A198E">
        <w:rPr>
          <w:lang w:val="en-CA"/>
        </w:rPr>
        <w:t xml:space="preserve"> </w:t>
      </w:r>
      <w:r w:rsidR="00A226E9">
        <w:rPr>
          <w:lang w:val="en-CA"/>
        </w:rPr>
        <w:t xml:space="preserve">built on the Court's earlier recognition </w:t>
      </w:r>
      <w:r w:rsidR="00A226E9" w:rsidRPr="002A198E">
        <w:rPr>
          <w:lang w:val="en-CA"/>
        </w:rPr>
        <w:t>that a core feature of the constitutional right to disability equality is the duty to accommodate disability needs.</w:t>
      </w:r>
      <w:r w:rsidR="00A226E9">
        <w:rPr>
          <w:rStyle w:val="EndnoteReference"/>
          <w:lang w:val="en-CA"/>
        </w:rPr>
        <w:endnoteReference w:id="6"/>
      </w:r>
      <w:r w:rsidR="003E5A3F">
        <w:rPr>
          <w:lang w:val="en-CA"/>
        </w:rPr>
        <w:t xml:space="preserve"> </w:t>
      </w:r>
      <w:r w:rsidR="009F388D">
        <w:rPr>
          <w:i/>
          <w:lang w:val="en-CA"/>
        </w:rPr>
        <w:t>Eldridge</w:t>
      </w:r>
      <w:r w:rsidR="003E5A3F">
        <w:rPr>
          <w:lang w:val="en-CA"/>
        </w:rPr>
        <w:t xml:space="preserve"> </w:t>
      </w:r>
      <w:r w:rsidR="00A226E9" w:rsidRPr="002A198E">
        <w:rPr>
          <w:lang w:val="en-CA"/>
        </w:rPr>
        <w:t xml:space="preserve">holds that equality for people with disabilities is denied where there is “a failure to ensure that they </w:t>
      </w:r>
      <w:r w:rsidR="003E5A3F">
        <w:rPr>
          <w:lang w:val="en-CA"/>
        </w:rPr>
        <w:t xml:space="preserve">equally </w:t>
      </w:r>
      <w:r w:rsidR="00A226E9" w:rsidRPr="002A198E">
        <w:rPr>
          <w:lang w:val="en-CA"/>
        </w:rPr>
        <w:t>benefit from a service offered to everyone.</w:t>
      </w:r>
      <w:r w:rsidR="000B0E4D">
        <w:rPr>
          <w:lang w:val="en-CA"/>
        </w:rPr>
        <w:t>” It hol</w:t>
      </w:r>
      <w:r w:rsidR="00A226E9" w:rsidRPr="002A198E">
        <w:rPr>
          <w:lang w:val="en-CA"/>
        </w:rPr>
        <w:t>d</w:t>
      </w:r>
      <w:r w:rsidR="000B0E4D">
        <w:rPr>
          <w:lang w:val="en-CA"/>
        </w:rPr>
        <w:t>s</w:t>
      </w:r>
      <w:r w:rsidR="00A226E9" w:rsidRPr="002A198E">
        <w:rPr>
          <w:lang w:val="en-CA"/>
        </w:rPr>
        <w:t xml:space="preserve"> that it would be “a thin and impoverished vision of s. 15(1)” to approach equality as if “governments should be entitled to provide benefits to the general population without ensuring that disadvantaged members of society have the resources to take full advantage of those benefits.”</w:t>
      </w:r>
      <w:r w:rsidR="00A226E9">
        <w:rPr>
          <w:rStyle w:val="EndnoteReference"/>
          <w:lang w:val="en-CA"/>
        </w:rPr>
        <w:endnoteReference w:id="7"/>
      </w:r>
      <w:r w:rsidR="00A226E9" w:rsidRPr="002A198E">
        <w:rPr>
          <w:lang w:val="en-CA"/>
        </w:rPr>
        <w:t xml:space="preserve"> </w:t>
      </w:r>
    </w:p>
    <w:p w14:paraId="38E0DD59" w14:textId="77777777" w:rsidR="00A226E9" w:rsidRPr="002A198E" w:rsidRDefault="00A226E9" w:rsidP="002A198E">
      <w:pPr>
        <w:widowControl w:val="0"/>
        <w:rPr>
          <w:lang w:val="en-CA"/>
        </w:rPr>
      </w:pPr>
    </w:p>
    <w:p w14:paraId="259868B0" w14:textId="2458D502" w:rsidR="00A226E9" w:rsidRPr="002A198E" w:rsidRDefault="00A226E9" w:rsidP="002A198E">
      <w:pPr>
        <w:widowControl w:val="0"/>
        <w:rPr>
          <w:lang w:val="en-CA"/>
        </w:rPr>
      </w:pPr>
      <w:r w:rsidRPr="002A198E">
        <w:rPr>
          <w:lang w:val="en-CA"/>
        </w:rPr>
        <w:t xml:space="preserve">Yet almost two decades later, there has been no comprehensive initiative to implement </w:t>
      </w:r>
      <w:r w:rsidRPr="00AE6517">
        <w:rPr>
          <w:i/>
          <w:lang w:val="en-CA"/>
        </w:rPr>
        <w:t>Eldridge</w:t>
      </w:r>
      <w:r w:rsidRPr="002A198E">
        <w:rPr>
          <w:lang w:val="en-CA"/>
        </w:rPr>
        <w:t xml:space="preserve"> across </w:t>
      </w:r>
      <w:r>
        <w:rPr>
          <w:lang w:val="en-CA"/>
        </w:rPr>
        <w:t>Canada</w:t>
      </w:r>
      <w:r w:rsidRPr="002A198E">
        <w:rPr>
          <w:lang w:val="en-CA"/>
        </w:rPr>
        <w:t xml:space="preserve">. This is despite strong </w:t>
      </w:r>
      <w:r>
        <w:rPr>
          <w:lang w:val="en-CA"/>
        </w:rPr>
        <w:t xml:space="preserve">duties </w:t>
      </w:r>
      <w:r w:rsidRPr="002A198E">
        <w:rPr>
          <w:lang w:val="en-CA"/>
        </w:rPr>
        <w:t xml:space="preserve">to </w:t>
      </w:r>
      <w:r>
        <w:rPr>
          <w:lang w:val="en-CA"/>
        </w:rPr>
        <w:t xml:space="preserve">take such concerted action </w:t>
      </w:r>
      <w:r w:rsidRPr="002A198E">
        <w:rPr>
          <w:lang w:val="en-CA"/>
        </w:rPr>
        <w:t xml:space="preserve">in the </w:t>
      </w:r>
      <w:r>
        <w:rPr>
          <w:lang w:val="en-CA"/>
        </w:rPr>
        <w:t>United Nation’s</w:t>
      </w:r>
      <w:r w:rsidRPr="002A198E">
        <w:rPr>
          <w:lang w:val="en-CA"/>
        </w:rPr>
        <w:t xml:space="preserve"> </w:t>
      </w:r>
      <w:r w:rsidRPr="000B0E4D">
        <w:rPr>
          <w:i/>
          <w:lang w:val="en-CA"/>
        </w:rPr>
        <w:lastRenderedPageBreak/>
        <w:t>Convention on the Rights of People with Disabilities</w:t>
      </w:r>
      <w:r w:rsidRPr="002A198E">
        <w:rPr>
          <w:lang w:val="en-CA"/>
        </w:rPr>
        <w:t xml:space="preserve"> (CRPD)</w:t>
      </w:r>
      <w:r>
        <w:rPr>
          <w:lang w:val="en-CA"/>
        </w:rPr>
        <w:t>,</w:t>
      </w:r>
      <w:r>
        <w:rPr>
          <w:rStyle w:val="EndnoteReference"/>
          <w:lang w:val="en-CA"/>
        </w:rPr>
        <w:endnoteReference w:id="8"/>
      </w:r>
      <w:r w:rsidRPr="002A198E">
        <w:rPr>
          <w:lang w:val="en-CA"/>
        </w:rPr>
        <w:t xml:space="preserve"> which Canada </w:t>
      </w:r>
      <w:r>
        <w:rPr>
          <w:lang w:val="en-CA"/>
        </w:rPr>
        <w:t>ratified</w:t>
      </w:r>
      <w:r w:rsidR="00BA2078">
        <w:rPr>
          <w:lang w:val="en-CA"/>
        </w:rPr>
        <w:t xml:space="preserve"> on March 11, 2010</w:t>
      </w:r>
      <w:r w:rsidRPr="002A198E">
        <w:rPr>
          <w:lang w:val="en-CA"/>
        </w:rPr>
        <w:t xml:space="preserve">. </w:t>
      </w:r>
    </w:p>
    <w:p w14:paraId="62F4FB1B" w14:textId="77777777" w:rsidR="00A226E9" w:rsidRPr="002A198E" w:rsidRDefault="00A226E9" w:rsidP="002A198E">
      <w:pPr>
        <w:widowControl w:val="0"/>
        <w:rPr>
          <w:lang w:val="en-CA"/>
        </w:rPr>
      </w:pPr>
    </w:p>
    <w:p w14:paraId="6B522C79" w14:textId="42C05BCC" w:rsidR="00A226E9" w:rsidRDefault="002509FA" w:rsidP="002A198E">
      <w:pPr>
        <w:widowControl w:val="0"/>
        <w:rPr>
          <w:lang w:val="en-CA"/>
        </w:rPr>
      </w:pPr>
      <w:r>
        <w:rPr>
          <w:lang w:val="en-CA"/>
        </w:rPr>
        <w:t>Who would suffer years in human rights o</w:t>
      </w:r>
      <w:r w:rsidR="000B0E4D">
        <w:rPr>
          <w:lang w:val="en-CA"/>
        </w:rPr>
        <w:t xml:space="preserve">r </w:t>
      </w:r>
      <w:r w:rsidR="000B0E4D" w:rsidRPr="000B0E4D">
        <w:rPr>
          <w:i/>
          <w:lang w:val="en-CA"/>
        </w:rPr>
        <w:t>C</w:t>
      </w:r>
      <w:r w:rsidRPr="000B0E4D">
        <w:rPr>
          <w:i/>
          <w:lang w:val="en-CA"/>
        </w:rPr>
        <w:t>harter</w:t>
      </w:r>
      <w:r>
        <w:rPr>
          <w:lang w:val="en-CA"/>
        </w:rPr>
        <w:t xml:space="preserve"> litigation to contest discriminatory accessibility barriers in air travel</w:t>
      </w:r>
      <w:r w:rsidR="00FD1441">
        <w:rPr>
          <w:lang w:val="en-CA"/>
        </w:rPr>
        <w:t xml:space="preserve">, banking </w:t>
      </w:r>
      <w:r>
        <w:rPr>
          <w:lang w:val="en-CA"/>
        </w:rPr>
        <w:t xml:space="preserve"> or cable TV </w:t>
      </w:r>
      <w:r w:rsidR="00340758">
        <w:rPr>
          <w:lang w:val="en-CA"/>
        </w:rPr>
        <w:t>services? In</w:t>
      </w:r>
      <w:r w:rsidR="00A226E9">
        <w:rPr>
          <w:lang w:val="en-CA"/>
        </w:rPr>
        <w:t xml:space="preserve"> the federal sphere, p</w:t>
      </w:r>
      <w:r w:rsidR="00A226E9" w:rsidRPr="002A198E">
        <w:rPr>
          <w:lang w:val="en-CA"/>
        </w:rPr>
        <w:t xml:space="preserve">eople with disabilities must battle one accessibility barrier at a time, one organization at a </w:t>
      </w:r>
      <w:r w:rsidR="00340758" w:rsidRPr="002A198E">
        <w:rPr>
          <w:lang w:val="en-CA"/>
        </w:rPr>
        <w:t>time.</w:t>
      </w:r>
      <w:r w:rsidR="00340758">
        <w:rPr>
          <w:lang w:val="en-CA"/>
        </w:rPr>
        <w:t xml:space="preserve"> </w:t>
      </w:r>
      <w:r w:rsidR="00340758" w:rsidRPr="002A198E">
        <w:rPr>
          <w:lang w:val="en-CA"/>
        </w:rPr>
        <w:t>They</w:t>
      </w:r>
      <w:r w:rsidR="00A226E9" w:rsidRPr="002A198E">
        <w:rPr>
          <w:lang w:val="en-CA"/>
        </w:rPr>
        <w:t xml:space="preserve"> </w:t>
      </w:r>
      <w:r>
        <w:rPr>
          <w:lang w:val="en-CA"/>
        </w:rPr>
        <w:t xml:space="preserve">can </w:t>
      </w:r>
      <w:r w:rsidR="003E5A3F">
        <w:rPr>
          <w:lang w:val="en-CA"/>
        </w:rPr>
        <w:t xml:space="preserve">be </w:t>
      </w:r>
      <w:r w:rsidR="00A226E9" w:rsidRPr="002A198E">
        <w:rPr>
          <w:lang w:val="en-CA"/>
        </w:rPr>
        <w:t xml:space="preserve">shuffled from one federal agency to another. Jurisdiction is splintered among isolated silos. </w:t>
      </w:r>
    </w:p>
    <w:p w14:paraId="4A810CDA" w14:textId="77777777" w:rsidR="00A226E9" w:rsidRDefault="00A226E9" w:rsidP="002A198E">
      <w:pPr>
        <w:widowControl w:val="0"/>
        <w:rPr>
          <w:lang w:val="en-CA"/>
        </w:rPr>
      </w:pPr>
    </w:p>
    <w:p w14:paraId="53D6DA71" w14:textId="77777777" w:rsidR="00992A6E" w:rsidRDefault="00992A6E" w:rsidP="002A198E">
      <w:pPr>
        <w:widowControl w:val="0"/>
        <w:rPr>
          <w:lang w:val="en-CA"/>
        </w:rPr>
      </w:pPr>
      <w:r>
        <w:rPr>
          <w:lang w:val="en-CA"/>
        </w:rPr>
        <w:t>The Federal Government recognize</w:t>
      </w:r>
      <w:r w:rsidR="003E5A3F">
        <w:rPr>
          <w:lang w:val="en-CA"/>
        </w:rPr>
        <w:t>s</w:t>
      </w:r>
      <w:r>
        <w:rPr>
          <w:lang w:val="en-CA"/>
        </w:rPr>
        <w:t xml:space="preserve"> this problem. </w:t>
      </w:r>
    </w:p>
    <w:p w14:paraId="7486F352" w14:textId="77777777" w:rsidR="00992A6E" w:rsidRDefault="00992A6E" w:rsidP="002A198E">
      <w:pPr>
        <w:widowControl w:val="0"/>
        <w:rPr>
          <w:lang w:val="en-CA"/>
        </w:rPr>
      </w:pPr>
    </w:p>
    <w:p w14:paraId="78317B8F" w14:textId="119770A8" w:rsidR="00992A6E" w:rsidRDefault="000B0E4D" w:rsidP="00992A6E">
      <w:pPr>
        <w:widowControl w:val="0"/>
        <w:ind w:left="720" w:right="720"/>
        <w:rPr>
          <w:lang w:val="en-CA"/>
        </w:rPr>
      </w:pPr>
      <w:r>
        <w:rPr>
          <w:lang w:val="en-CA"/>
        </w:rPr>
        <w:t>"</w:t>
      </w:r>
      <w:r w:rsidR="00992A6E" w:rsidRPr="00992A6E">
        <w:rPr>
          <w:lang w:val="en-CA"/>
        </w:rPr>
        <w:t>In general, Canada’s current legal approach to disability is focused on protecting the human rights of Canadians with disabilities and relies on individual complaints to address what can be larger, systemic issues. In our system, the onus is usually on the person who has experienced discrimination to then seek recourse. This process can be challenging for individuals and has been slow to address ongoing inequalities and lack of accessibility."</w:t>
      </w:r>
      <w:r w:rsidR="009E7389">
        <w:rPr>
          <w:rStyle w:val="EndnoteReference"/>
          <w:lang w:val="en-CA"/>
        </w:rPr>
        <w:endnoteReference w:id="9"/>
      </w:r>
      <w:r w:rsidR="00992A6E" w:rsidRPr="00992A6E">
        <w:rPr>
          <w:lang w:val="en-CA"/>
        </w:rPr>
        <w:t xml:space="preserve"> </w:t>
      </w:r>
    </w:p>
    <w:p w14:paraId="1D5E1703" w14:textId="77777777" w:rsidR="00992A6E" w:rsidRDefault="00992A6E" w:rsidP="002A198E">
      <w:pPr>
        <w:widowControl w:val="0"/>
        <w:rPr>
          <w:lang w:val="en-CA"/>
        </w:rPr>
      </w:pPr>
    </w:p>
    <w:p w14:paraId="3DA57D85" w14:textId="11BE31C2" w:rsidR="00A226E9" w:rsidRPr="002A198E" w:rsidRDefault="00A226E9" w:rsidP="002A198E">
      <w:pPr>
        <w:widowControl w:val="0"/>
        <w:rPr>
          <w:lang w:val="en-CA"/>
        </w:rPr>
      </w:pPr>
      <w:r w:rsidRPr="002A198E">
        <w:rPr>
          <w:lang w:val="en-CA"/>
        </w:rPr>
        <w:t xml:space="preserve">Federally regulated organizations know they need fear </w:t>
      </w:r>
      <w:r>
        <w:rPr>
          <w:lang w:val="en-CA"/>
        </w:rPr>
        <w:t xml:space="preserve">few </w:t>
      </w:r>
      <w:r w:rsidRPr="002A198E">
        <w:rPr>
          <w:lang w:val="en-CA"/>
        </w:rPr>
        <w:t xml:space="preserve">if any consequences for abdicating their </w:t>
      </w:r>
      <w:r w:rsidRPr="00AE6517">
        <w:rPr>
          <w:i/>
          <w:lang w:val="en-CA"/>
        </w:rPr>
        <w:t>Eldridge</w:t>
      </w:r>
      <w:r w:rsidRPr="002A198E">
        <w:rPr>
          <w:lang w:val="en-CA"/>
        </w:rPr>
        <w:t xml:space="preserve"> duties. </w:t>
      </w:r>
      <w:r w:rsidR="00A4523E">
        <w:rPr>
          <w:lang w:val="en-CA"/>
        </w:rPr>
        <w:t xml:space="preserve">The </w:t>
      </w:r>
      <w:r w:rsidRPr="00AE6517">
        <w:rPr>
          <w:i/>
          <w:lang w:val="en-CA"/>
        </w:rPr>
        <w:t>Charter</w:t>
      </w:r>
      <w:r w:rsidRPr="002A198E">
        <w:rPr>
          <w:lang w:val="en-CA"/>
        </w:rPr>
        <w:t xml:space="preserve"> Challenges Program</w:t>
      </w:r>
      <w:r w:rsidR="00A4523E">
        <w:rPr>
          <w:lang w:val="en-CA"/>
        </w:rPr>
        <w:t xml:space="preserve">'s elimination made this worse. </w:t>
      </w:r>
      <w:r w:rsidRPr="002A198E">
        <w:rPr>
          <w:lang w:val="en-CA"/>
        </w:rPr>
        <w:t>Its restoration</w:t>
      </w:r>
      <w:r w:rsidR="00165B8C">
        <w:rPr>
          <w:lang w:val="en-CA"/>
        </w:rPr>
        <w:t>,</w:t>
      </w:r>
      <w:r w:rsidRPr="002A198E">
        <w:rPr>
          <w:lang w:val="en-CA"/>
        </w:rPr>
        <w:t xml:space="preserve"> </w:t>
      </w:r>
      <w:r w:rsidR="00165B8C">
        <w:rPr>
          <w:lang w:val="en-CA"/>
        </w:rPr>
        <w:t xml:space="preserve">while </w:t>
      </w:r>
      <w:r w:rsidRPr="002A198E">
        <w:rPr>
          <w:lang w:val="en-CA"/>
        </w:rPr>
        <w:t xml:space="preserve">positive, alone, </w:t>
      </w:r>
      <w:r w:rsidR="00931E8E">
        <w:rPr>
          <w:lang w:val="en-CA"/>
        </w:rPr>
        <w:t xml:space="preserve">wouldn't </w:t>
      </w:r>
      <w:r w:rsidRPr="002A198E">
        <w:rPr>
          <w:lang w:val="en-CA"/>
        </w:rPr>
        <w:t xml:space="preserve">solve the problem. </w:t>
      </w:r>
    </w:p>
    <w:p w14:paraId="10CD3056" w14:textId="77777777" w:rsidR="00A226E9" w:rsidRPr="002A198E" w:rsidRDefault="00A226E9" w:rsidP="002A198E">
      <w:pPr>
        <w:widowControl w:val="0"/>
        <w:rPr>
          <w:lang w:val="en-CA"/>
        </w:rPr>
      </w:pPr>
    </w:p>
    <w:p w14:paraId="2AC3FEA1" w14:textId="4455016D" w:rsidR="00C96844" w:rsidRDefault="00A226E9" w:rsidP="002A198E">
      <w:pPr>
        <w:widowControl w:val="0"/>
        <w:rPr>
          <w:lang w:val="en-CA"/>
        </w:rPr>
      </w:pPr>
      <w:r w:rsidRPr="002A198E">
        <w:rPr>
          <w:lang w:val="en-CA"/>
        </w:rPr>
        <w:t>A strong, effective</w:t>
      </w:r>
      <w:r w:rsidR="00C96844">
        <w:rPr>
          <w:lang w:val="en-CA"/>
        </w:rPr>
        <w:t>ly enforced</w:t>
      </w:r>
      <w:r w:rsidRPr="002A198E">
        <w:rPr>
          <w:lang w:val="en-CA"/>
        </w:rPr>
        <w:t xml:space="preserve"> Canadians with Disabilities Act</w:t>
      </w:r>
      <w:r>
        <w:rPr>
          <w:lang w:val="en-CA"/>
        </w:rPr>
        <w:t xml:space="preserve"> (CDA)</w:t>
      </w:r>
      <w:r w:rsidRPr="002A198E">
        <w:rPr>
          <w:lang w:val="en-CA"/>
        </w:rPr>
        <w:t xml:space="preserve"> is needed to ensure that Canada becomes fully accessible to people with disabilities, insofar as the Federal Government can achieve this. In the 2014 election, Prime Minister Justin Trudeau </w:t>
      </w:r>
      <w:r w:rsidR="00C96844">
        <w:rPr>
          <w:lang w:val="en-CA"/>
        </w:rPr>
        <w:t xml:space="preserve">commendably </w:t>
      </w:r>
      <w:r w:rsidRPr="002A198E">
        <w:rPr>
          <w:lang w:val="en-CA"/>
        </w:rPr>
        <w:t xml:space="preserve">promised to enact the </w:t>
      </w:r>
      <w:r w:rsidR="000B0E4D">
        <w:rPr>
          <w:lang w:val="en-CA"/>
        </w:rPr>
        <w:t>CDA</w:t>
      </w:r>
      <w:r w:rsidRPr="002A198E">
        <w:rPr>
          <w:lang w:val="en-CA"/>
        </w:rPr>
        <w:t>, as did the New Democratic and Green Parties.</w:t>
      </w:r>
      <w:r>
        <w:rPr>
          <w:lang w:val="en-CA"/>
        </w:rPr>
        <w:t xml:space="preserve"> </w:t>
      </w:r>
    </w:p>
    <w:p w14:paraId="3C0C207C" w14:textId="77777777" w:rsidR="00C96844" w:rsidRDefault="00C96844" w:rsidP="002A198E">
      <w:pPr>
        <w:widowControl w:val="0"/>
        <w:rPr>
          <w:lang w:val="en-CA"/>
        </w:rPr>
      </w:pPr>
    </w:p>
    <w:p w14:paraId="3846FF27" w14:textId="70401755" w:rsidR="00A226E9" w:rsidRDefault="00A226E9" w:rsidP="002A198E">
      <w:pPr>
        <w:widowControl w:val="0"/>
        <w:rPr>
          <w:lang w:val="en-CA"/>
        </w:rPr>
      </w:pPr>
      <w:r w:rsidRPr="002A198E">
        <w:rPr>
          <w:lang w:val="en-CA"/>
        </w:rPr>
        <w:t xml:space="preserve">This Discussion Paper explores core ingredients </w:t>
      </w:r>
      <w:r>
        <w:rPr>
          <w:lang w:val="en-CA"/>
        </w:rPr>
        <w:t xml:space="preserve">that </w:t>
      </w:r>
      <w:r w:rsidRPr="002A198E">
        <w:rPr>
          <w:lang w:val="en-CA"/>
        </w:rPr>
        <w:t xml:space="preserve">a strong, effective </w:t>
      </w:r>
      <w:r>
        <w:rPr>
          <w:lang w:val="en-CA"/>
        </w:rPr>
        <w:t xml:space="preserve">CDA </w:t>
      </w:r>
      <w:r w:rsidR="001824CD">
        <w:rPr>
          <w:lang w:val="en-CA"/>
        </w:rPr>
        <w:t>sh</w:t>
      </w:r>
      <w:r>
        <w:rPr>
          <w:lang w:val="en-CA"/>
        </w:rPr>
        <w:t>ould include</w:t>
      </w:r>
      <w:r w:rsidRPr="002A198E">
        <w:rPr>
          <w:lang w:val="en-CA"/>
        </w:rPr>
        <w:t xml:space="preserve">. </w:t>
      </w:r>
      <w:r>
        <w:rPr>
          <w:lang w:val="en-CA"/>
        </w:rPr>
        <w:t xml:space="preserve">It </w:t>
      </w:r>
      <w:r w:rsidR="00C96844">
        <w:rPr>
          <w:lang w:val="en-CA"/>
        </w:rPr>
        <w:t xml:space="preserve">draws </w:t>
      </w:r>
      <w:r w:rsidRPr="002A198E">
        <w:rPr>
          <w:lang w:val="en-CA"/>
        </w:rPr>
        <w:t xml:space="preserve">on experience with the </w:t>
      </w:r>
      <w:r w:rsidRPr="009F388D">
        <w:rPr>
          <w:i/>
          <w:lang w:val="en-CA"/>
        </w:rPr>
        <w:t>Charter’s</w:t>
      </w:r>
      <w:r w:rsidRPr="002A198E">
        <w:rPr>
          <w:lang w:val="en-CA"/>
        </w:rPr>
        <w:t xml:space="preserve"> disability equality guarantee, with provincial accessibility legislation</w:t>
      </w:r>
      <w:r>
        <w:rPr>
          <w:lang w:val="en-CA"/>
        </w:rPr>
        <w:t xml:space="preserve"> in Ontario</w:t>
      </w:r>
      <w:r>
        <w:rPr>
          <w:rStyle w:val="EndnoteReference"/>
          <w:lang w:val="en-CA"/>
        </w:rPr>
        <w:endnoteReference w:id="10"/>
      </w:r>
      <w:r>
        <w:rPr>
          <w:lang w:val="en-CA"/>
        </w:rPr>
        <w:t xml:space="preserve"> and Manitoba</w:t>
      </w:r>
      <w:r w:rsidRPr="002A198E">
        <w:rPr>
          <w:lang w:val="en-CA"/>
        </w:rPr>
        <w:t>,</w:t>
      </w:r>
      <w:r>
        <w:rPr>
          <w:rStyle w:val="EndnoteReference"/>
          <w:lang w:val="en-CA"/>
        </w:rPr>
        <w:endnoteReference w:id="11"/>
      </w:r>
      <w:r w:rsidRPr="002A198E">
        <w:rPr>
          <w:lang w:val="en-CA"/>
        </w:rPr>
        <w:t xml:space="preserve"> and with human rights laws across Canada. </w:t>
      </w:r>
    </w:p>
    <w:p w14:paraId="16B7474C" w14:textId="77777777" w:rsidR="00A226E9" w:rsidRDefault="00A226E9" w:rsidP="002A198E">
      <w:pPr>
        <w:widowControl w:val="0"/>
        <w:rPr>
          <w:lang w:val="en-CA"/>
        </w:rPr>
      </w:pPr>
    </w:p>
    <w:p w14:paraId="1036F711" w14:textId="07BA9BBA" w:rsidR="00A226E9" w:rsidRPr="002A198E" w:rsidRDefault="00A226E9" w:rsidP="002A198E">
      <w:pPr>
        <w:widowControl w:val="0"/>
        <w:rPr>
          <w:lang w:val="en-CA"/>
        </w:rPr>
      </w:pPr>
      <w:r>
        <w:rPr>
          <w:lang w:val="en-CA"/>
        </w:rPr>
        <w:t xml:space="preserve">This Discussion Paper builds </w:t>
      </w:r>
      <w:r w:rsidR="00A1399C">
        <w:rPr>
          <w:lang w:val="en-CA"/>
        </w:rPr>
        <w:t xml:space="preserve">and </w:t>
      </w:r>
      <w:r w:rsidRPr="002A198E">
        <w:rPr>
          <w:lang w:val="en-CA"/>
        </w:rPr>
        <w:t xml:space="preserve">expands upon 14 Principles for the </w:t>
      </w:r>
      <w:r>
        <w:rPr>
          <w:lang w:val="en-CA"/>
        </w:rPr>
        <w:t>CDA</w:t>
      </w:r>
      <w:r>
        <w:rPr>
          <w:rStyle w:val="EndnoteReference"/>
          <w:lang w:val="en-CA"/>
        </w:rPr>
        <w:endnoteReference w:id="12"/>
      </w:r>
      <w:r>
        <w:rPr>
          <w:lang w:val="en-CA"/>
        </w:rPr>
        <w:t xml:space="preserve"> enunciated by </w:t>
      </w:r>
      <w:r w:rsidRPr="002A198E">
        <w:rPr>
          <w:lang w:val="en-CA"/>
        </w:rPr>
        <w:t>Barrier-Free Canada</w:t>
      </w:r>
      <w:r>
        <w:rPr>
          <w:lang w:val="en-CA"/>
        </w:rPr>
        <w:t xml:space="preserve">, a non-partisan non-profit coalition that formed to advocate for </w:t>
      </w:r>
      <w:r w:rsidR="00A1399C">
        <w:rPr>
          <w:lang w:val="en-CA"/>
        </w:rPr>
        <w:t xml:space="preserve">the CDA's </w:t>
      </w:r>
      <w:r>
        <w:rPr>
          <w:lang w:val="en-CA"/>
        </w:rPr>
        <w:t>enactment.</w:t>
      </w:r>
      <w:r>
        <w:rPr>
          <w:rStyle w:val="EndnoteReference"/>
          <w:lang w:val="en-CA"/>
        </w:rPr>
        <w:endnoteReference w:id="13"/>
      </w:r>
      <w:r w:rsidRPr="002A198E">
        <w:rPr>
          <w:lang w:val="en-CA"/>
        </w:rPr>
        <w:t xml:space="preserve"> These in turn </w:t>
      </w:r>
      <w:r>
        <w:rPr>
          <w:lang w:val="en-CA"/>
        </w:rPr>
        <w:t xml:space="preserve">drew </w:t>
      </w:r>
      <w:r w:rsidRPr="002A198E">
        <w:rPr>
          <w:lang w:val="en-CA"/>
        </w:rPr>
        <w:t xml:space="preserve">on principles </w:t>
      </w:r>
      <w:r w:rsidR="00240D88">
        <w:rPr>
          <w:lang w:val="en-CA"/>
        </w:rPr>
        <w:t xml:space="preserve">underpinning </w:t>
      </w:r>
      <w:r w:rsidRPr="002A198E">
        <w:rPr>
          <w:lang w:val="en-CA"/>
        </w:rPr>
        <w:t xml:space="preserve">the </w:t>
      </w:r>
      <w:r w:rsidRPr="009F388D">
        <w:rPr>
          <w:i/>
          <w:lang w:val="en-CA"/>
        </w:rPr>
        <w:t>Accessibility for Ontarians with Disabilities Act 2005</w:t>
      </w:r>
      <w:r w:rsidR="00240D88">
        <w:rPr>
          <w:lang w:val="en-CA"/>
        </w:rPr>
        <w:t xml:space="preserve"> (AODA)</w:t>
      </w:r>
      <w:r>
        <w:rPr>
          <w:lang w:val="en-CA"/>
        </w:rPr>
        <w:t xml:space="preserve"> </w:t>
      </w:r>
      <w:r w:rsidRPr="002A198E">
        <w:rPr>
          <w:lang w:val="en-CA"/>
        </w:rPr>
        <w:t xml:space="preserve">and the </w:t>
      </w:r>
      <w:r w:rsidRPr="009F388D">
        <w:rPr>
          <w:i/>
          <w:lang w:val="en-CA"/>
        </w:rPr>
        <w:t>Accessibility for Manitobans Act 2013</w:t>
      </w:r>
      <w:r w:rsidRPr="002A198E">
        <w:rPr>
          <w:lang w:val="en-CA"/>
        </w:rPr>
        <w:t>.</w:t>
      </w:r>
      <w:r w:rsidR="00240D88">
        <w:rPr>
          <w:lang w:val="en-CA"/>
        </w:rPr>
        <w:t xml:space="preserve"> </w:t>
      </w:r>
      <w:r>
        <w:rPr>
          <w:lang w:val="en-CA"/>
        </w:rPr>
        <w:t>In summary</w:t>
      </w:r>
      <w:r w:rsidR="00A1399C">
        <w:rPr>
          <w:lang w:val="en-CA"/>
        </w:rPr>
        <w:t>:</w:t>
      </w:r>
      <w:r w:rsidRPr="002A198E">
        <w:rPr>
          <w:lang w:val="en-CA"/>
        </w:rPr>
        <w:t xml:space="preserve"> </w:t>
      </w:r>
    </w:p>
    <w:p w14:paraId="27B11374" w14:textId="77777777" w:rsidR="00A226E9" w:rsidRDefault="00A226E9" w:rsidP="002A198E">
      <w:pPr>
        <w:widowControl w:val="0"/>
        <w:rPr>
          <w:lang w:val="en-CA"/>
        </w:rPr>
      </w:pPr>
    </w:p>
    <w:p w14:paraId="4F441F88" w14:textId="7B40639D" w:rsidR="00A226E9" w:rsidRPr="002A198E" w:rsidRDefault="00A226E9" w:rsidP="002A198E">
      <w:pPr>
        <w:widowControl w:val="0"/>
        <w:rPr>
          <w:lang w:val="en-CA"/>
        </w:rPr>
      </w:pPr>
      <w:r w:rsidRPr="002A198E">
        <w:rPr>
          <w:lang w:val="en-CA"/>
        </w:rPr>
        <w:t xml:space="preserve">a) The </w:t>
      </w:r>
      <w:r w:rsidR="007F5676">
        <w:rPr>
          <w:lang w:val="en-CA"/>
        </w:rPr>
        <w:t xml:space="preserve">CDA's </w:t>
      </w:r>
      <w:r w:rsidRPr="002A198E">
        <w:rPr>
          <w:lang w:val="en-CA"/>
        </w:rPr>
        <w:t xml:space="preserve">purpose should be to ensure that, as far as Parliament can </w:t>
      </w:r>
      <w:r>
        <w:rPr>
          <w:lang w:val="en-CA"/>
        </w:rPr>
        <w:t xml:space="preserve">promote </w:t>
      </w:r>
      <w:r w:rsidRPr="002A198E">
        <w:rPr>
          <w:lang w:val="en-CA"/>
        </w:rPr>
        <w:t xml:space="preserve">this, the Federal Government </w:t>
      </w:r>
      <w:r w:rsidR="000B0E4D">
        <w:rPr>
          <w:lang w:val="en-CA"/>
        </w:rPr>
        <w:t>will</w:t>
      </w:r>
      <w:r w:rsidRPr="002A198E">
        <w:rPr>
          <w:lang w:val="en-CA"/>
        </w:rPr>
        <w:t xml:space="preserve"> lead Canada to become fully accessible to people with disabilities by a deadline </w:t>
      </w:r>
      <w:r w:rsidR="00C95620">
        <w:rPr>
          <w:lang w:val="en-CA"/>
        </w:rPr>
        <w:t xml:space="preserve">that </w:t>
      </w:r>
      <w:r w:rsidRPr="002A198E">
        <w:rPr>
          <w:lang w:val="en-CA"/>
        </w:rPr>
        <w:t>the law set</w:t>
      </w:r>
      <w:r>
        <w:rPr>
          <w:lang w:val="en-CA"/>
        </w:rPr>
        <w:t>s</w:t>
      </w:r>
      <w:r w:rsidRPr="002A198E">
        <w:rPr>
          <w:lang w:val="en-CA"/>
        </w:rPr>
        <w:t xml:space="preserve">. It should effectively implement </w:t>
      </w:r>
      <w:r w:rsidR="00240D88">
        <w:rPr>
          <w:lang w:val="en-CA"/>
        </w:rPr>
        <w:t xml:space="preserve">disability </w:t>
      </w:r>
      <w:r w:rsidRPr="002A198E">
        <w:rPr>
          <w:lang w:val="en-CA"/>
        </w:rPr>
        <w:t xml:space="preserve">equality rights </w:t>
      </w:r>
      <w:r w:rsidR="00240D88">
        <w:rPr>
          <w:lang w:val="en-CA"/>
        </w:rPr>
        <w:t xml:space="preserve">in </w:t>
      </w:r>
      <w:r w:rsidRPr="002A198E">
        <w:rPr>
          <w:lang w:val="en-CA"/>
        </w:rPr>
        <w:t xml:space="preserve">the </w:t>
      </w:r>
      <w:r w:rsidRPr="000B0E4D">
        <w:rPr>
          <w:i/>
          <w:lang w:val="en-CA"/>
        </w:rPr>
        <w:t>Charter of Rights</w:t>
      </w:r>
      <w:r>
        <w:rPr>
          <w:lang w:val="en-CA"/>
        </w:rPr>
        <w:t>,</w:t>
      </w:r>
      <w:r w:rsidRPr="002A198E">
        <w:rPr>
          <w:lang w:val="en-CA"/>
        </w:rPr>
        <w:t xml:space="preserve"> the </w:t>
      </w:r>
      <w:r w:rsidRPr="000B0E4D">
        <w:rPr>
          <w:i/>
          <w:lang w:val="en-CA"/>
        </w:rPr>
        <w:t>Canada Human Rights Act</w:t>
      </w:r>
      <w:r w:rsidR="000B0E4D">
        <w:rPr>
          <w:lang w:val="en-CA"/>
        </w:rPr>
        <w:t xml:space="preserve">, and the </w:t>
      </w:r>
      <w:r w:rsidR="000B0E4D" w:rsidRPr="000B0E4D">
        <w:rPr>
          <w:lang w:val="en-CA"/>
        </w:rPr>
        <w:t>CRPD</w:t>
      </w:r>
      <w:r w:rsidRPr="002A198E">
        <w:rPr>
          <w:lang w:val="en-CA"/>
        </w:rPr>
        <w:t xml:space="preserve">, without </w:t>
      </w:r>
      <w:r w:rsidR="00240D88">
        <w:rPr>
          <w:lang w:val="en-CA"/>
        </w:rPr>
        <w:t xml:space="preserve">individuals </w:t>
      </w:r>
      <w:r w:rsidRPr="002A198E">
        <w:rPr>
          <w:lang w:val="en-CA"/>
        </w:rPr>
        <w:t xml:space="preserve">having to battle barriers one at a time, one organization at a time, </w:t>
      </w:r>
      <w:r w:rsidR="00351D62">
        <w:rPr>
          <w:lang w:val="en-CA"/>
        </w:rPr>
        <w:t xml:space="preserve">via </w:t>
      </w:r>
      <w:r w:rsidRPr="002A198E">
        <w:rPr>
          <w:lang w:val="en-CA"/>
        </w:rPr>
        <w:t>human rights</w:t>
      </w:r>
      <w:r w:rsidR="00351D62">
        <w:rPr>
          <w:lang w:val="en-CA"/>
        </w:rPr>
        <w:t>/</w:t>
      </w:r>
      <w:r w:rsidRPr="009F388D">
        <w:rPr>
          <w:i/>
          <w:lang w:val="en-CA"/>
        </w:rPr>
        <w:t>Charter</w:t>
      </w:r>
      <w:r w:rsidRPr="002A198E">
        <w:rPr>
          <w:lang w:val="en-CA"/>
        </w:rPr>
        <w:t xml:space="preserve"> claims.</w:t>
      </w:r>
      <w:r w:rsidR="00621607">
        <w:rPr>
          <w:lang w:val="en-CA"/>
        </w:rPr>
        <w:t xml:space="preserve"> A goal of merely "improving accessibility" is far too weak.</w:t>
      </w:r>
    </w:p>
    <w:p w14:paraId="037A8ECF" w14:textId="77777777" w:rsidR="00A226E9" w:rsidRPr="002A198E" w:rsidRDefault="00A226E9" w:rsidP="002A198E">
      <w:pPr>
        <w:widowControl w:val="0"/>
        <w:rPr>
          <w:lang w:val="en-CA"/>
        </w:rPr>
      </w:pPr>
    </w:p>
    <w:p w14:paraId="0FC54BFB" w14:textId="3C9BFB9E" w:rsidR="00A226E9" w:rsidRPr="002A198E" w:rsidRDefault="00A226E9" w:rsidP="002A198E">
      <w:pPr>
        <w:widowControl w:val="0"/>
        <w:rPr>
          <w:lang w:val="en-CA"/>
        </w:rPr>
      </w:pPr>
      <w:r w:rsidRPr="002A198E">
        <w:rPr>
          <w:lang w:val="en-CA"/>
        </w:rPr>
        <w:t xml:space="preserve">b) The </w:t>
      </w:r>
      <w:r w:rsidR="007F5676">
        <w:rPr>
          <w:lang w:val="en-CA"/>
        </w:rPr>
        <w:t xml:space="preserve">CDA </w:t>
      </w:r>
      <w:r w:rsidRPr="002A198E">
        <w:rPr>
          <w:lang w:val="en-CA"/>
        </w:rPr>
        <w:t>should ensure that all federally-regulated organizations</w:t>
      </w:r>
      <w:r w:rsidR="0062259F">
        <w:rPr>
          <w:lang w:val="en-CA"/>
        </w:rPr>
        <w:t>, including all recipients of federal funds,</w:t>
      </w:r>
      <w:r w:rsidRPr="002A198E">
        <w:rPr>
          <w:lang w:val="en-CA"/>
        </w:rPr>
        <w:t xml:space="preserve"> provide accessible goods, services, facilities and employment.</w:t>
      </w:r>
      <w:r w:rsidR="00621607">
        <w:rPr>
          <w:lang w:val="en-CA"/>
        </w:rPr>
        <w:t xml:space="preserve"> It should establish clear, broad, inclusive definitions of “disability</w:t>
      </w:r>
      <w:r w:rsidR="000B0E4D">
        <w:rPr>
          <w:lang w:val="en-CA"/>
        </w:rPr>
        <w:t>”</w:t>
      </w:r>
      <w:r w:rsidR="00621607">
        <w:rPr>
          <w:lang w:val="en-CA"/>
        </w:rPr>
        <w:t xml:space="preserve"> and "barrier".</w:t>
      </w:r>
      <w:r w:rsidRPr="002A198E">
        <w:rPr>
          <w:lang w:val="en-CA"/>
        </w:rPr>
        <w:t xml:space="preserve"> </w:t>
      </w:r>
    </w:p>
    <w:p w14:paraId="1F00992D" w14:textId="77777777" w:rsidR="00A226E9" w:rsidRDefault="00A226E9" w:rsidP="002A198E">
      <w:pPr>
        <w:widowControl w:val="0"/>
        <w:rPr>
          <w:lang w:val="en-CA"/>
        </w:rPr>
      </w:pPr>
    </w:p>
    <w:p w14:paraId="750127A4" w14:textId="77777777" w:rsidR="00A023B0" w:rsidRDefault="00A226E9" w:rsidP="00A023B0">
      <w:pPr>
        <w:widowControl w:val="0"/>
        <w:rPr>
          <w:lang w:val="en-CA"/>
        </w:rPr>
      </w:pPr>
      <w:r w:rsidRPr="002A198E">
        <w:rPr>
          <w:lang w:val="en-CA"/>
        </w:rPr>
        <w:t xml:space="preserve">c) The </w:t>
      </w:r>
      <w:r w:rsidR="007F5676">
        <w:rPr>
          <w:lang w:val="en-CA"/>
        </w:rPr>
        <w:t xml:space="preserve">CDA </w:t>
      </w:r>
      <w:r w:rsidRPr="002A198E">
        <w:rPr>
          <w:lang w:val="en-CA"/>
        </w:rPr>
        <w:t xml:space="preserve">should put </w:t>
      </w:r>
      <w:r>
        <w:rPr>
          <w:lang w:val="en-CA"/>
        </w:rPr>
        <w:t>t</w:t>
      </w:r>
      <w:r w:rsidRPr="002A198E">
        <w:rPr>
          <w:lang w:val="en-CA"/>
        </w:rPr>
        <w:t>he Government of Canada in charge of leading Canada to full accessibility.</w:t>
      </w:r>
      <w:r w:rsidR="003E4C5F">
        <w:rPr>
          <w:lang w:val="en-CA"/>
        </w:rPr>
        <w:t xml:space="preserve"> </w:t>
      </w:r>
      <w:r w:rsidR="008A3499">
        <w:rPr>
          <w:lang w:val="en-CA"/>
        </w:rPr>
        <w:t xml:space="preserve">It </w:t>
      </w:r>
      <w:r w:rsidRPr="002A198E">
        <w:rPr>
          <w:lang w:val="en-CA"/>
        </w:rPr>
        <w:t xml:space="preserve">should create an independent Canada </w:t>
      </w:r>
      <w:r>
        <w:rPr>
          <w:lang w:val="en-CA"/>
        </w:rPr>
        <w:t>A</w:t>
      </w:r>
      <w:r w:rsidRPr="002A198E">
        <w:rPr>
          <w:lang w:val="en-CA"/>
        </w:rPr>
        <w:t xml:space="preserve">ccessibility Commissioner, reporting to </w:t>
      </w:r>
      <w:r>
        <w:rPr>
          <w:lang w:val="en-CA"/>
        </w:rPr>
        <w:t>P</w:t>
      </w:r>
      <w:r w:rsidRPr="002A198E">
        <w:rPr>
          <w:lang w:val="en-CA"/>
        </w:rPr>
        <w:t>arliament,</w:t>
      </w:r>
      <w:r>
        <w:rPr>
          <w:lang w:val="en-CA"/>
        </w:rPr>
        <w:t xml:space="preserve"> </w:t>
      </w:r>
      <w:r w:rsidR="00A73DB9">
        <w:rPr>
          <w:lang w:val="en-CA"/>
        </w:rPr>
        <w:t xml:space="preserve">to </w:t>
      </w:r>
      <w:r w:rsidRPr="002A198E">
        <w:rPr>
          <w:lang w:val="en-CA"/>
        </w:rPr>
        <w:t>lead the Act’s implementation</w:t>
      </w:r>
      <w:r w:rsidR="006738C1">
        <w:rPr>
          <w:lang w:val="en-CA"/>
        </w:rPr>
        <w:t>/</w:t>
      </w:r>
      <w:r w:rsidRPr="002A198E">
        <w:rPr>
          <w:lang w:val="en-CA"/>
        </w:rPr>
        <w:t>enforcement</w:t>
      </w:r>
      <w:r w:rsidR="00790F23">
        <w:rPr>
          <w:lang w:val="en-CA"/>
        </w:rPr>
        <w:t xml:space="preserve">, and to </w:t>
      </w:r>
      <w:r w:rsidR="00C82D80">
        <w:rPr>
          <w:lang w:val="en-CA"/>
        </w:rPr>
        <w:t xml:space="preserve">be </w:t>
      </w:r>
      <w:r w:rsidR="00790F23">
        <w:rPr>
          <w:lang w:val="en-CA"/>
        </w:rPr>
        <w:t>Canada's national accessibility champion</w:t>
      </w:r>
      <w:r w:rsidRPr="002A198E">
        <w:rPr>
          <w:lang w:val="en-CA"/>
        </w:rPr>
        <w:t>.</w:t>
      </w:r>
      <w:r w:rsidR="00A023B0">
        <w:rPr>
          <w:lang w:val="en-CA"/>
        </w:rPr>
        <w:t xml:space="preserve"> The CDA should ensure its effective enforcement. </w:t>
      </w:r>
    </w:p>
    <w:p w14:paraId="485AA5AE" w14:textId="77777777" w:rsidR="00A226E9" w:rsidRPr="002A198E" w:rsidRDefault="00A226E9" w:rsidP="002A198E">
      <w:pPr>
        <w:widowControl w:val="0"/>
        <w:rPr>
          <w:lang w:val="en-CA"/>
        </w:rPr>
      </w:pPr>
      <w:r w:rsidRPr="002A198E">
        <w:rPr>
          <w:lang w:val="en-CA"/>
        </w:rPr>
        <w:t xml:space="preserve"> </w:t>
      </w:r>
    </w:p>
    <w:p w14:paraId="5892DBA7" w14:textId="77777777" w:rsidR="00A226E9" w:rsidRPr="002A198E" w:rsidRDefault="003E4C5F" w:rsidP="002A198E">
      <w:pPr>
        <w:widowControl w:val="0"/>
        <w:rPr>
          <w:lang w:val="en-CA"/>
        </w:rPr>
      </w:pPr>
      <w:r>
        <w:rPr>
          <w:lang w:val="en-CA"/>
        </w:rPr>
        <w:t>d</w:t>
      </w:r>
      <w:r w:rsidR="00A226E9" w:rsidRPr="002A198E">
        <w:rPr>
          <w:lang w:val="en-CA"/>
        </w:rPr>
        <w:t xml:space="preserve">) The </w:t>
      </w:r>
      <w:r w:rsidR="007F5676">
        <w:rPr>
          <w:lang w:val="en-CA"/>
        </w:rPr>
        <w:t xml:space="preserve">CDA </w:t>
      </w:r>
      <w:r w:rsidR="00A226E9" w:rsidRPr="002A198E">
        <w:rPr>
          <w:lang w:val="en-CA"/>
        </w:rPr>
        <w:t xml:space="preserve">should require the Federal Government to create </w:t>
      </w:r>
      <w:r w:rsidR="00A226E9">
        <w:rPr>
          <w:lang w:val="en-CA"/>
        </w:rPr>
        <w:t xml:space="preserve">all </w:t>
      </w:r>
      <w:r w:rsidR="00A226E9" w:rsidRPr="002A198E">
        <w:rPr>
          <w:lang w:val="en-CA"/>
        </w:rPr>
        <w:t xml:space="preserve">the mandatory, enforceable accessibility standards </w:t>
      </w:r>
      <w:r w:rsidR="00657D5E">
        <w:rPr>
          <w:lang w:val="en-CA"/>
        </w:rPr>
        <w:t xml:space="preserve">needed to </w:t>
      </w:r>
      <w:r w:rsidR="00A226E9" w:rsidRPr="002A198E">
        <w:rPr>
          <w:lang w:val="en-CA"/>
        </w:rPr>
        <w:t>lead Canada to full accessibility</w:t>
      </w:r>
      <w:r w:rsidR="00657D5E">
        <w:rPr>
          <w:lang w:val="en-CA"/>
        </w:rPr>
        <w:t xml:space="preserve">. It should create </w:t>
      </w:r>
      <w:r w:rsidR="00A73DB9">
        <w:rPr>
          <w:lang w:val="en-CA"/>
        </w:rPr>
        <w:t xml:space="preserve">a </w:t>
      </w:r>
      <w:r w:rsidR="00A226E9" w:rsidRPr="002A198E">
        <w:rPr>
          <w:lang w:val="en-CA"/>
        </w:rPr>
        <w:t>prompt, effective</w:t>
      </w:r>
      <w:r w:rsidR="00657D5E">
        <w:rPr>
          <w:lang w:val="en-CA"/>
        </w:rPr>
        <w:t>,</w:t>
      </w:r>
      <w:r w:rsidR="00A226E9" w:rsidRPr="002A198E">
        <w:rPr>
          <w:lang w:val="en-CA"/>
        </w:rPr>
        <w:t xml:space="preserve"> open process for developing and reviewing accessibility standards.</w:t>
      </w:r>
    </w:p>
    <w:p w14:paraId="15016E89" w14:textId="77777777" w:rsidR="00A226E9" w:rsidRDefault="00A226E9" w:rsidP="002A198E">
      <w:pPr>
        <w:widowControl w:val="0"/>
        <w:rPr>
          <w:lang w:val="en-CA"/>
        </w:rPr>
      </w:pPr>
    </w:p>
    <w:p w14:paraId="72FA4194" w14:textId="77777777" w:rsidR="00A226E9" w:rsidRPr="002A198E" w:rsidRDefault="00A023B0" w:rsidP="002A198E">
      <w:pPr>
        <w:widowControl w:val="0"/>
        <w:rPr>
          <w:lang w:val="en-CA"/>
        </w:rPr>
      </w:pPr>
      <w:r>
        <w:rPr>
          <w:lang w:val="en-CA"/>
        </w:rPr>
        <w:t>e</w:t>
      </w:r>
      <w:r w:rsidR="00A226E9" w:rsidRPr="002A198E">
        <w:rPr>
          <w:lang w:val="en-CA"/>
        </w:rPr>
        <w:t xml:space="preserve">) The </w:t>
      </w:r>
      <w:r w:rsidR="007F5676">
        <w:rPr>
          <w:lang w:val="en-CA"/>
        </w:rPr>
        <w:t xml:space="preserve">CDA </w:t>
      </w:r>
      <w:r w:rsidR="00A226E9" w:rsidRPr="002A198E">
        <w:rPr>
          <w:lang w:val="en-CA"/>
        </w:rPr>
        <w:t xml:space="preserve">should ensure strong </w:t>
      </w:r>
      <w:r w:rsidR="00A226E9">
        <w:rPr>
          <w:lang w:val="en-CA"/>
        </w:rPr>
        <w:t>c</w:t>
      </w:r>
      <w:r w:rsidR="00A226E9" w:rsidRPr="002A198E">
        <w:rPr>
          <w:lang w:val="en-CA"/>
        </w:rPr>
        <w:t>entralized action on disability accessibility among Federal Regulatory Agencies.</w:t>
      </w:r>
    </w:p>
    <w:p w14:paraId="05B2B35F" w14:textId="77777777" w:rsidR="00A226E9" w:rsidRDefault="00A226E9" w:rsidP="002A198E">
      <w:pPr>
        <w:widowControl w:val="0"/>
        <w:rPr>
          <w:lang w:val="en-CA"/>
        </w:rPr>
      </w:pPr>
    </w:p>
    <w:p w14:paraId="3397E681" w14:textId="77777777" w:rsidR="00F1701C" w:rsidRDefault="005712EA" w:rsidP="00F1701C">
      <w:pPr>
        <w:widowControl w:val="0"/>
        <w:rPr>
          <w:lang w:val="en-CA"/>
        </w:rPr>
      </w:pPr>
      <w:r>
        <w:rPr>
          <w:lang w:val="en-CA"/>
        </w:rPr>
        <w:t>f</w:t>
      </w:r>
      <w:r w:rsidR="00A226E9" w:rsidRPr="002A198E">
        <w:rPr>
          <w:lang w:val="en-CA"/>
        </w:rPr>
        <w:t xml:space="preserve">) The </w:t>
      </w:r>
      <w:r w:rsidR="007F5676">
        <w:rPr>
          <w:lang w:val="en-CA"/>
        </w:rPr>
        <w:t xml:space="preserve">CDA </w:t>
      </w:r>
      <w:r w:rsidR="00A226E9" w:rsidRPr="002A198E">
        <w:rPr>
          <w:lang w:val="en-CA"/>
        </w:rPr>
        <w:t xml:space="preserve">should ensure that </w:t>
      </w:r>
      <w:r w:rsidR="00A226E9">
        <w:rPr>
          <w:lang w:val="en-CA"/>
        </w:rPr>
        <w:t>t</w:t>
      </w:r>
      <w:r w:rsidR="00A226E9" w:rsidRPr="002A198E">
        <w:rPr>
          <w:lang w:val="en-CA"/>
        </w:rPr>
        <w:t>he strongest accessibility law always prevails</w:t>
      </w:r>
      <w:r w:rsidR="00F1701C">
        <w:rPr>
          <w:lang w:val="en-CA"/>
        </w:rPr>
        <w:t>, and that no Federal laws authorize or require disability barriers.</w:t>
      </w:r>
    </w:p>
    <w:p w14:paraId="6572B608" w14:textId="77777777" w:rsidR="00F1701C" w:rsidRDefault="00F1701C" w:rsidP="00F1701C">
      <w:pPr>
        <w:widowControl w:val="0"/>
        <w:rPr>
          <w:lang w:val="en-CA"/>
        </w:rPr>
      </w:pPr>
    </w:p>
    <w:p w14:paraId="7CBE4292" w14:textId="77777777" w:rsidR="00A226E9" w:rsidRPr="002A198E" w:rsidRDefault="005712EA" w:rsidP="002A198E">
      <w:pPr>
        <w:widowControl w:val="0"/>
        <w:rPr>
          <w:lang w:val="en-CA"/>
        </w:rPr>
      </w:pPr>
      <w:r>
        <w:rPr>
          <w:lang w:val="en-CA"/>
        </w:rPr>
        <w:t>g</w:t>
      </w:r>
      <w:r w:rsidR="00A226E9" w:rsidRPr="002A198E">
        <w:rPr>
          <w:lang w:val="en-CA"/>
        </w:rPr>
        <w:t xml:space="preserve">) The </w:t>
      </w:r>
      <w:r w:rsidR="007F5676">
        <w:rPr>
          <w:lang w:val="en-CA"/>
        </w:rPr>
        <w:t xml:space="preserve">CDA </w:t>
      </w:r>
      <w:r w:rsidR="00A226E9" w:rsidRPr="002A198E">
        <w:rPr>
          <w:lang w:val="en-CA"/>
        </w:rPr>
        <w:t>should ensure that public money is never used to create, perpetuate or exacerbate accessibility barriers.</w:t>
      </w:r>
    </w:p>
    <w:p w14:paraId="2A0CC9EF" w14:textId="77777777" w:rsidR="00A226E9" w:rsidRPr="002A198E" w:rsidRDefault="00A226E9" w:rsidP="002A198E">
      <w:pPr>
        <w:widowControl w:val="0"/>
        <w:rPr>
          <w:lang w:val="en-CA"/>
        </w:rPr>
      </w:pPr>
    </w:p>
    <w:p w14:paraId="47ABA912" w14:textId="215BFE48" w:rsidR="00A226E9" w:rsidRPr="002A198E" w:rsidRDefault="00F1701C" w:rsidP="002A198E">
      <w:pPr>
        <w:widowControl w:val="0"/>
        <w:rPr>
          <w:lang w:val="en-CA"/>
        </w:rPr>
      </w:pPr>
      <w:r>
        <w:rPr>
          <w:lang w:val="en-CA"/>
        </w:rPr>
        <w:t>h</w:t>
      </w:r>
      <w:r w:rsidR="00A226E9" w:rsidRPr="002A198E">
        <w:rPr>
          <w:lang w:val="en-CA"/>
        </w:rPr>
        <w:t xml:space="preserve">) The </w:t>
      </w:r>
      <w:r w:rsidR="007F5676">
        <w:rPr>
          <w:lang w:val="en-CA"/>
        </w:rPr>
        <w:t xml:space="preserve">CDA </w:t>
      </w:r>
      <w:r w:rsidR="00A226E9" w:rsidRPr="002A198E">
        <w:rPr>
          <w:lang w:val="en-CA"/>
        </w:rPr>
        <w:t>should ensure a fully accessible Federal Government</w:t>
      </w:r>
      <w:r w:rsidR="00573FCD">
        <w:rPr>
          <w:lang w:val="en-CA"/>
        </w:rPr>
        <w:t xml:space="preserve">, </w:t>
      </w:r>
      <w:r w:rsidR="00A226E9" w:rsidRPr="002A198E">
        <w:rPr>
          <w:lang w:val="en-CA"/>
        </w:rPr>
        <w:t>accessibility of all courts within federal authority</w:t>
      </w:r>
      <w:r w:rsidR="002F2789">
        <w:rPr>
          <w:lang w:val="en-CA"/>
        </w:rPr>
        <w:t>, and</w:t>
      </w:r>
      <w:r w:rsidR="00340758">
        <w:rPr>
          <w:lang w:val="en-CA"/>
        </w:rPr>
        <w:t xml:space="preserve"> </w:t>
      </w:r>
      <w:r w:rsidR="002F2789">
        <w:rPr>
          <w:lang w:val="en-CA"/>
        </w:rPr>
        <w:t xml:space="preserve">federal elections that are </w:t>
      </w:r>
      <w:r w:rsidR="00BD18D7">
        <w:rPr>
          <w:lang w:val="en-CA"/>
        </w:rPr>
        <w:t xml:space="preserve">fully </w:t>
      </w:r>
      <w:r w:rsidR="002F2789">
        <w:rPr>
          <w:lang w:val="en-CA"/>
        </w:rPr>
        <w:t>accessible to voters and candidates with disabilities</w:t>
      </w:r>
      <w:r w:rsidR="00A226E9" w:rsidRPr="002A198E">
        <w:rPr>
          <w:lang w:val="en-CA"/>
        </w:rPr>
        <w:t>.</w:t>
      </w:r>
    </w:p>
    <w:p w14:paraId="1F81E9D0" w14:textId="77777777" w:rsidR="00A226E9" w:rsidRPr="002A198E" w:rsidRDefault="00A226E9" w:rsidP="002A198E">
      <w:pPr>
        <w:widowControl w:val="0"/>
        <w:rPr>
          <w:lang w:val="en-CA"/>
        </w:rPr>
      </w:pPr>
      <w:bookmarkStart w:id="3" w:name="OLE_LINK43"/>
      <w:bookmarkStart w:id="4" w:name="OLE_LINK42"/>
    </w:p>
    <w:p w14:paraId="55F394F9" w14:textId="77777777" w:rsidR="00A226E9" w:rsidRPr="002A198E" w:rsidRDefault="00CB7232" w:rsidP="002A198E">
      <w:pPr>
        <w:widowControl w:val="0"/>
        <w:rPr>
          <w:lang w:val="en-CA"/>
        </w:rPr>
      </w:pPr>
      <w:r>
        <w:rPr>
          <w:lang w:val="en-CA"/>
        </w:rPr>
        <w:t>i</w:t>
      </w:r>
      <w:r w:rsidR="00A226E9" w:rsidRPr="002A198E">
        <w:rPr>
          <w:lang w:val="en-CA"/>
        </w:rPr>
        <w:t xml:space="preserve">) The </w:t>
      </w:r>
      <w:r w:rsidR="007F5676">
        <w:rPr>
          <w:lang w:val="en-CA"/>
        </w:rPr>
        <w:t xml:space="preserve">CDA </w:t>
      </w:r>
      <w:r w:rsidR="00A226E9" w:rsidRPr="002A198E">
        <w:rPr>
          <w:lang w:val="en-CA"/>
        </w:rPr>
        <w:t>should mandate a national strategy for expanding international trade in Canadian accessible goods, services and facilities.</w:t>
      </w:r>
    </w:p>
    <w:bookmarkEnd w:id="3"/>
    <w:bookmarkEnd w:id="4"/>
    <w:p w14:paraId="7CA6E813" w14:textId="77777777" w:rsidR="00A226E9" w:rsidRPr="002A198E" w:rsidRDefault="00A226E9" w:rsidP="002A198E">
      <w:pPr>
        <w:widowControl w:val="0"/>
        <w:rPr>
          <w:lang w:val="en-CA"/>
        </w:rPr>
      </w:pPr>
    </w:p>
    <w:p w14:paraId="2A221604" w14:textId="77777777" w:rsidR="00A226E9" w:rsidRPr="002A198E" w:rsidRDefault="00CB7232" w:rsidP="002A198E">
      <w:pPr>
        <w:widowControl w:val="0"/>
        <w:rPr>
          <w:lang w:val="en-CA"/>
        </w:rPr>
      </w:pPr>
      <w:r>
        <w:rPr>
          <w:lang w:val="en-CA"/>
        </w:rPr>
        <w:t>j</w:t>
      </w:r>
      <w:r w:rsidR="00A226E9" w:rsidRPr="002A198E">
        <w:rPr>
          <w:lang w:val="en-CA"/>
        </w:rPr>
        <w:t xml:space="preserve">) The </w:t>
      </w:r>
      <w:r w:rsidR="00A90595">
        <w:rPr>
          <w:lang w:val="en-CA"/>
        </w:rPr>
        <w:t xml:space="preserve">CDA </w:t>
      </w:r>
      <w:r w:rsidR="00A226E9" w:rsidRPr="002A198E">
        <w:rPr>
          <w:lang w:val="en-CA"/>
        </w:rPr>
        <w:t xml:space="preserve">should </w:t>
      </w:r>
      <w:r w:rsidR="002729C2">
        <w:rPr>
          <w:lang w:val="en-CA"/>
        </w:rPr>
        <w:t xml:space="preserve">require </w:t>
      </w:r>
      <w:r w:rsidR="00A226E9" w:rsidRPr="002A198E">
        <w:rPr>
          <w:lang w:val="en-CA"/>
        </w:rPr>
        <w:t xml:space="preserve">interim measures to promote accessibility pending development of </w:t>
      </w:r>
      <w:r w:rsidR="002729C2">
        <w:rPr>
          <w:lang w:val="en-CA"/>
        </w:rPr>
        <w:t xml:space="preserve">CDA </w:t>
      </w:r>
      <w:r w:rsidR="00A226E9" w:rsidRPr="002A198E">
        <w:rPr>
          <w:lang w:val="en-CA"/>
        </w:rPr>
        <w:t xml:space="preserve">accessibility standards. </w:t>
      </w:r>
    </w:p>
    <w:p w14:paraId="78B36DB1" w14:textId="77777777" w:rsidR="00A226E9" w:rsidRPr="002A198E" w:rsidRDefault="00A226E9" w:rsidP="002A198E">
      <w:pPr>
        <w:widowControl w:val="0"/>
        <w:rPr>
          <w:lang w:val="en-CA"/>
        </w:rPr>
      </w:pPr>
    </w:p>
    <w:p w14:paraId="16842221" w14:textId="77777777" w:rsidR="00A226E9" w:rsidRPr="002A198E" w:rsidRDefault="002729C2" w:rsidP="002A198E">
      <w:pPr>
        <w:widowControl w:val="0"/>
        <w:rPr>
          <w:lang w:val="en-CA"/>
        </w:rPr>
      </w:pPr>
      <w:r>
        <w:rPr>
          <w:lang w:val="en-CA"/>
        </w:rPr>
        <w:t>k</w:t>
      </w:r>
      <w:r w:rsidR="00A226E9" w:rsidRPr="002A198E">
        <w:rPr>
          <w:lang w:val="en-CA"/>
        </w:rPr>
        <w:t xml:space="preserve">) The </w:t>
      </w:r>
      <w:r w:rsidR="00A90595">
        <w:rPr>
          <w:lang w:val="en-CA"/>
        </w:rPr>
        <w:t xml:space="preserve">CDA </w:t>
      </w:r>
      <w:r w:rsidR="00A226E9" w:rsidRPr="002A198E">
        <w:rPr>
          <w:lang w:val="en-CA"/>
        </w:rPr>
        <w:t xml:space="preserve">should ensure that efforts at educating the public on accessibility </w:t>
      </w:r>
      <w:r w:rsidR="00A226E9">
        <w:rPr>
          <w:lang w:val="en-CA"/>
        </w:rPr>
        <w:t>d</w:t>
      </w:r>
      <w:r w:rsidR="00A226E9" w:rsidRPr="002A198E">
        <w:rPr>
          <w:lang w:val="en-CA"/>
        </w:rPr>
        <w:t xml:space="preserve">on’t delay </w:t>
      </w:r>
      <w:r w:rsidR="00E00801">
        <w:rPr>
          <w:lang w:val="en-CA"/>
        </w:rPr>
        <w:t xml:space="preserve">CDA </w:t>
      </w:r>
      <w:r w:rsidR="00A226E9" w:rsidRPr="002A198E">
        <w:rPr>
          <w:lang w:val="en-CA"/>
        </w:rPr>
        <w:t xml:space="preserve">implementation and enforcement. </w:t>
      </w:r>
    </w:p>
    <w:p w14:paraId="661E0528" w14:textId="77777777" w:rsidR="00A226E9" w:rsidRPr="002A198E" w:rsidRDefault="00A226E9" w:rsidP="002A198E">
      <w:pPr>
        <w:widowControl w:val="0"/>
        <w:rPr>
          <w:lang w:val="en-CA"/>
        </w:rPr>
      </w:pPr>
    </w:p>
    <w:p w14:paraId="28B8C013" w14:textId="77777777" w:rsidR="00A226E9" w:rsidRPr="002A198E" w:rsidRDefault="00E00801" w:rsidP="002A198E">
      <w:pPr>
        <w:widowControl w:val="0"/>
        <w:rPr>
          <w:lang w:val="en-CA"/>
        </w:rPr>
      </w:pPr>
      <w:r>
        <w:rPr>
          <w:lang w:val="en-CA"/>
        </w:rPr>
        <w:t>l</w:t>
      </w:r>
      <w:r w:rsidR="00A226E9" w:rsidRPr="002A198E">
        <w:rPr>
          <w:lang w:val="en-CA"/>
        </w:rPr>
        <w:t xml:space="preserve">) The </w:t>
      </w:r>
      <w:r w:rsidR="00A90595">
        <w:rPr>
          <w:lang w:val="en-CA"/>
        </w:rPr>
        <w:t xml:space="preserve">CDA </w:t>
      </w:r>
      <w:r w:rsidR="00A226E9" w:rsidRPr="002A198E">
        <w:rPr>
          <w:lang w:val="en-CA"/>
        </w:rPr>
        <w:t>should mandate the Federal Government to assist and encourage Provincial and Territorial Governments to enact comprehensive accessibility legislation.</w:t>
      </w:r>
      <w:r w:rsidR="0062028A">
        <w:rPr>
          <w:lang w:val="en-CA"/>
        </w:rPr>
        <w:t xml:space="preserve"> It </w:t>
      </w:r>
      <w:r w:rsidR="00A226E9" w:rsidRPr="002A198E">
        <w:rPr>
          <w:lang w:val="en-CA"/>
        </w:rPr>
        <w:t xml:space="preserve">should mandate the Federal Government to create </w:t>
      </w:r>
      <w:r w:rsidR="00A226E9">
        <w:rPr>
          <w:lang w:val="en-CA"/>
        </w:rPr>
        <w:t>n</w:t>
      </w:r>
      <w:r w:rsidR="00A226E9" w:rsidRPr="002A198E">
        <w:rPr>
          <w:lang w:val="en-CA"/>
        </w:rPr>
        <w:t xml:space="preserve">ational model Accessibility Standards which provinces, territories and other organizations </w:t>
      </w:r>
      <w:r w:rsidR="00A226E9">
        <w:rPr>
          <w:lang w:val="en-CA"/>
        </w:rPr>
        <w:t>c</w:t>
      </w:r>
      <w:r w:rsidR="00A226E9" w:rsidRPr="002A198E">
        <w:rPr>
          <w:lang w:val="en-CA"/>
        </w:rPr>
        <w:t xml:space="preserve">an </w:t>
      </w:r>
      <w:r>
        <w:rPr>
          <w:lang w:val="en-CA"/>
        </w:rPr>
        <w:t>adopt</w:t>
      </w:r>
      <w:r w:rsidR="00A226E9" w:rsidRPr="002A198E">
        <w:rPr>
          <w:lang w:val="en-CA"/>
        </w:rPr>
        <w:t xml:space="preserve">. </w:t>
      </w:r>
    </w:p>
    <w:p w14:paraId="52AD6BFF" w14:textId="77777777" w:rsidR="00A226E9" w:rsidRPr="002A198E" w:rsidRDefault="00A226E9" w:rsidP="002A198E">
      <w:pPr>
        <w:widowControl w:val="0"/>
        <w:rPr>
          <w:lang w:val="en-CA"/>
        </w:rPr>
      </w:pPr>
    </w:p>
    <w:p w14:paraId="62150055" w14:textId="2957EAAB" w:rsidR="00A226E9" w:rsidRPr="002A198E" w:rsidRDefault="00A63C1C" w:rsidP="002A198E">
      <w:pPr>
        <w:widowControl w:val="0"/>
        <w:rPr>
          <w:lang w:val="en-CA"/>
        </w:rPr>
      </w:pPr>
      <w:r>
        <w:rPr>
          <w:lang w:val="en-CA"/>
        </w:rPr>
        <w:t>m</w:t>
      </w:r>
      <w:r w:rsidR="00A226E9" w:rsidRPr="002A198E">
        <w:rPr>
          <w:lang w:val="en-CA"/>
        </w:rPr>
        <w:t xml:space="preserve">) The </w:t>
      </w:r>
      <w:r w:rsidR="00A90595">
        <w:rPr>
          <w:lang w:val="en-CA"/>
        </w:rPr>
        <w:t xml:space="preserve">CDA </w:t>
      </w:r>
      <w:r w:rsidR="000B0E4D">
        <w:rPr>
          <w:lang w:val="en-CA"/>
        </w:rPr>
        <w:t>should set time</w:t>
      </w:r>
      <w:r w:rsidR="00A226E9" w:rsidRPr="002A198E">
        <w:rPr>
          <w:lang w:val="en-CA"/>
        </w:rPr>
        <w:t>lines for Federal Government</w:t>
      </w:r>
      <w:r w:rsidR="00190BE7">
        <w:rPr>
          <w:lang w:val="en-CA"/>
        </w:rPr>
        <w:t xml:space="preserve"> CDA</w:t>
      </w:r>
      <w:r w:rsidR="00A226E9" w:rsidRPr="002A198E">
        <w:rPr>
          <w:lang w:val="en-CA"/>
        </w:rPr>
        <w:t xml:space="preserve"> </w:t>
      </w:r>
      <w:r w:rsidR="00A90595">
        <w:rPr>
          <w:lang w:val="en-CA"/>
        </w:rPr>
        <w:t>implementation/enforcement</w:t>
      </w:r>
      <w:r w:rsidR="002E400C">
        <w:rPr>
          <w:lang w:val="en-CA"/>
        </w:rPr>
        <w:t xml:space="preserve">, and </w:t>
      </w:r>
      <w:r w:rsidR="00A226E9" w:rsidRPr="002A198E">
        <w:rPr>
          <w:lang w:val="en-CA"/>
        </w:rPr>
        <w:t xml:space="preserve">require periodic Independent Reviews of progress. </w:t>
      </w:r>
    </w:p>
    <w:p w14:paraId="5ABAAFE4" w14:textId="77777777" w:rsidR="00A226E9" w:rsidRPr="002A198E" w:rsidRDefault="00A226E9" w:rsidP="002A198E">
      <w:pPr>
        <w:widowControl w:val="0"/>
        <w:rPr>
          <w:lang w:val="en-CA"/>
        </w:rPr>
      </w:pPr>
    </w:p>
    <w:p w14:paraId="46FAB710" w14:textId="45D865C2" w:rsidR="00A226E9" w:rsidRPr="002A198E" w:rsidRDefault="00A226E9" w:rsidP="002A198E">
      <w:pPr>
        <w:pStyle w:val="Heading1"/>
        <w:keepNext w:val="0"/>
        <w:keepLines w:val="0"/>
        <w:widowControl w:val="0"/>
        <w:spacing w:before="0"/>
        <w:rPr>
          <w:lang w:val="en-CA"/>
        </w:rPr>
      </w:pPr>
      <w:bookmarkStart w:id="5" w:name="_Toc319660876"/>
      <w:r w:rsidRPr="002A198E">
        <w:rPr>
          <w:lang w:val="en-CA"/>
        </w:rPr>
        <w:t>2. Why the Canadians with Disabilities Act is Needed</w:t>
      </w:r>
      <w:bookmarkEnd w:id="5"/>
    </w:p>
    <w:p w14:paraId="1B4DB69C" w14:textId="77777777" w:rsidR="00A226E9" w:rsidRPr="002A198E" w:rsidRDefault="00A226E9" w:rsidP="002A198E">
      <w:pPr>
        <w:widowControl w:val="0"/>
        <w:rPr>
          <w:lang w:val="en-CA"/>
        </w:rPr>
      </w:pPr>
    </w:p>
    <w:p w14:paraId="0F633154" w14:textId="077C1C63" w:rsidR="0057683D" w:rsidRDefault="00A226E9" w:rsidP="002A198E">
      <w:pPr>
        <w:widowControl w:val="0"/>
        <w:rPr>
          <w:lang w:val="en-CA"/>
        </w:rPr>
      </w:pPr>
      <w:r>
        <w:rPr>
          <w:lang w:val="en-CA"/>
        </w:rPr>
        <w:t>Courts broadly interpret d</w:t>
      </w:r>
      <w:r w:rsidRPr="002A198E">
        <w:rPr>
          <w:lang w:val="en-CA"/>
        </w:rPr>
        <w:t xml:space="preserve">isability equality rights, including accessibility rights, in </w:t>
      </w:r>
      <w:r w:rsidRPr="009F388D">
        <w:rPr>
          <w:i/>
          <w:lang w:val="en-CA"/>
        </w:rPr>
        <w:t xml:space="preserve">Charter </w:t>
      </w:r>
      <w:r w:rsidRPr="002A198E">
        <w:rPr>
          <w:lang w:val="en-CA"/>
        </w:rPr>
        <w:t xml:space="preserve">s. 15 and </w:t>
      </w:r>
      <w:r w:rsidR="00980623">
        <w:rPr>
          <w:lang w:val="en-CA"/>
        </w:rPr>
        <w:t xml:space="preserve">human rights legislation. </w:t>
      </w:r>
      <w:r>
        <w:rPr>
          <w:lang w:val="en-CA"/>
        </w:rPr>
        <w:t>E</w:t>
      </w:r>
      <w:r w:rsidRPr="002A198E">
        <w:rPr>
          <w:lang w:val="en-CA"/>
        </w:rPr>
        <w:t xml:space="preserve">xceptions to them </w:t>
      </w:r>
      <w:r w:rsidR="00D058E7">
        <w:rPr>
          <w:lang w:val="en-CA"/>
        </w:rPr>
        <w:t xml:space="preserve">are </w:t>
      </w:r>
      <w:r>
        <w:rPr>
          <w:lang w:val="en-CA"/>
        </w:rPr>
        <w:t xml:space="preserve">interpreted </w:t>
      </w:r>
      <w:r w:rsidRPr="002A198E">
        <w:rPr>
          <w:lang w:val="en-CA"/>
        </w:rPr>
        <w:t>narrowly.</w:t>
      </w:r>
      <w:r w:rsidR="00980623">
        <w:rPr>
          <w:lang w:val="en-CA"/>
        </w:rPr>
        <w:t xml:space="preserve"> </w:t>
      </w:r>
      <w:r w:rsidR="00830EB2">
        <w:rPr>
          <w:lang w:val="en-CA"/>
        </w:rPr>
        <w:t>Despite this,</w:t>
      </w:r>
      <w:r w:rsidRPr="002A198E">
        <w:rPr>
          <w:lang w:val="en-CA"/>
        </w:rPr>
        <w:t xml:space="preserve"> far too often, </w:t>
      </w:r>
      <w:r w:rsidR="009415F4">
        <w:rPr>
          <w:lang w:val="en-CA"/>
        </w:rPr>
        <w:t xml:space="preserve">organizations don't honour </w:t>
      </w:r>
      <w:r w:rsidRPr="002A198E">
        <w:rPr>
          <w:lang w:val="en-CA"/>
        </w:rPr>
        <w:t xml:space="preserve">these rights. The </w:t>
      </w:r>
      <w:r>
        <w:rPr>
          <w:lang w:val="en-CA"/>
        </w:rPr>
        <w:t xml:space="preserve">CDA </w:t>
      </w:r>
      <w:r w:rsidRPr="002A198E">
        <w:rPr>
          <w:lang w:val="en-CA"/>
        </w:rPr>
        <w:t xml:space="preserve">is needed to make those rights become a reality for people with disabilities, without their having to privately wage separate legal battles </w:t>
      </w:r>
      <w:r w:rsidRPr="002A198E">
        <w:rPr>
          <w:lang w:val="en-CA"/>
        </w:rPr>
        <w:lastRenderedPageBreak/>
        <w:t>against each of the many accessibility barriers they face</w:t>
      </w:r>
      <w:r w:rsidR="00D058E7">
        <w:rPr>
          <w:lang w:val="en-CA"/>
        </w:rPr>
        <w:t>.</w:t>
      </w:r>
    </w:p>
    <w:p w14:paraId="6B680EE6" w14:textId="77777777" w:rsidR="0057683D" w:rsidRDefault="0057683D" w:rsidP="002A198E">
      <w:pPr>
        <w:widowControl w:val="0"/>
        <w:rPr>
          <w:lang w:val="en-CA"/>
        </w:rPr>
      </w:pPr>
    </w:p>
    <w:p w14:paraId="12106DEA" w14:textId="6A7E79FA" w:rsidR="0057683D" w:rsidRDefault="0057683D" w:rsidP="0057683D">
      <w:pPr>
        <w:widowControl w:val="0"/>
        <w:rPr>
          <w:lang w:val="en-CA"/>
        </w:rPr>
      </w:pPr>
      <w:r>
        <w:rPr>
          <w:lang w:val="en-CA"/>
        </w:rPr>
        <w:t>Having to separately fight accessibility barriers, one at a time, by individual human rights/</w:t>
      </w:r>
      <w:r w:rsidRPr="009F388D">
        <w:rPr>
          <w:i/>
          <w:lang w:val="en-CA"/>
        </w:rPr>
        <w:t>Charter</w:t>
      </w:r>
      <w:r>
        <w:rPr>
          <w:lang w:val="en-CA"/>
        </w:rPr>
        <w:t xml:space="preserve"> challenges, imposes tremendous hardships on people with disabilities. Most don’t bother. Well-resourced organizations, like the Federal Government, can deploy lawyers to mount a vigorous defence. An unsuccessful </w:t>
      </w:r>
      <w:r w:rsidRPr="009F388D">
        <w:rPr>
          <w:i/>
          <w:lang w:val="en-CA"/>
        </w:rPr>
        <w:t xml:space="preserve">Charter </w:t>
      </w:r>
      <w:r>
        <w:rPr>
          <w:lang w:val="en-CA"/>
        </w:rPr>
        <w:t>claimant can be ordered to pay the respondent’s legal costs; few risk that financial exposure. Canadians with disabilities are disproportionately unemployed</w:t>
      </w:r>
      <w:r w:rsidR="00246532">
        <w:rPr>
          <w:lang w:val="en-CA"/>
        </w:rPr>
        <w:t>,</w:t>
      </w:r>
      <w:r>
        <w:rPr>
          <w:lang w:val="en-CA"/>
        </w:rPr>
        <w:t xml:space="preserve"> </w:t>
      </w:r>
      <w:r w:rsidR="00FC7C66">
        <w:rPr>
          <w:lang w:val="en-CA"/>
        </w:rPr>
        <w:t>impoverished</w:t>
      </w:r>
      <w:r w:rsidR="00246532">
        <w:rPr>
          <w:lang w:val="en-CA"/>
        </w:rPr>
        <w:t>, and can lack full access to effective legal services</w:t>
      </w:r>
      <w:r>
        <w:rPr>
          <w:lang w:val="en-CA"/>
        </w:rPr>
        <w:t xml:space="preserve">. </w:t>
      </w:r>
    </w:p>
    <w:p w14:paraId="1B557444" w14:textId="77777777" w:rsidR="00A226E9" w:rsidRPr="002A198E" w:rsidRDefault="00A226E9" w:rsidP="002A198E">
      <w:pPr>
        <w:widowControl w:val="0"/>
        <w:rPr>
          <w:lang w:val="en-CA"/>
        </w:rPr>
      </w:pPr>
      <w:r w:rsidRPr="002A198E">
        <w:rPr>
          <w:lang w:val="en-CA"/>
        </w:rPr>
        <w:t xml:space="preserve"> </w:t>
      </w:r>
    </w:p>
    <w:p w14:paraId="385A0868" w14:textId="344D6321" w:rsidR="00A226E9" w:rsidRPr="002A198E" w:rsidRDefault="00043529" w:rsidP="002A198E">
      <w:pPr>
        <w:widowControl w:val="0"/>
        <w:rPr>
          <w:lang w:val="en-CA"/>
        </w:rPr>
      </w:pPr>
      <w:r>
        <w:rPr>
          <w:lang w:val="en-CA"/>
        </w:rPr>
        <w:t xml:space="preserve">Organizations will more likely take action </w:t>
      </w:r>
      <w:r w:rsidR="001C73EB">
        <w:rPr>
          <w:lang w:val="en-CA"/>
        </w:rPr>
        <w:t xml:space="preserve">on accessibility </w:t>
      </w:r>
      <w:r>
        <w:rPr>
          <w:lang w:val="en-CA"/>
        </w:rPr>
        <w:t xml:space="preserve">if the law specifies what they must do, and by when. </w:t>
      </w:r>
      <w:r w:rsidR="00A226E9" w:rsidRPr="002A198E">
        <w:rPr>
          <w:lang w:val="en-CA"/>
        </w:rPr>
        <w:t xml:space="preserve">The </w:t>
      </w:r>
      <w:r w:rsidR="00A226E9" w:rsidRPr="009F388D">
        <w:rPr>
          <w:i/>
          <w:lang w:val="en-CA"/>
        </w:rPr>
        <w:t>Charter</w:t>
      </w:r>
      <w:r w:rsidR="00A226E9" w:rsidRPr="002A198E">
        <w:rPr>
          <w:lang w:val="en-CA"/>
        </w:rPr>
        <w:t xml:space="preserve"> and </w:t>
      </w:r>
      <w:r w:rsidR="00493326">
        <w:rPr>
          <w:lang w:val="en-CA"/>
        </w:rPr>
        <w:t xml:space="preserve">human rights legislation </w:t>
      </w:r>
      <w:r w:rsidR="00A226E9" w:rsidRPr="002A198E">
        <w:rPr>
          <w:lang w:val="en-CA"/>
        </w:rPr>
        <w:t xml:space="preserve">don’t give organizations clear </w:t>
      </w:r>
      <w:r w:rsidR="00F2196F">
        <w:rPr>
          <w:lang w:val="en-CA"/>
        </w:rPr>
        <w:t xml:space="preserve">and specific </w:t>
      </w:r>
      <w:r w:rsidR="00A226E9" w:rsidRPr="002A198E">
        <w:rPr>
          <w:lang w:val="en-CA"/>
        </w:rPr>
        <w:t xml:space="preserve">directions on </w:t>
      </w:r>
      <w:r>
        <w:rPr>
          <w:lang w:val="en-CA"/>
        </w:rPr>
        <w:t xml:space="preserve">what they must do </w:t>
      </w:r>
      <w:r w:rsidR="00A226E9" w:rsidRPr="002A198E">
        <w:rPr>
          <w:lang w:val="en-CA"/>
        </w:rPr>
        <w:t xml:space="preserve">to become fully accessible, as employers and service-providers. </w:t>
      </w:r>
      <w:r w:rsidR="00A226E9">
        <w:rPr>
          <w:lang w:val="en-CA"/>
        </w:rPr>
        <w:t>G</w:t>
      </w:r>
      <w:r w:rsidR="00A226E9" w:rsidRPr="002A198E">
        <w:rPr>
          <w:lang w:val="en-CA"/>
        </w:rPr>
        <w:t xml:space="preserve">rand concepts </w:t>
      </w:r>
      <w:r w:rsidR="009F388D">
        <w:rPr>
          <w:lang w:val="en-CA"/>
        </w:rPr>
        <w:t xml:space="preserve">of </w:t>
      </w:r>
      <w:r w:rsidR="00A226E9" w:rsidRPr="002A198E">
        <w:rPr>
          <w:lang w:val="en-CA"/>
        </w:rPr>
        <w:t>“discrimination</w:t>
      </w:r>
      <w:r w:rsidR="00A226E9">
        <w:rPr>
          <w:lang w:val="en-CA"/>
        </w:rPr>
        <w:t>,</w:t>
      </w:r>
      <w:r w:rsidR="00A226E9" w:rsidRPr="002A198E">
        <w:rPr>
          <w:lang w:val="en-CA"/>
        </w:rPr>
        <w:t>” “equality before and under the law</w:t>
      </w:r>
      <w:r w:rsidR="00A226E9">
        <w:rPr>
          <w:lang w:val="en-CA"/>
        </w:rPr>
        <w:t>,</w:t>
      </w:r>
      <w:r w:rsidR="00A226E9" w:rsidRPr="002A198E">
        <w:rPr>
          <w:lang w:val="en-CA"/>
        </w:rPr>
        <w:t xml:space="preserve">” and “accommodation” don’t </w:t>
      </w:r>
      <w:r w:rsidR="00493326">
        <w:rPr>
          <w:lang w:val="en-CA"/>
        </w:rPr>
        <w:t xml:space="preserve">tell </w:t>
      </w:r>
      <w:r w:rsidR="00A226E9" w:rsidRPr="002A198E">
        <w:rPr>
          <w:lang w:val="en-CA"/>
        </w:rPr>
        <w:t>those work</w:t>
      </w:r>
      <w:r w:rsidR="00493326">
        <w:rPr>
          <w:lang w:val="en-CA"/>
        </w:rPr>
        <w:t>ing</w:t>
      </w:r>
      <w:r w:rsidR="00A226E9" w:rsidRPr="002A198E">
        <w:rPr>
          <w:lang w:val="en-CA"/>
        </w:rPr>
        <w:t xml:space="preserve"> in the federal government or federally-</w:t>
      </w:r>
      <w:r>
        <w:rPr>
          <w:lang w:val="en-CA"/>
        </w:rPr>
        <w:t xml:space="preserve">reachable </w:t>
      </w:r>
      <w:r w:rsidR="00A226E9" w:rsidRPr="002A198E">
        <w:rPr>
          <w:lang w:val="en-CA"/>
        </w:rPr>
        <w:t>organizations, how to design a website</w:t>
      </w:r>
      <w:r>
        <w:rPr>
          <w:lang w:val="en-CA"/>
        </w:rPr>
        <w:t>,</w:t>
      </w:r>
      <w:r w:rsidR="00A226E9" w:rsidRPr="002A198E">
        <w:rPr>
          <w:lang w:val="en-CA"/>
        </w:rPr>
        <w:t xml:space="preserve"> workplace </w:t>
      </w:r>
      <w:r w:rsidR="00F2196F">
        <w:rPr>
          <w:lang w:val="en-CA"/>
        </w:rPr>
        <w:t xml:space="preserve">or </w:t>
      </w:r>
      <w:r w:rsidR="00A226E9" w:rsidRPr="002A198E">
        <w:rPr>
          <w:lang w:val="en-CA"/>
        </w:rPr>
        <w:t xml:space="preserve">goods and services, to ensure that people with disabilities fully benefit from them. </w:t>
      </w:r>
    </w:p>
    <w:p w14:paraId="71013DFE" w14:textId="77777777" w:rsidR="00A226E9" w:rsidRPr="002A198E" w:rsidRDefault="00A226E9" w:rsidP="002A198E">
      <w:pPr>
        <w:widowControl w:val="0"/>
        <w:rPr>
          <w:lang w:val="en-CA"/>
        </w:rPr>
      </w:pPr>
    </w:p>
    <w:p w14:paraId="57B42CA9" w14:textId="77777777" w:rsidR="00A226E9" w:rsidRPr="002A198E" w:rsidRDefault="00A226E9" w:rsidP="00E34452">
      <w:pPr>
        <w:widowControl w:val="0"/>
        <w:rPr>
          <w:lang w:val="en-CA"/>
        </w:rPr>
      </w:pPr>
      <w:r w:rsidRPr="002A198E">
        <w:rPr>
          <w:lang w:val="en-CA"/>
        </w:rPr>
        <w:t xml:space="preserve">Donna Jodhan brought a </w:t>
      </w:r>
      <w:r w:rsidRPr="002321B2">
        <w:rPr>
          <w:i/>
          <w:lang w:val="en-CA"/>
        </w:rPr>
        <w:t>Charter</w:t>
      </w:r>
      <w:r w:rsidRPr="002A198E">
        <w:rPr>
          <w:lang w:val="en-CA"/>
        </w:rPr>
        <w:t xml:space="preserve"> s. 15 claim against the federal government because </w:t>
      </w:r>
      <w:r w:rsidR="00EA1CA0">
        <w:rPr>
          <w:lang w:val="en-CA"/>
        </w:rPr>
        <w:t xml:space="preserve">its </w:t>
      </w:r>
      <w:r w:rsidRPr="002A198E">
        <w:rPr>
          <w:lang w:val="en-CA"/>
        </w:rPr>
        <w:t xml:space="preserve">websites were too often not designed to be accessible to blind </w:t>
      </w:r>
      <w:r>
        <w:rPr>
          <w:lang w:val="en-CA"/>
        </w:rPr>
        <w:t xml:space="preserve">people who use </w:t>
      </w:r>
      <w:r w:rsidRPr="002A198E">
        <w:rPr>
          <w:lang w:val="en-CA"/>
        </w:rPr>
        <w:t>a talking computer.</w:t>
      </w:r>
      <w:r w:rsidR="00B716B9">
        <w:rPr>
          <w:rStyle w:val="EndnoteReference"/>
          <w:lang w:val="en-CA"/>
        </w:rPr>
        <w:endnoteReference w:id="14"/>
      </w:r>
      <w:r w:rsidR="00B716B9">
        <w:rPr>
          <w:lang w:val="en-CA"/>
        </w:rPr>
        <w:t xml:space="preserve"> </w:t>
      </w:r>
      <w:r w:rsidRPr="002A198E">
        <w:rPr>
          <w:lang w:val="en-CA"/>
        </w:rPr>
        <w:t>The Government vigor</w:t>
      </w:r>
      <w:r>
        <w:rPr>
          <w:lang w:val="en-CA"/>
        </w:rPr>
        <w:t>ou</w:t>
      </w:r>
      <w:r w:rsidRPr="002A198E">
        <w:rPr>
          <w:lang w:val="en-CA"/>
        </w:rPr>
        <w:t xml:space="preserve">sly opposed </w:t>
      </w:r>
      <w:r w:rsidR="00EA1CA0">
        <w:rPr>
          <w:lang w:val="en-CA"/>
        </w:rPr>
        <w:t>her</w:t>
      </w:r>
      <w:r w:rsidRPr="002A198E">
        <w:rPr>
          <w:lang w:val="en-CA"/>
        </w:rPr>
        <w:t>. It lost. It appealed, losing again.</w:t>
      </w:r>
      <w:r w:rsidR="00E34452">
        <w:rPr>
          <w:rStyle w:val="EndnoteReference"/>
          <w:lang w:val="en-CA"/>
        </w:rPr>
        <w:endnoteReference w:id="15"/>
      </w:r>
      <w:r w:rsidR="00E34452">
        <w:rPr>
          <w:lang w:val="en-CA"/>
        </w:rPr>
        <w:t xml:space="preserve"> </w:t>
      </w:r>
      <w:r w:rsidRPr="002A198E">
        <w:rPr>
          <w:lang w:val="en-CA"/>
        </w:rPr>
        <w:t>Such opposition</w:t>
      </w:r>
      <w:r>
        <w:rPr>
          <w:lang w:val="en-CA"/>
        </w:rPr>
        <w:t xml:space="preserve"> makes </w:t>
      </w:r>
      <w:r w:rsidRPr="002321B2">
        <w:rPr>
          <w:i/>
          <w:lang w:val="en-CA"/>
        </w:rPr>
        <w:t xml:space="preserve">Charter </w:t>
      </w:r>
      <w:r>
        <w:rPr>
          <w:lang w:val="en-CA"/>
        </w:rPr>
        <w:t>litigation take years</w:t>
      </w:r>
      <w:r w:rsidR="0078350C">
        <w:rPr>
          <w:lang w:val="en-CA"/>
        </w:rPr>
        <w:t xml:space="preserve">, deterring </w:t>
      </w:r>
      <w:r w:rsidRPr="002A198E">
        <w:rPr>
          <w:lang w:val="en-CA"/>
        </w:rPr>
        <w:t>most from starting a legal challenge.</w:t>
      </w:r>
    </w:p>
    <w:p w14:paraId="3622451C" w14:textId="77777777" w:rsidR="00A226E9" w:rsidRPr="002A198E" w:rsidRDefault="00A226E9" w:rsidP="002A198E">
      <w:pPr>
        <w:widowControl w:val="0"/>
        <w:rPr>
          <w:lang w:val="en-CA"/>
        </w:rPr>
      </w:pPr>
    </w:p>
    <w:p w14:paraId="5BC2045C" w14:textId="210481D4" w:rsidR="00A226E9" w:rsidRPr="002A198E" w:rsidRDefault="00A226E9" w:rsidP="002A198E">
      <w:pPr>
        <w:widowControl w:val="0"/>
        <w:rPr>
          <w:lang w:val="en-CA"/>
        </w:rPr>
      </w:pPr>
      <w:r w:rsidRPr="002A198E">
        <w:rPr>
          <w:lang w:val="en-CA"/>
        </w:rPr>
        <w:t xml:space="preserve">Those using the Canada </w:t>
      </w:r>
      <w:r w:rsidRPr="009F388D">
        <w:rPr>
          <w:i/>
          <w:lang w:val="en-CA"/>
        </w:rPr>
        <w:t>Human Rights Act</w:t>
      </w:r>
      <w:r w:rsidRPr="002A198E">
        <w:rPr>
          <w:lang w:val="en-CA"/>
        </w:rPr>
        <w:t xml:space="preserve"> face </w:t>
      </w:r>
      <w:r w:rsidR="00E33528">
        <w:rPr>
          <w:lang w:val="en-CA"/>
        </w:rPr>
        <w:t xml:space="preserve">additional </w:t>
      </w:r>
      <w:r w:rsidRPr="002A198E">
        <w:rPr>
          <w:lang w:val="en-CA"/>
        </w:rPr>
        <w:t xml:space="preserve">barriers. The human rights process is slow. Even </w:t>
      </w:r>
      <w:r>
        <w:rPr>
          <w:lang w:val="en-CA"/>
        </w:rPr>
        <w:t>i</w:t>
      </w:r>
      <w:r w:rsidRPr="002A198E">
        <w:rPr>
          <w:lang w:val="en-CA"/>
        </w:rPr>
        <w:t xml:space="preserve">f the case is in the Canadian Human Rights Commission’s jurisdiction, that agency has been predisposed to force discrimination victims to first take their case to other regulatory agencies, if some or all remedies they seek are available elsewhere. That inflicts more </w:t>
      </w:r>
      <w:r w:rsidR="00AA69C6">
        <w:rPr>
          <w:lang w:val="en-CA"/>
        </w:rPr>
        <w:t xml:space="preserve">needless </w:t>
      </w:r>
      <w:r w:rsidRPr="002A198E">
        <w:rPr>
          <w:lang w:val="en-CA"/>
        </w:rPr>
        <w:t>delay and expenses on discrimination victims.</w:t>
      </w:r>
    </w:p>
    <w:p w14:paraId="3D2E184F" w14:textId="77777777" w:rsidR="00A226E9" w:rsidRPr="002A198E" w:rsidRDefault="00A226E9" w:rsidP="002A198E">
      <w:pPr>
        <w:widowControl w:val="0"/>
        <w:rPr>
          <w:lang w:val="en-CA"/>
        </w:rPr>
      </w:pPr>
    </w:p>
    <w:p w14:paraId="2C677534" w14:textId="549621B1" w:rsidR="00A226E9" w:rsidRPr="002A198E" w:rsidRDefault="00A226E9" w:rsidP="002A198E">
      <w:pPr>
        <w:widowControl w:val="0"/>
        <w:rPr>
          <w:lang w:val="en-CA"/>
        </w:rPr>
      </w:pPr>
      <w:r>
        <w:rPr>
          <w:lang w:val="en-CA"/>
        </w:rPr>
        <w:t>F</w:t>
      </w:r>
      <w:r w:rsidRPr="002A198E">
        <w:rPr>
          <w:lang w:val="en-CA"/>
        </w:rPr>
        <w:t xml:space="preserve">ederal disability accessibility rights are </w:t>
      </w:r>
      <w:r w:rsidR="001B1F13">
        <w:rPr>
          <w:lang w:val="en-CA"/>
        </w:rPr>
        <w:t xml:space="preserve">thus </w:t>
      </w:r>
      <w:r w:rsidR="0037384A">
        <w:rPr>
          <w:lang w:val="en-CA"/>
        </w:rPr>
        <w:t xml:space="preserve">largely </w:t>
      </w:r>
      <w:r w:rsidRPr="002A198E">
        <w:rPr>
          <w:lang w:val="en-CA"/>
        </w:rPr>
        <w:t xml:space="preserve">voluntary laws. An organization that doesn’t voluntarily comply with them now </w:t>
      </w:r>
      <w:r w:rsidR="00633351">
        <w:rPr>
          <w:lang w:val="en-CA"/>
        </w:rPr>
        <w:t xml:space="preserve">needn't </w:t>
      </w:r>
      <w:r w:rsidR="00D43E6B">
        <w:rPr>
          <w:lang w:val="en-CA"/>
        </w:rPr>
        <w:t xml:space="preserve">fear likely </w:t>
      </w:r>
      <w:r w:rsidRPr="002A198E">
        <w:rPr>
          <w:lang w:val="en-CA"/>
        </w:rPr>
        <w:t xml:space="preserve">enforcement. </w:t>
      </w:r>
      <w:r w:rsidR="005F3043">
        <w:rPr>
          <w:lang w:val="en-CA"/>
        </w:rPr>
        <w:t>It</w:t>
      </w:r>
      <w:r w:rsidRPr="002A198E">
        <w:rPr>
          <w:lang w:val="en-CA"/>
        </w:rPr>
        <w:t xml:space="preserve"> can carry on inaccessible business as usual, until someone </w:t>
      </w:r>
      <w:r w:rsidR="00633351">
        <w:rPr>
          <w:lang w:val="en-CA"/>
        </w:rPr>
        <w:t xml:space="preserve">launches </w:t>
      </w:r>
      <w:r w:rsidRPr="002A198E">
        <w:rPr>
          <w:lang w:val="en-CA"/>
        </w:rPr>
        <w:t xml:space="preserve">an accessibility claim. </w:t>
      </w:r>
      <w:r w:rsidR="00797E0E">
        <w:rPr>
          <w:lang w:val="en-CA"/>
        </w:rPr>
        <w:t>It</w:t>
      </w:r>
      <w:r w:rsidRPr="002A198E">
        <w:rPr>
          <w:lang w:val="en-CA"/>
        </w:rPr>
        <w:t xml:space="preserve"> can drag </w:t>
      </w:r>
      <w:r w:rsidR="00797E0E">
        <w:rPr>
          <w:lang w:val="en-CA"/>
        </w:rPr>
        <w:t>its</w:t>
      </w:r>
      <w:r w:rsidRPr="002A198E">
        <w:rPr>
          <w:lang w:val="en-CA"/>
        </w:rPr>
        <w:t xml:space="preserve"> feet for years, wearing down claimant</w:t>
      </w:r>
      <w:r w:rsidR="00E06847">
        <w:rPr>
          <w:lang w:val="en-CA"/>
        </w:rPr>
        <w:t>s</w:t>
      </w:r>
      <w:r w:rsidRPr="002A198E">
        <w:rPr>
          <w:lang w:val="en-CA"/>
        </w:rPr>
        <w:t xml:space="preserve">. </w:t>
      </w:r>
    </w:p>
    <w:p w14:paraId="180811F4" w14:textId="77777777" w:rsidR="00A226E9" w:rsidRPr="002A198E" w:rsidRDefault="00A226E9" w:rsidP="002A198E">
      <w:pPr>
        <w:widowControl w:val="0"/>
        <w:rPr>
          <w:lang w:val="en-CA"/>
        </w:rPr>
      </w:pPr>
      <w:r w:rsidRPr="002A198E">
        <w:rPr>
          <w:lang w:val="en-CA"/>
        </w:rPr>
        <w:t xml:space="preserve"> </w:t>
      </w:r>
    </w:p>
    <w:p w14:paraId="08A56AC0" w14:textId="3EA39152" w:rsidR="00A226E9" w:rsidRPr="002A198E" w:rsidRDefault="00A226E9" w:rsidP="002A198E">
      <w:pPr>
        <w:widowControl w:val="0"/>
        <w:rPr>
          <w:lang w:val="en-CA"/>
        </w:rPr>
      </w:pPr>
      <w:r w:rsidRPr="002A198E">
        <w:rPr>
          <w:lang w:val="en-CA"/>
        </w:rPr>
        <w:t xml:space="preserve">The lack of legislative specificity </w:t>
      </w:r>
      <w:r w:rsidR="00633351">
        <w:rPr>
          <w:lang w:val="en-CA"/>
        </w:rPr>
        <w:t xml:space="preserve">compounds </w:t>
      </w:r>
      <w:r w:rsidRPr="002A198E">
        <w:rPr>
          <w:lang w:val="en-CA"/>
        </w:rPr>
        <w:t xml:space="preserve">the lack of effective enforcement. </w:t>
      </w:r>
      <w:r w:rsidR="00DC7C31">
        <w:rPr>
          <w:lang w:val="en-CA"/>
        </w:rPr>
        <w:t>O</w:t>
      </w:r>
      <w:r w:rsidRPr="002A198E">
        <w:rPr>
          <w:lang w:val="en-CA"/>
        </w:rPr>
        <w:t xml:space="preserve">rganizations are less likely to </w:t>
      </w:r>
      <w:r w:rsidR="00DC7C31">
        <w:rPr>
          <w:lang w:val="en-CA"/>
        </w:rPr>
        <w:t xml:space="preserve">meet </w:t>
      </w:r>
      <w:r w:rsidRPr="002A198E">
        <w:rPr>
          <w:lang w:val="en-CA"/>
        </w:rPr>
        <w:t>their accessibility obligations if they must hire lawyers and consultants to find out</w:t>
      </w:r>
      <w:r w:rsidR="00DC7C31">
        <w:rPr>
          <w:lang w:val="en-CA"/>
        </w:rPr>
        <w:t xml:space="preserve"> what they must do</w:t>
      </w:r>
      <w:r w:rsidRPr="002A198E">
        <w:rPr>
          <w:lang w:val="en-CA"/>
        </w:rPr>
        <w:t xml:space="preserve">. </w:t>
      </w:r>
      <w:r>
        <w:rPr>
          <w:lang w:val="en-CA"/>
        </w:rPr>
        <w:t>F</w:t>
      </w:r>
      <w:r w:rsidRPr="002A198E">
        <w:rPr>
          <w:lang w:val="en-CA"/>
        </w:rPr>
        <w:t>ederally-</w:t>
      </w:r>
      <w:r w:rsidR="00633351">
        <w:rPr>
          <w:lang w:val="en-CA"/>
        </w:rPr>
        <w:t xml:space="preserve">reachable </w:t>
      </w:r>
      <w:r w:rsidRPr="002A198E">
        <w:rPr>
          <w:lang w:val="en-CA"/>
        </w:rPr>
        <w:t>organizations are often huge, like the Federal Government, banks, airlines</w:t>
      </w:r>
      <w:r>
        <w:rPr>
          <w:lang w:val="en-CA"/>
        </w:rPr>
        <w:t>,</w:t>
      </w:r>
      <w:r w:rsidRPr="002A198E">
        <w:rPr>
          <w:lang w:val="en-CA"/>
        </w:rPr>
        <w:t xml:space="preserve"> telephone and cable companies. It is harder to induce change in larger organizations. </w:t>
      </w:r>
    </w:p>
    <w:p w14:paraId="4CFD0890" w14:textId="77777777" w:rsidR="00A226E9" w:rsidRPr="002A198E" w:rsidRDefault="00A226E9" w:rsidP="002A198E">
      <w:pPr>
        <w:widowControl w:val="0"/>
        <w:rPr>
          <w:lang w:val="en-CA"/>
        </w:rPr>
      </w:pPr>
    </w:p>
    <w:p w14:paraId="223E5AB9" w14:textId="5AA73F29" w:rsidR="00A226E9" w:rsidRPr="002A198E" w:rsidRDefault="00A226E9" w:rsidP="002A198E">
      <w:pPr>
        <w:widowControl w:val="0"/>
        <w:rPr>
          <w:lang w:val="en-CA"/>
        </w:rPr>
      </w:pPr>
      <w:r w:rsidRPr="002A198E">
        <w:rPr>
          <w:lang w:val="en-CA"/>
        </w:rPr>
        <w:t>Splintered, piecemeal accessibility strategies in large organization</w:t>
      </w:r>
      <w:r w:rsidR="00DC7C31">
        <w:rPr>
          <w:lang w:val="en-CA"/>
        </w:rPr>
        <w:t>s</w:t>
      </w:r>
      <w:r w:rsidRPr="002A198E">
        <w:rPr>
          <w:lang w:val="en-CA"/>
        </w:rPr>
        <w:t xml:space="preserve"> like the Federal Governmen</w:t>
      </w:r>
      <w:r>
        <w:rPr>
          <w:lang w:val="en-CA"/>
        </w:rPr>
        <w:t>t</w:t>
      </w:r>
      <w:r w:rsidRPr="002A198E">
        <w:rPr>
          <w:lang w:val="en-CA"/>
        </w:rPr>
        <w:t xml:space="preserve"> </w:t>
      </w:r>
      <w:r>
        <w:rPr>
          <w:lang w:val="en-CA"/>
        </w:rPr>
        <w:t xml:space="preserve">are </w:t>
      </w:r>
      <w:r w:rsidR="004A1315">
        <w:rPr>
          <w:lang w:val="en-CA"/>
        </w:rPr>
        <w:t xml:space="preserve">too often </w:t>
      </w:r>
      <w:r w:rsidRPr="002A198E">
        <w:rPr>
          <w:lang w:val="en-CA"/>
        </w:rPr>
        <w:t xml:space="preserve">ineffective. A comprehensive </w:t>
      </w:r>
      <w:r w:rsidR="00DC7C31">
        <w:rPr>
          <w:lang w:val="en-CA"/>
        </w:rPr>
        <w:t xml:space="preserve">CDA </w:t>
      </w:r>
      <w:r w:rsidRPr="002A198E">
        <w:rPr>
          <w:lang w:val="en-CA"/>
        </w:rPr>
        <w:t xml:space="preserve">can avoid duplication of effort, and ensure the </w:t>
      </w:r>
      <w:r>
        <w:rPr>
          <w:lang w:val="en-CA"/>
        </w:rPr>
        <w:t xml:space="preserve">most </w:t>
      </w:r>
      <w:r w:rsidRPr="002A198E">
        <w:rPr>
          <w:lang w:val="en-CA"/>
        </w:rPr>
        <w:t xml:space="preserve">progress. </w:t>
      </w:r>
    </w:p>
    <w:p w14:paraId="4D2B3FF3" w14:textId="77777777" w:rsidR="00A226E9" w:rsidRPr="002A198E" w:rsidRDefault="00A226E9" w:rsidP="002A198E">
      <w:pPr>
        <w:widowControl w:val="0"/>
        <w:rPr>
          <w:lang w:val="en-CA"/>
        </w:rPr>
      </w:pPr>
    </w:p>
    <w:p w14:paraId="0F4137D4" w14:textId="34F27FE1" w:rsidR="00A226E9" w:rsidRPr="002A198E" w:rsidRDefault="00A226E9" w:rsidP="002A198E">
      <w:pPr>
        <w:widowControl w:val="0"/>
        <w:rPr>
          <w:lang w:val="en-CA"/>
        </w:rPr>
      </w:pPr>
      <w:r>
        <w:rPr>
          <w:lang w:val="en-CA"/>
        </w:rPr>
        <w:t xml:space="preserve">Provincial experience </w:t>
      </w:r>
      <w:r w:rsidR="00AC2C49">
        <w:rPr>
          <w:lang w:val="en-CA"/>
        </w:rPr>
        <w:t xml:space="preserve">also </w:t>
      </w:r>
      <w:r>
        <w:rPr>
          <w:lang w:val="en-CA"/>
        </w:rPr>
        <w:t>shows Canada needs a strong, effective</w:t>
      </w:r>
      <w:r w:rsidR="00FE18B2">
        <w:rPr>
          <w:lang w:val="en-CA"/>
        </w:rPr>
        <w:t>ly enforced</w:t>
      </w:r>
      <w:r>
        <w:rPr>
          <w:lang w:val="en-CA"/>
        </w:rPr>
        <w:t xml:space="preserve"> CDA. </w:t>
      </w:r>
      <w:r w:rsidRPr="002A198E">
        <w:rPr>
          <w:lang w:val="en-CA"/>
        </w:rPr>
        <w:t xml:space="preserve">Ontario and Manitoba have accessibility laws. Nova Scotia is developing one. British Columbia is considering whether to develop one. The </w:t>
      </w:r>
      <w:r w:rsidR="00A116F5">
        <w:rPr>
          <w:lang w:val="en-CA"/>
        </w:rPr>
        <w:t xml:space="preserve">growing </w:t>
      </w:r>
      <w:r w:rsidRPr="002A198E">
        <w:rPr>
          <w:lang w:val="en-CA"/>
        </w:rPr>
        <w:t xml:space="preserve">international trend in </w:t>
      </w:r>
      <w:r>
        <w:rPr>
          <w:lang w:val="en-CA"/>
        </w:rPr>
        <w:t xml:space="preserve">favour </w:t>
      </w:r>
      <w:r w:rsidRPr="002A198E">
        <w:rPr>
          <w:lang w:val="en-CA"/>
        </w:rPr>
        <w:t xml:space="preserve">of such legislation </w:t>
      </w:r>
      <w:r w:rsidRPr="002A198E">
        <w:rPr>
          <w:lang w:val="en-CA"/>
        </w:rPr>
        <w:lastRenderedPageBreak/>
        <w:t xml:space="preserve">started with the enactment of the </w:t>
      </w:r>
      <w:r w:rsidR="002321B2">
        <w:rPr>
          <w:i/>
          <w:lang w:val="en-CA"/>
        </w:rPr>
        <w:t xml:space="preserve">Americans </w:t>
      </w:r>
      <w:r w:rsidRPr="009F388D">
        <w:rPr>
          <w:i/>
          <w:lang w:val="en-CA"/>
        </w:rPr>
        <w:t>with Disabilities Act</w:t>
      </w:r>
      <w:r w:rsidRPr="002A198E">
        <w:rPr>
          <w:lang w:val="en-CA"/>
        </w:rPr>
        <w:t xml:space="preserve"> in 1990, reinforced by the CRPD</w:t>
      </w:r>
      <w:r>
        <w:rPr>
          <w:lang w:val="en-CA"/>
        </w:rPr>
        <w:t xml:space="preserve"> in 2006</w:t>
      </w:r>
      <w:r w:rsidRPr="002A198E">
        <w:rPr>
          <w:lang w:val="en-CA"/>
        </w:rPr>
        <w:t xml:space="preserve">. </w:t>
      </w:r>
    </w:p>
    <w:p w14:paraId="54077EBB" w14:textId="77777777" w:rsidR="00A226E9" w:rsidRPr="002A198E" w:rsidRDefault="00A226E9" w:rsidP="002A198E">
      <w:pPr>
        <w:widowControl w:val="0"/>
        <w:rPr>
          <w:lang w:val="en-CA"/>
        </w:rPr>
      </w:pPr>
    </w:p>
    <w:p w14:paraId="3E95A70C" w14:textId="77777777" w:rsidR="00A226E9" w:rsidRPr="002A198E" w:rsidRDefault="00A226E9" w:rsidP="002A198E">
      <w:pPr>
        <w:pStyle w:val="Heading1"/>
        <w:keepNext w:val="0"/>
        <w:keepLines w:val="0"/>
        <w:widowControl w:val="0"/>
        <w:spacing w:before="0"/>
        <w:rPr>
          <w:lang w:val="en-CA"/>
        </w:rPr>
      </w:pPr>
      <w:bookmarkStart w:id="6" w:name="_Toc319660877"/>
      <w:r w:rsidRPr="002A198E">
        <w:rPr>
          <w:lang w:val="en-CA"/>
        </w:rPr>
        <w:t>3. Key Ingredients of the Canadians with Disabilities Act</w:t>
      </w:r>
      <w:bookmarkEnd w:id="6"/>
      <w:r w:rsidRPr="002A198E">
        <w:rPr>
          <w:lang w:val="en-CA"/>
        </w:rPr>
        <w:t xml:space="preserve"> </w:t>
      </w:r>
    </w:p>
    <w:p w14:paraId="0E364C68" w14:textId="77777777" w:rsidR="00A226E9" w:rsidRPr="002A198E" w:rsidRDefault="00A226E9" w:rsidP="002A198E">
      <w:pPr>
        <w:widowControl w:val="0"/>
        <w:rPr>
          <w:lang w:val="en-CA"/>
        </w:rPr>
      </w:pPr>
    </w:p>
    <w:p w14:paraId="541DEB7A" w14:textId="77777777" w:rsidR="00A226E9" w:rsidRPr="002A198E" w:rsidRDefault="00A226E9" w:rsidP="002A198E">
      <w:pPr>
        <w:pStyle w:val="Heading2"/>
        <w:keepNext w:val="0"/>
        <w:keepLines w:val="0"/>
        <w:widowControl w:val="0"/>
        <w:spacing w:before="0"/>
        <w:rPr>
          <w:lang w:val="en-CA"/>
        </w:rPr>
      </w:pPr>
      <w:bookmarkStart w:id="7" w:name="_Toc319660878"/>
      <w:r w:rsidRPr="002A198E">
        <w:rPr>
          <w:lang w:val="en-CA"/>
        </w:rPr>
        <w:t>a) A Purpose to Achi</w:t>
      </w:r>
      <w:r>
        <w:rPr>
          <w:lang w:val="en-CA"/>
        </w:rPr>
        <w:t>eve a Barrier-Free Canada by a S</w:t>
      </w:r>
      <w:r w:rsidRPr="002A198E">
        <w:rPr>
          <w:lang w:val="en-CA"/>
        </w:rPr>
        <w:t>pecified Deadline</w:t>
      </w:r>
      <w:bookmarkEnd w:id="7"/>
    </w:p>
    <w:p w14:paraId="1ADF7BEB" w14:textId="77777777" w:rsidR="00A226E9" w:rsidRPr="002A198E" w:rsidRDefault="00A226E9" w:rsidP="002A198E">
      <w:pPr>
        <w:widowControl w:val="0"/>
        <w:rPr>
          <w:lang w:val="en-CA"/>
        </w:rPr>
      </w:pPr>
    </w:p>
    <w:p w14:paraId="0AA19C9F" w14:textId="77777777" w:rsidR="00A226E9" w:rsidRPr="002A198E" w:rsidRDefault="00A67C95" w:rsidP="002A198E">
      <w:pPr>
        <w:widowControl w:val="0"/>
        <w:rPr>
          <w:lang w:val="en-CA"/>
        </w:rPr>
      </w:pPr>
      <w:r>
        <w:rPr>
          <w:lang w:val="en-CA"/>
        </w:rPr>
        <w:t xml:space="preserve">The CDA should set a clear, bold purpose. </w:t>
      </w:r>
      <w:r w:rsidR="00A226E9" w:rsidRPr="002A198E">
        <w:rPr>
          <w:lang w:val="en-CA"/>
        </w:rPr>
        <w:t>A law’s purpose guides actions taken under it</w:t>
      </w:r>
      <w:r w:rsidR="006E374A">
        <w:rPr>
          <w:lang w:val="en-CA"/>
        </w:rPr>
        <w:t>,</w:t>
      </w:r>
      <w:r w:rsidR="00A226E9" w:rsidRPr="002A198E">
        <w:rPr>
          <w:lang w:val="en-CA"/>
        </w:rPr>
        <w:t xml:space="preserve"> </w:t>
      </w:r>
      <w:r w:rsidR="006E374A">
        <w:rPr>
          <w:lang w:val="en-CA"/>
        </w:rPr>
        <w:t xml:space="preserve">aiding </w:t>
      </w:r>
      <w:r w:rsidR="00A226E9" w:rsidRPr="002A198E">
        <w:rPr>
          <w:lang w:val="en-CA"/>
        </w:rPr>
        <w:t xml:space="preserve">courts </w:t>
      </w:r>
      <w:r w:rsidR="00A226E9">
        <w:rPr>
          <w:lang w:val="en-CA"/>
        </w:rPr>
        <w:t xml:space="preserve">and others </w:t>
      </w:r>
      <w:r w:rsidR="00A226E9" w:rsidRPr="002A198E">
        <w:rPr>
          <w:lang w:val="en-CA"/>
        </w:rPr>
        <w:t>interpreting it. Barrier-Free Canada’s 14 Principles include:</w:t>
      </w:r>
    </w:p>
    <w:p w14:paraId="750246B7" w14:textId="77777777" w:rsidR="00A226E9" w:rsidRPr="002A198E" w:rsidRDefault="00A226E9" w:rsidP="002A198E">
      <w:pPr>
        <w:widowControl w:val="0"/>
        <w:rPr>
          <w:lang w:val="en-CA"/>
        </w:rPr>
      </w:pPr>
    </w:p>
    <w:p w14:paraId="735FDB34" w14:textId="77777777" w:rsidR="00A226E9" w:rsidRPr="002A198E" w:rsidRDefault="00A226E9" w:rsidP="000D0411">
      <w:pPr>
        <w:widowControl w:val="0"/>
        <w:ind w:left="720" w:right="720"/>
        <w:rPr>
          <w:lang w:val="en-CA"/>
        </w:rPr>
      </w:pPr>
      <w:r w:rsidRPr="002A198E">
        <w:rPr>
          <w:lang w:val="en-CA"/>
        </w:rPr>
        <w:t>“1. The Canadians with Disabilities Act's purpose is to achieve a barrier-free Canada for persons with disabilities by a deadline that the Act will set, and that will be within as short a time as is reasonably possible, with implementation to begin immediately upon proclamation, to effectively ensure to all persons with disabilities in Canada the equal opportunity to fully and meaningfully participate in all aspects of life in Canada based on their individual merit.”</w:t>
      </w:r>
    </w:p>
    <w:p w14:paraId="3F695C7E" w14:textId="77777777" w:rsidR="00A226E9" w:rsidRPr="002A198E" w:rsidRDefault="00A226E9" w:rsidP="002A198E">
      <w:pPr>
        <w:widowControl w:val="0"/>
        <w:rPr>
          <w:lang w:val="en-CA"/>
        </w:rPr>
      </w:pPr>
    </w:p>
    <w:p w14:paraId="480E1854" w14:textId="5DE0046E" w:rsidR="00A226E9" w:rsidRDefault="00A226E9" w:rsidP="002A198E">
      <w:pPr>
        <w:widowControl w:val="0"/>
        <w:rPr>
          <w:lang w:val="en-CA"/>
        </w:rPr>
      </w:pPr>
      <w:r>
        <w:rPr>
          <w:lang w:val="en-CA"/>
        </w:rPr>
        <w:t>T</w:t>
      </w:r>
      <w:r w:rsidRPr="002A198E">
        <w:rPr>
          <w:lang w:val="en-CA"/>
        </w:rPr>
        <w:t xml:space="preserve">he </w:t>
      </w:r>
      <w:r>
        <w:rPr>
          <w:lang w:val="en-CA"/>
        </w:rPr>
        <w:t xml:space="preserve">CDA </w:t>
      </w:r>
      <w:r w:rsidRPr="002A198E">
        <w:rPr>
          <w:lang w:val="en-CA"/>
        </w:rPr>
        <w:t xml:space="preserve">should </w:t>
      </w:r>
      <w:r>
        <w:rPr>
          <w:lang w:val="en-CA"/>
        </w:rPr>
        <w:t xml:space="preserve">also </w:t>
      </w:r>
      <w:r w:rsidRPr="002A198E">
        <w:rPr>
          <w:lang w:val="en-CA"/>
        </w:rPr>
        <w:t>ensure that Canada fully complies with the CRPD. Among other things, the CRPD requires</w:t>
      </w:r>
      <w:r>
        <w:rPr>
          <w:lang w:val="en-CA"/>
        </w:rPr>
        <w:t xml:space="preserve"> state parties </w:t>
      </w:r>
      <w:r w:rsidR="00A67C95">
        <w:rPr>
          <w:lang w:val="en-CA"/>
        </w:rPr>
        <w:t xml:space="preserve">like Canada </w:t>
      </w:r>
      <w:r>
        <w:rPr>
          <w:lang w:val="en-CA"/>
        </w:rPr>
        <w:t>to "</w:t>
      </w:r>
      <w:r w:rsidRPr="008A6586">
        <w:rPr>
          <w:lang w:val="en-CA"/>
        </w:rPr>
        <w:t>ensure and promote the full realization of all human rights and fundamental freedoms for all persons with disabilities without discrimination of any kind on the basis of disability</w:t>
      </w:r>
      <w:r>
        <w:rPr>
          <w:lang w:val="en-CA"/>
        </w:rPr>
        <w:t>".</w:t>
      </w:r>
      <w:r>
        <w:rPr>
          <w:rStyle w:val="EndnoteReference"/>
          <w:lang w:val="en-CA"/>
        </w:rPr>
        <w:endnoteReference w:id="16"/>
      </w:r>
      <w:r>
        <w:rPr>
          <w:lang w:val="en-CA"/>
        </w:rPr>
        <w:t xml:space="preserve"> It requires Canada to "</w:t>
      </w:r>
      <w:r w:rsidRPr="00405FF9">
        <w:rPr>
          <w:lang w:val="en-CA"/>
        </w:rPr>
        <w:t>adopt all appropriate legislative, ad</w:t>
      </w:r>
      <w:r w:rsidR="00AE4A11">
        <w:rPr>
          <w:lang w:val="en-CA"/>
        </w:rPr>
        <w:t>ministrative and other measures”</w:t>
      </w:r>
      <w:r w:rsidR="00AE4A11">
        <w:rPr>
          <w:rStyle w:val="EndnoteReference"/>
          <w:lang w:val="en-CA"/>
        </w:rPr>
        <w:endnoteReference w:id="17"/>
      </w:r>
      <w:r>
        <w:rPr>
          <w:lang w:val="en-CA"/>
        </w:rPr>
        <w:t xml:space="preserve"> for implementing CRPD rights, "</w:t>
      </w:r>
      <w:r w:rsidR="009F388D">
        <w:rPr>
          <w:lang w:val="en-CA"/>
        </w:rPr>
        <w:t>t</w:t>
      </w:r>
      <w:r w:rsidRPr="00405FF9">
        <w:rPr>
          <w:lang w:val="en-CA"/>
        </w:rPr>
        <w:t>o take all appropriate measures, including legislation, to modify or abolish existing laws, regulations, customs and practices that constitute discrimination against persons with disabilities</w:t>
      </w:r>
      <w:r>
        <w:rPr>
          <w:lang w:val="en-CA"/>
        </w:rPr>
        <w:t>".</w:t>
      </w:r>
      <w:r>
        <w:rPr>
          <w:rStyle w:val="EndnoteReference"/>
          <w:lang w:val="en-CA"/>
        </w:rPr>
        <w:endnoteReference w:id="18"/>
      </w:r>
      <w:r>
        <w:rPr>
          <w:lang w:val="en-CA"/>
        </w:rPr>
        <w:t xml:space="preserve"> Under it, Canada must "</w:t>
      </w:r>
      <w:r w:rsidRPr="00D8779A">
        <w:rPr>
          <w:lang w:val="en-CA"/>
        </w:rPr>
        <w:t>take into account the protection and promotion of the human rights of persons with disabilities in all policies and programmes</w:t>
      </w:r>
      <w:r>
        <w:rPr>
          <w:lang w:val="en-CA"/>
        </w:rPr>
        <w:t>",</w:t>
      </w:r>
      <w:r>
        <w:rPr>
          <w:rStyle w:val="EndnoteReference"/>
          <w:lang w:val="en-CA"/>
        </w:rPr>
        <w:endnoteReference w:id="19"/>
      </w:r>
      <w:r>
        <w:rPr>
          <w:lang w:val="en-CA"/>
        </w:rPr>
        <w:t xml:space="preserve"> </w:t>
      </w:r>
      <w:r w:rsidRPr="00D8779A">
        <w:rPr>
          <w:lang w:val="en-CA"/>
        </w:rPr>
        <w:t>to ensure that public authorities and institutions act in conformity with the</w:t>
      </w:r>
      <w:r>
        <w:rPr>
          <w:lang w:val="en-CA"/>
        </w:rPr>
        <w:t xml:space="preserve"> CRPD, and "</w:t>
      </w:r>
      <w:r w:rsidRPr="003714FD">
        <w:t xml:space="preserve"> </w:t>
      </w:r>
      <w:r w:rsidRPr="003714FD">
        <w:rPr>
          <w:lang w:val="en-CA"/>
        </w:rPr>
        <w:t>take all appropriate measures</w:t>
      </w:r>
      <w:r>
        <w:rPr>
          <w:lang w:val="en-CA"/>
        </w:rPr>
        <w:t>" to eliminate disability discrimination in private sector organizations.</w:t>
      </w:r>
      <w:r>
        <w:rPr>
          <w:rStyle w:val="EndnoteReference"/>
          <w:lang w:val="en-CA"/>
        </w:rPr>
        <w:endnoteReference w:id="20"/>
      </w:r>
    </w:p>
    <w:p w14:paraId="5FC81E16" w14:textId="77777777" w:rsidR="00A226E9" w:rsidRDefault="00A226E9" w:rsidP="002A198E">
      <w:pPr>
        <w:widowControl w:val="0"/>
        <w:rPr>
          <w:lang w:val="en-CA"/>
        </w:rPr>
      </w:pPr>
    </w:p>
    <w:p w14:paraId="1B372E73" w14:textId="44966327" w:rsidR="00A226E9" w:rsidRDefault="00A226E9" w:rsidP="002A198E">
      <w:pPr>
        <w:widowControl w:val="0"/>
        <w:rPr>
          <w:lang w:val="en-CA"/>
        </w:rPr>
      </w:pPr>
      <w:r>
        <w:rPr>
          <w:lang w:val="en-CA"/>
        </w:rPr>
        <w:t>The CRPD imposes specific obligat</w:t>
      </w:r>
      <w:r w:rsidR="004959FD">
        <w:rPr>
          <w:lang w:val="en-CA"/>
        </w:rPr>
        <w:t>i</w:t>
      </w:r>
      <w:r>
        <w:rPr>
          <w:lang w:val="en-CA"/>
        </w:rPr>
        <w:t xml:space="preserve">ons on state parties to ensure accessibility for people with disabilities. Canada </w:t>
      </w:r>
      <w:r w:rsidR="00A67C95">
        <w:rPr>
          <w:lang w:val="en-CA"/>
        </w:rPr>
        <w:t>must</w:t>
      </w:r>
      <w:r>
        <w:rPr>
          <w:lang w:val="en-CA"/>
        </w:rPr>
        <w:t xml:space="preserve"> "</w:t>
      </w:r>
      <w:r w:rsidR="00A67C95">
        <w:rPr>
          <w:lang w:val="en-CA"/>
        </w:rPr>
        <w:t>tak</w:t>
      </w:r>
      <w:r w:rsidRPr="0086796D">
        <w:rPr>
          <w:lang w:val="en-CA"/>
        </w:rPr>
        <w:t>e all appropriate steps to ensure that reasonable accommodation is provided</w:t>
      </w:r>
      <w:r>
        <w:rPr>
          <w:lang w:val="en-CA"/>
        </w:rPr>
        <w:t xml:space="preserve">", </w:t>
      </w:r>
      <w:r>
        <w:rPr>
          <w:rStyle w:val="EndnoteReference"/>
          <w:lang w:val="en-CA"/>
        </w:rPr>
        <w:endnoteReference w:id="21"/>
      </w:r>
      <w:r>
        <w:rPr>
          <w:lang w:val="en-CA"/>
        </w:rPr>
        <w:t xml:space="preserve"> </w:t>
      </w:r>
      <w:r w:rsidRPr="007015FF">
        <w:rPr>
          <w:lang w:val="en-CA"/>
        </w:rPr>
        <w:t xml:space="preserve">Canada must </w:t>
      </w:r>
      <w:r w:rsidR="009F388D">
        <w:rPr>
          <w:lang w:val="en-CA"/>
        </w:rPr>
        <w:t xml:space="preserve">also </w:t>
      </w:r>
      <w:r w:rsidRPr="007015FF">
        <w:rPr>
          <w:lang w:val="en-CA"/>
        </w:rPr>
        <w:t>"take appropriate measures to ensure to persons with disabilities access, on an equal basis with others, to the physical environment, to transportation, to information and communications, including information and communications technologies and systems, and to other facilities and services open or provided to the public, both in urban and in rural areas."</w:t>
      </w:r>
      <w:r w:rsidR="00AE4A11">
        <w:rPr>
          <w:rStyle w:val="EndnoteReference"/>
          <w:lang w:val="en-CA"/>
        </w:rPr>
        <w:endnoteReference w:id="22"/>
      </w:r>
      <w:r w:rsidRPr="007015FF">
        <w:rPr>
          <w:lang w:val="en-CA"/>
        </w:rPr>
        <w:t xml:space="preserve"> This includes a</w:t>
      </w:r>
      <w:r w:rsidR="009F388D">
        <w:rPr>
          <w:lang w:val="en-CA"/>
        </w:rPr>
        <w:t>ccessibility to such things as b</w:t>
      </w:r>
      <w:r w:rsidRPr="007015FF">
        <w:rPr>
          <w:lang w:val="en-CA"/>
        </w:rPr>
        <w:t>uildings, roads, transportation and other indoor and outdoor facilities, including schools, housing, medical facilities and workplaces</w:t>
      </w:r>
      <w:r>
        <w:rPr>
          <w:lang w:val="en-CA"/>
        </w:rPr>
        <w:t xml:space="preserve">, </w:t>
      </w:r>
      <w:r w:rsidRPr="007015FF">
        <w:rPr>
          <w:lang w:val="en-CA"/>
        </w:rPr>
        <w:t>information, communications and other services, including electronic services and emergency services.</w:t>
      </w:r>
      <w:r>
        <w:rPr>
          <w:rStyle w:val="EndnoteReference"/>
          <w:lang w:val="en-CA"/>
        </w:rPr>
        <w:endnoteReference w:id="23"/>
      </w:r>
      <w:r>
        <w:rPr>
          <w:lang w:val="en-CA"/>
        </w:rPr>
        <w:t xml:space="preserve">      </w:t>
      </w:r>
    </w:p>
    <w:p w14:paraId="2EFDC04E" w14:textId="77777777" w:rsidR="00CA21CF" w:rsidRDefault="00CA21CF" w:rsidP="002A198E">
      <w:pPr>
        <w:widowControl w:val="0"/>
        <w:rPr>
          <w:lang w:val="en-CA"/>
        </w:rPr>
      </w:pPr>
    </w:p>
    <w:p w14:paraId="57C73199" w14:textId="799A29AE" w:rsidR="00A226E9" w:rsidRDefault="00A226E9" w:rsidP="00CA21CF">
      <w:pPr>
        <w:widowControl w:val="0"/>
        <w:rPr>
          <w:lang w:val="en-CA"/>
        </w:rPr>
      </w:pPr>
      <w:r>
        <w:rPr>
          <w:lang w:val="en-CA"/>
        </w:rPr>
        <w:t xml:space="preserve"> The CRPD requires Canada to take "appropriate measures" to "</w:t>
      </w:r>
      <w:r w:rsidR="009F388D">
        <w:t>d</w:t>
      </w:r>
      <w:proofErr w:type="spellStart"/>
      <w:r w:rsidRPr="00D214F2">
        <w:rPr>
          <w:lang w:val="en-CA"/>
        </w:rPr>
        <w:t>evelop</w:t>
      </w:r>
      <w:proofErr w:type="spellEnd"/>
      <w:r w:rsidRPr="00D214F2">
        <w:rPr>
          <w:lang w:val="en-CA"/>
        </w:rPr>
        <w:t>, promulgate and monitor the implementation of minimum standards and guidelines for the accessibility of facilities and services open or provided to the public</w:t>
      </w:r>
      <w:r w:rsidR="00CA21CF">
        <w:rPr>
          <w:lang w:val="en-CA"/>
        </w:rPr>
        <w:t>.</w:t>
      </w:r>
      <w:r>
        <w:rPr>
          <w:lang w:val="en-CA"/>
        </w:rPr>
        <w:t>"</w:t>
      </w:r>
      <w:r w:rsidR="00AE4A11">
        <w:rPr>
          <w:rStyle w:val="EndnoteReference"/>
          <w:lang w:val="en-CA"/>
        </w:rPr>
        <w:endnoteReference w:id="24"/>
      </w:r>
      <w:r w:rsidR="009F388D">
        <w:rPr>
          <w:lang w:val="en-CA"/>
        </w:rPr>
        <w:t xml:space="preserve"> Canada must "e</w:t>
      </w:r>
      <w:r>
        <w:rPr>
          <w:lang w:val="en-CA"/>
        </w:rPr>
        <w:t>nsure that private entities that offer facilities and services which are open or provided to the public take into account all aspects of accessibility for persons with disabilities".</w:t>
      </w:r>
      <w:r>
        <w:rPr>
          <w:rStyle w:val="EndnoteReference"/>
          <w:lang w:val="en-CA"/>
        </w:rPr>
        <w:endnoteReference w:id="25"/>
      </w:r>
      <w:r>
        <w:rPr>
          <w:lang w:val="en-CA"/>
        </w:rPr>
        <w:t xml:space="preserve"> Accessibility</w:t>
      </w:r>
      <w:r w:rsidR="009F388D">
        <w:rPr>
          <w:lang w:val="en-CA"/>
        </w:rPr>
        <w:t xml:space="preserve"> includes, among other things, </w:t>
      </w:r>
      <w:r>
        <w:rPr>
          <w:lang w:val="en-CA"/>
        </w:rPr>
        <w:t xml:space="preserve">Braille signage in public buildings, accessible forms, live assistance and intermediaries, including </w:t>
      </w:r>
      <w:r>
        <w:rPr>
          <w:lang w:val="en-CA"/>
        </w:rPr>
        <w:lastRenderedPageBreak/>
        <w:t>guides, readers and professional sign language interpreters, to fac</w:t>
      </w:r>
      <w:r w:rsidR="009F388D">
        <w:rPr>
          <w:lang w:val="en-CA"/>
        </w:rPr>
        <w:t xml:space="preserve">ilitate accessibility to public </w:t>
      </w:r>
      <w:r>
        <w:rPr>
          <w:lang w:val="en-CA"/>
        </w:rPr>
        <w:t xml:space="preserve">buildings and other facilities, and </w:t>
      </w:r>
      <w:r w:rsidR="003C785D">
        <w:rPr>
          <w:lang w:val="en-CA"/>
        </w:rPr>
        <w:t>access</w:t>
      </w:r>
      <w:r>
        <w:rPr>
          <w:lang w:val="en-CA"/>
        </w:rPr>
        <w:t xml:space="preserve"> to new information and communications technologies including the Internet.</w:t>
      </w:r>
      <w:r>
        <w:rPr>
          <w:rStyle w:val="EndnoteReference"/>
          <w:lang w:val="en-CA"/>
        </w:rPr>
        <w:endnoteReference w:id="26"/>
      </w:r>
    </w:p>
    <w:p w14:paraId="0FC69C71" w14:textId="77777777" w:rsidR="00A226E9" w:rsidRPr="002A198E" w:rsidRDefault="00A226E9" w:rsidP="002A198E">
      <w:pPr>
        <w:widowControl w:val="0"/>
        <w:rPr>
          <w:lang w:val="en-CA"/>
        </w:rPr>
      </w:pPr>
    </w:p>
    <w:p w14:paraId="516C5711" w14:textId="72D9EDED" w:rsidR="004B00C2" w:rsidRDefault="00A226E9" w:rsidP="002A198E">
      <w:pPr>
        <w:widowControl w:val="0"/>
        <w:rPr>
          <w:lang w:val="en-CA"/>
        </w:rPr>
      </w:pPr>
      <w:r w:rsidRPr="002A198E">
        <w:rPr>
          <w:lang w:val="en-CA"/>
        </w:rPr>
        <w:t xml:space="preserve">The </w:t>
      </w:r>
      <w:r>
        <w:rPr>
          <w:lang w:val="en-CA"/>
        </w:rPr>
        <w:t xml:space="preserve">CDA's </w:t>
      </w:r>
      <w:r w:rsidRPr="002A198E">
        <w:rPr>
          <w:lang w:val="en-CA"/>
        </w:rPr>
        <w:t xml:space="preserve">purpose </w:t>
      </w:r>
      <w:r w:rsidR="00894F06">
        <w:rPr>
          <w:lang w:val="en-CA"/>
        </w:rPr>
        <w:t xml:space="preserve">clause </w:t>
      </w:r>
      <w:r w:rsidRPr="002A198E">
        <w:rPr>
          <w:lang w:val="en-CA"/>
        </w:rPr>
        <w:t xml:space="preserve">must avoid terms that are too weak. </w:t>
      </w:r>
      <w:r>
        <w:rPr>
          <w:lang w:val="en-CA"/>
        </w:rPr>
        <w:t>I</w:t>
      </w:r>
      <w:r w:rsidRPr="002A198E">
        <w:rPr>
          <w:lang w:val="en-CA"/>
        </w:rPr>
        <w:t>t is not good enough to aim to “improve accessibility</w:t>
      </w:r>
      <w:r w:rsidRPr="000D0411">
        <w:rPr>
          <w:lang w:val="en-CA"/>
        </w:rPr>
        <w:t>.”</w:t>
      </w:r>
      <w:r>
        <w:rPr>
          <w:lang w:val="en-CA"/>
        </w:rPr>
        <w:t xml:space="preserve"> </w:t>
      </w:r>
      <w:r w:rsidRPr="002A198E">
        <w:rPr>
          <w:lang w:val="en-CA"/>
        </w:rPr>
        <w:t xml:space="preserve"> </w:t>
      </w:r>
      <w:r w:rsidR="00DD0CA9">
        <w:rPr>
          <w:lang w:val="en-CA"/>
        </w:rPr>
        <w:t>Unfortun</w:t>
      </w:r>
      <w:r w:rsidR="00865B57">
        <w:rPr>
          <w:lang w:val="en-CA"/>
        </w:rPr>
        <w:t>a</w:t>
      </w:r>
      <w:r w:rsidR="00DD0CA9">
        <w:rPr>
          <w:lang w:val="en-CA"/>
        </w:rPr>
        <w:t>tely, the Federal Government's Discussion Guide</w:t>
      </w:r>
      <w:r w:rsidR="00865B57">
        <w:rPr>
          <w:lang w:val="en-CA"/>
        </w:rPr>
        <w:t xml:space="preserve"> on the CDA uses the </w:t>
      </w:r>
      <w:r w:rsidR="002B0776">
        <w:rPr>
          <w:lang w:val="en-CA"/>
        </w:rPr>
        <w:t xml:space="preserve">extremely narrow and </w:t>
      </w:r>
      <w:r w:rsidR="00E67F5B">
        <w:rPr>
          <w:lang w:val="en-CA"/>
        </w:rPr>
        <w:t xml:space="preserve">inadequate </w:t>
      </w:r>
      <w:r w:rsidR="00865B57">
        <w:rPr>
          <w:lang w:val="en-CA"/>
        </w:rPr>
        <w:t xml:space="preserve">phrase "improve accessibility and remove barriers" in describing </w:t>
      </w:r>
      <w:r w:rsidR="00CA21CF">
        <w:rPr>
          <w:lang w:val="en-CA"/>
        </w:rPr>
        <w:t>the CDA's purpose.</w:t>
      </w:r>
      <w:r w:rsidR="004B00C2">
        <w:rPr>
          <w:lang w:val="en-CA"/>
        </w:rPr>
        <w:t xml:space="preserve"> </w:t>
      </w:r>
      <w:r w:rsidR="00CA21CF">
        <w:rPr>
          <w:lang w:val="en-CA"/>
        </w:rPr>
        <w:t>I</w:t>
      </w:r>
      <w:r w:rsidR="004B00C2">
        <w:rPr>
          <w:lang w:val="en-CA"/>
        </w:rPr>
        <w:t>t states:</w:t>
      </w:r>
    </w:p>
    <w:p w14:paraId="445513F9" w14:textId="77777777" w:rsidR="004B00C2" w:rsidRDefault="004B00C2" w:rsidP="002A198E">
      <w:pPr>
        <w:widowControl w:val="0"/>
        <w:rPr>
          <w:lang w:val="en-CA"/>
        </w:rPr>
      </w:pPr>
    </w:p>
    <w:p w14:paraId="0EEC0769" w14:textId="1B136753" w:rsidR="00E67F5B" w:rsidRDefault="004B00C2" w:rsidP="004B00C2">
      <w:pPr>
        <w:widowControl w:val="0"/>
        <w:ind w:left="720" w:right="720"/>
        <w:rPr>
          <w:lang w:val="en-CA"/>
        </w:rPr>
      </w:pPr>
      <w:r>
        <w:rPr>
          <w:lang w:val="en-CA"/>
        </w:rPr>
        <w:t>"</w:t>
      </w:r>
      <w:r w:rsidRPr="004B00C2">
        <w:rPr>
          <w:lang w:val="en-CA"/>
        </w:rPr>
        <w:t>The overall goal of the legislation is to increase the inclusion and participation of Canadians</w:t>
      </w:r>
      <w:r w:rsidR="00AD108D">
        <w:rPr>
          <w:lang w:val="en-CA"/>
        </w:rPr>
        <w:t xml:space="preserve"> </w:t>
      </w:r>
      <w:r w:rsidRPr="004B00C2">
        <w:rPr>
          <w:lang w:val="en-CA"/>
        </w:rPr>
        <w:t>in society and promote equality of opportunity by improving accessibility and removing barriers in areas of federal jurisdiction.</w:t>
      </w:r>
      <w:r>
        <w:rPr>
          <w:lang w:val="en-CA"/>
        </w:rPr>
        <w:t>"</w:t>
      </w:r>
      <w:r w:rsidR="00D16CBF">
        <w:rPr>
          <w:rStyle w:val="EndnoteReference"/>
          <w:lang w:val="en-CA"/>
        </w:rPr>
        <w:endnoteReference w:id="27"/>
      </w:r>
      <w:r w:rsidR="00865B57">
        <w:rPr>
          <w:lang w:val="en-CA"/>
        </w:rPr>
        <w:t xml:space="preserve"> </w:t>
      </w:r>
    </w:p>
    <w:p w14:paraId="0FE4F35B" w14:textId="77777777" w:rsidR="00E67F5B" w:rsidRDefault="00E67F5B" w:rsidP="002A198E">
      <w:pPr>
        <w:widowControl w:val="0"/>
        <w:rPr>
          <w:lang w:val="en-CA"/>
        </w:rPr>
      </w:pPr>
    </w:p>
    <w:p w14:paraId="5D58A3FA" w14:textId="4FB09DF4" w:rsidR="00A226E9" w:rsidRPr="002A198E" w:rsidRDefault="002465B0" w:rsidP="002A198E">
      <w:pPr>
        <w:widowControl w:val="0"/>
        <w:rPr>
          <w:lang w:val="en-CA"/>
        </w:rPr>
      </w:pPr>
      <w:r>
        <w:rPr>
          <w:lang w:val="en-CA"/>
        </w:rPr>
        <w:t>Just o</w:t>
      </w:r>
      <w:r w:rsidR="00432A5D">
        <w:rPr>
          <w:lang w:val="en-CA"/>
        </w:rPr>
        <w:t xml:space="preserve">ne </w:t>
      </w:r>
      <w:r w:rsidR="00A226E9" w:rsidRPr="002A198E">
        <w:rPr>
          <w:lang w:val="en-CA"/>
        </w:rPr>
        <w:t>new ramp</w:t>
      </w:r>
      <w:r w:rsidR="00A226E9">
        <w:rPr>
          <w:lang w:val="en-CA"/>
        </w:rPr>
        <w:t>,</w:t>
      </w:r>
      <w:r w:rsidR="00A226E9" w:rsidRPr="002A198E">
        <w:rPr>
          <w:lang w:val="en-CA"/>
        </w:rPr>
        <w:t xml:space="preserve"> installed somewhere in </w:t>
      </w:r>
      <w:r w:rsidR="003C785D" w:rsidRPr="002A198E">
        <w:rPr>
          <w:lang w:val="en-CA"/>
        </w:rPr>
        <w:t>Canada</w:t>
      </w:r>
      <w:r w:rsidR="003C785D">
        <w:rPr>
          <w:lang w:val="en-CA"/>
        </w:rPr>
        <w:t>, or</w:t>
      </w:r>
      <w:r w:rsidR="002B0776">
        <w:rPr>
          <w:lang w:val="en-CA"/>
        </w:rPr>
        <w:t xml:space="preserve"> </w:t>
      </w:r>
      <w:r w:rsidR="00085D2F">
        <w:rPr>
          <w:lang w:val="en-CA"/>
        </w:rPr>
        <w:t xml:space="preserve">just </w:t>
      </w:r>
      <w:r w:rsidR="00EF15DC">
        <w:rPr>
          <w:lang w:val="en-CA"/>
        </w:rPr>
        <w:t xml:space="preserve">one </w:t>
      </w:r>
      <w:r w:rsidR="002B0776">
        <w:rPr>
          <w:lang w:val="en-CA"/>
        </w:rPr>
        <w:t xml:space="preserve">retrofitted website, entirely </w:t>
      </w:r>
      <w:r w:rsidR="00A226E9" w:rsidRPr="002A198E">
        <w:rPr>
          <w:lang w:val="en-CA"/>
        </w:rPr>
        <w:t>fulfil</w:t>
      </w:r>
      <w:r w:rsidR="00A226E9">
        <w:rPr>
          <w:lang w:val="en-CA"/>
        </w:rPr>
        <w:t>s</w:t>
      </w:r>
      <w:r w:rsidR="00A226E9" w:rsidRPr="002A198E">
        <w:rPr>
          <w:lang w:val="en-CA"/>
        </w:rPr>
        <w:t xml:space="preserve"> that feeble goal.</w:t>
      </w:r>
      <w:r w:rsidR="00265473">
        <w:rPr>
          <w:lang w:val="en-CA"/>
        </w:rPr>
        <w:t xml:space="preserve"> Moreover, achievement of accessibility requires both </w:t>
      </w:r>
      <w:r w:rsidR="00432A5D">
        <w:rPr>
          <w:lang w:val="en-CA"/>
        </w:rPr>
        <w:t xml:space="preserve">removing </w:t>
      </w:r>
      <w:r w:rsidR="00265473">
        <w:rPr>
          <w:lang w:val="en-CA"/>
        </w:rPr>
        <w:t xml:space="preserve">existing barriers </w:t>
      </w:r>
      <w:r w:rsidR="00265473" w:rsidRPr="00432A5D">
        <w:rPr>
          <w:i/>
          <w:lang w:val="en-CA"/>
        </w:rPr>
        <w:t>and</w:t>
      </w:r>
      <w:r w:rsidR="00265473">
        <w:rPr>
          <w:lang w:val="en-CA"/>
        </w:rPr>
        <w:t xml:space="preserve"> prevent</w:t>
      </w:r>
      <w:r w:rsidR="00432A5D">
        <w:rPr>
          <w:lang w:val="en-CA"/>
        </w:rPr>
        <w:t>ing</w:t>
      </w:r>
      <w:r w:rsidR="00265473">
        <w:rPr>
          <w:lang w:val="en-CA"/>
        </w:rPr>
        <w:t xml:space="preserve"> new barriers.</w:t>
      </w:r>
      <w:r w:rsidR="00A226E9" w:rsidRPr="002A198E">
        <w:rPr>
          <w:lang w:val="en-CA"/>
        </w:rPr>
        <w:t xml:space="preserve"> </w:t>
      </w:r>
    </w:p>
    <w:p w14:paraId="2C979752" w14:textId="77777777" w:rsidR="00A226E9" w:rsidRPr="002A198E" w:rsidRDefault="00A226E9" w:rsidP="002A198E">
      <w:pPr>
        <w:widowControl w:val="0"/>
        <w:rPr>
          <w:lang w:val="en-CA"/>
        </w:rPr>
      </w:pPr>
    </w:p>
    <w:p w14:paraId="4E94F509" w14:textId="240AC371" w:rsidR="00A226E9" w:rsidRPr="002A198E" w:rsidRDefault="00A226E9" w:rsidP="002A198E">
      <w:pPr>
        <w:widowControl w:val="0"/>
        <w:rPr>
          <w:lang w:val="en-CA"/>
        </w:rPr>
      </w:pPr>
      <w:r w:rsidRPr="002A198E">
        <w:rPr>
          <w:lang w:val="en-CA"/>
        </w:rPr>
        <w:t xml:space="preserve">It </w:t>
      </w:r>
      <w:r>
        <w:rPr>
          <w:lang w:val="en-CA"/>
        </w:rPr>
        <w:t xml:space="preserve">is </w:t>
      </w:r>
      <w:r w:rsidR="00E67F5B">
        <w:rPr>
          <w:lang w:val="en-CA"/>
        </w:rPr>
        <w:t xml:space="preserve">grossly </w:t>
      </w:r>
      <w:r w:rsidRPr="002A198E">
        <w:rPr>
          <w:lang w:val="en-CA"/>
        </w:rPr>
        <w:t xml:space="preserve">insufficient for the </w:t>
      </w:r>
      <w:r>
        <w:rPr>
          <w:lang w:val="en-CA"/>
        </w:rPr>
        <w:t xml:space="preserve">CDA </w:t>
      </w:r>
      <w:r w:rsidRPr="002A198E">
        <w:rPr>
          <w:lang w:val="en-CA"/>
        </w:rPr>
        <w:t xml:space="preserve">to aim </w:t>
      </w:r>
      <w:r w:rsidR="00BB5F9C">
        <w:rPr>
          <w:lang w:val="en-CA"/>
        </w:rPr>
        <w:t xml:space="preserve">just </w:t>
      </w:r>
      <w:r>
        <w:rPr>
          <w:lang w:val="en-CA"/>
        </w:rPr>
        <w:t xml:space="preserve">to </w:t>
      </w:r>
      <w:r w:rsidRPr="002A198E">
        <w:rPr>
          <w:lang w:val="en-CA"/>
        </w:rPr>
        <w:t xml:space="preserve">make Canada the most accessible country in the world. </w:t>
      </w:r>
      <w:r>
        <w:rPr>
          <w:lang w:val="en-CA"/>
        </w:rPr>
        <w:t>That</w:t>
      </w:r>
      <w:r w:rsidRPr="002A198E">
        <w:rPr>
          <w:lang w:val="en-CA"/>
        </w:rPr>
        <w:t xml:space="preserve"> only requires Canada </w:t>
      </w:r>
      <w:r w:rsidR="00BB5F9C">
        <w:rPr>
          <w:lang w:val="en-CA"/>
        </w:rPr>
        <w:t xml:space="preserve">to </w:t>
      </w:r>
      <w:r w:rsidRPr="002A198E">
        <w:rPr>
          <w:lang w:val="en-CA"/>
        </w:rPr>
        <w:t xml:space="preserve">be slightly </w:t>
      </w:r>
      <w:r w:rsidR="00BB5F9C">
        <w:rPr>
          <w:lang w:val="en-CA"/>
        </w:rPr>
        <w:t xml:space="preserve">better </w:t>
      </w:r>
      <w:r w:rsidRPr="002A198E">
        <w:rPr>
          <w:lang w:val="en-CA"/>
        </w:rPr>
        <w:t xml:space="preserve">than other countries, no matter how </w:t>
      </w:r>
      <w:r>
        <w:rPr>
          <w:lang w:val="en-CA"/>
        </w:rPr>
        <w:t xml:space="preserve">inaccessible </w:t>
      </w:r>
      <w:r w:rsidR="00BB5F9C">
        <w:rPr>
          <w:lang w:val="en-CA"/>
        </w:rPr>
        <w:t>they are</w:t>
      </w:r>
      <w:r w:rsidRPr="002A198E">
        <w:rPr>
          <w:lang w:val="en-CA"/>
        </w:rPr>
        <w:t xml:space="preserve">. </w:t>
      </w:r>
      <w:r>
        <w:rPr>
          <w:lang w:val="en-CA"/>
        </w:rPr>
        <w:t>I</w:t>
      </w:r>
      <w:r w:rsidRPr="002A198E">
        <w:rPr>
          <w:lang w:val="en-CA"/>
        </w:rPr>
        <w:t xml:space="preserve">t would </w:t>
      </w:r>
      <w:r w:rsidR="00B10A24">
        <w:rPr>
          <w:lang w:val="en-CA"/>
        </w:rPr>
        <w:t xml:space="preserve">leave </w:t>
      </w:r>
      <w:r w:rsidRPr="002A198E">
        <w:rPr>
          <w:lang w:val="en-CA"/>
        </w:rPr>
        <w:t xml:space="preserve">people with disabilities forever frozen out of much of society’s mainstream. Canada’s </w:t>
      </w:r>
      <w:r w:rsidRPr="002321B2">
        <w:rPr>
          <w:i/>
          <w:lang w:val="en-CA"/>
        </w:rPr>
        <w:t>Charter</w:t>
      </w:r>
      <w:r w:rsidRPr="002A198E">
        <w:rPr>
          <w:lang w:val="en-CA"/>
        </w:rPr>
        <w:t xml:space="preserve"> and human rights laws </w:t>
      </w:r>
      <w:r w:rsidR="00BB5F9C">
        <w:rPr>
          <w:lang w:val="en-CA"/>
        </w:rPr>
        <w:t xml:space="preserve">require </w:t>
      </w:r>
      <w:r w:rsidRPr="002A198E">
        <w:rPr>
          <w:lang w:val="en-CA"/>
        </w:rPr>
        <w:t>much mor</w:t>
      </w:r>
      <w:r>
        <w:rPr>
          <w:lang w:val="en-CA"/>
        </w:rPr>
        <w:t>e</w:t>
      </w:r>
      <w:r w:rsidRPr="002A198E">
        <w:rPr>
          <w:lang w:val="en-CA"/>
        </w:rPr>
        <w:t xml:space="preserve">. </w:t>
      </w:r>
    </w:p>
    <w:p w14:paraId="438948B7" w14:textId="77777777" w:rsidR="00A226E9" w:rsidRPr="002A198E" w:rsidRDefault="00A226E9" w:rsidP="002A198E">
      <w:pPr>
        <w:widowControl w:val="0"/>
        <w:rPr>
          <w:lang w:val="en-CA"/>
        </w:rPr>
      </w:pPr>
    </w:p>
    <w:p w14:paraId="04B76448" w14:textId="4FEB251E" w:rsidR="00A226E9" w:rsidRPr="002A198E" w:rsidRDefault="00A226E9" w:rsidP="002A198E">
      <w:pPr>
        <w:widowControl w:val="0"/>
        <w:rPr>
          <w:lang w:val="en-CA"/>
        </w:rPr>
      </w:pPr>
      <w:r>
        <w:rPr>
          <w:lang w:val="en-CA"/>
        </w:rPr>
        <w:t>T</w:t>
      </w:r>
      <w:r w:rsidRPr="002A198E">
        <w:rPr>
          <w:lang w:val="en-CA"/>
        </w:rPr>
        <w:t xml:space="preserve">he only </w:t>
      </w:r>
      <w:r>
        <w:rPr>
          <w:lang w:val="en-CA"/>
        </w:rPr>
        <w:t xml:space="preserve">relevant </w:t>
      </w:r>
      <w:r w:rsidRPr="002A198E">
        <w:rPr>
          <w:lang w:val="en-CA"/>
        </w:rPr>
        <w:t xml:space="preserve">question is how long Parliament should give Canada to reach </w:t>
      </w:r>
      <w:r>
        <w:rPr>
          <w:lang w:val="en-CA"/>
        </w:rPr>
        <w:t>full accessibility.</w:t>
      </w:r>
      <w:r w:rsidRPr="002A198E">
        <w:rPr>
          <w:lang w:val="en-CA"/>
        </w:rPr>
        <w:t xml:space="preserve"> Thus, the </w:t>
      </w:r>
      <w:r>
        <w:rPr>
          <w:lang w:val="en-CA"/>
        </w:rPr>
        <w:t xml:space="preserve">CDA's </w:t>
      </w:r>
      <w:r w:rsidRPr="002A198E">
        <w:rPr>
          <w:lang w:val="en-CA"/>
        </w:rPr>
        <w:t xml:space="preserve">purpose clause should set the deadline by which Canada should become fully accessible </w:t>
      </w:r>
      <w:r w:rsidR="009F388D">
        <w:rPr>
          <w:lang w:val="en-CA"/>
        </w:rPr>
        <w:t>to people with disabilities, inso</w:t>
      </w:r>
      <w:r w:rsidRPr="002A198E">
        <w:rPr>
          <w:lang w:val="en-CA"/>
        </w:rPr>
        <w:t>far as Parliament can advance this goal. If it sets no deadline, then full accessibility is relegated to the indefinite future. Human nature dictates that government and private organizations achieve the most when fac</w:t>
      </w:r>
      <w:r w:rsidR="00BB5F9C">
        <w:rPr>
          <w:lang w:val="en-CA"/>
        </w:rPr>
        <w:t>ing</w:t>
      </w:r>
      <w:r w:rsidRPr="002A198E">
        <w:rPr>
          <w:lang w:val="en-CA"/>
        </w:rPr>
        <w:t xml:space="preserve"> deadline</w:t>
      </w:r>
      <w:r w:rsidR="00C827DB">
        <w:rPr>
          <w:lang w:val="en-CA"/>
        </w:rPr>
        <w:t>s</w:t>
      </w:r>
      <w:r w:rsidRPr="002A198E">
        <w:rPr>
          <w:lang w:val="en-CA"/>
        </w:rPr>
        <w:t xml:space="preserve">. </w:t>
      </w:r>
    </w:p>
    <w:p w14:paraId="0A8EE2CB" w14:textId="77777777" w:rsidR="00A226E9" w:rsidRPr="002A198E" w:rsidRDefault="00A226E9" w:rsidP="002A198E">
      <w:pPr>
        <w:widowControl w:val="0"/>
        <w:rPr>
          <w:lang w:val="en-CA"/>
        </w:rPr>
      </w:pPr>
    </w:p>
    <w:p w14:paraId="269F47E9" w14:textId="77777777" w:rsidR="00265473" w:rsidRDefault="00A226E9" w:rsidP="002A198E">
      <w:pPr>
        <w:widowControl w:val="0"/>
        <w:rPr>
          <w:lang w:val="en-CA"/>
        </w:rPr>
      </w:pPr>
      <w:r w:rsidRPr="002A198E">
        <w:rPr>
          <w:lang w:val="en-CA"/>
        </w:rPr>
        <w:t>In 2005, Ontario’s AODA commendably set 2025 as the full accessibility</w:t>
      </w:r>
      <w:r w:rsidR="00C42919">
        <w:rPr>
          <w:lang w:val="en-CA"/>
        </w:rPr>
        <w:t xml:space="preserve"> deadline</w:t>
      </w:r>
      <w:r w:rsidRPr="002A198E">
        <w:rPr>
          <w:lang w:val="en-CA"/>
        </w:rPr>
        <w:t>.</w:t>
      </w:r>
      <w:r>
        <w:rPr>
          <w:rStyle w:val="EndnoteReference"/>
          <w:lang w:val="en-CA"/>
        </w:rPr>
        <w:endnoteReference w:id="28"/>
      </w:r>
      <w:r w:rsidRPr="002A198E">
        <w:rPr>
          <w:lang w:val="en-CA"/>
        </w:rPr>
        <w:t xml:space="preserve"> That </w:t>
      </w:r>
      <w:r w:rsidR="00C410C1">
        <w:rPr>
          <w:lang w:val="en-CA"/>
        </w:rPr>
        <w:t xml:space="preserve">is </w:t>
      </w:r>
      <w:r>
        <w:rPr>
          <w:lang w:val="en-CA"/>
        </w:rPr>
        <w:t xml:space="preserve">pivotal </w:t>
      </w:r>
      <w:r w:rsidRPr="002A198E">
        <w:rPr>
          <w:lang w:val="en-CA"/>
        </w:rPr>
        <w:t xml:space="preserve">to the AODA’s implementation and to assessing </w:t>
      </w:r>
      <w:r>
        <w:rPr>
          <w:lang w:val="en-CA"/>
        </w:rPr>
        <w:t xml:space="preserve">its </w:t>
      </w:r>
      <w:r w:rsidRPr="002A198E">
        <w:rPr>
          <w:lang w:val="en-CA"/>
        </w:rPr>
        <w:t>effectiveness</w:t>
      </w:r>
      <w:r>
        <w:rPr>
          <w:lang w:val="en-CA"/>
        </w:rPr>
        <w:t>.</w:t>
      </w:r>
      <w:r w:rsidRPr="002A198E">
        <w:rPr>
          <w:lang w:val="en-CA"/>
        </w:rPr>
        <w:t xml:space="preserve"> </w:t>
      </w:r>
    </w:p>
    <w:p w14:paraId="47967808" w14:textId="77777777" w:rsidR="00265473" w:rsidRDefault="00265473" w:rsidP="002A198E">
      <w:pPr>
        <w:widowControl w:val="0"/>
        <w:rPr>
          <w:lang w:val="en-CA"/>
        </w:rPr>
      </w:pPr>
    </w:p>
    <w:p w14:paraId="7287A232" w14:textId="77777777" w:rsidR="00A226E9" w:rsidRPr="002A198E" w:rsidRDefault="00A226E9" w:rsidP="002A198E">
      <w:pPr>
        <w:widowControl w:val="0"/>
        <w:rPr>
          <w:lang w:val="en-CA"/>
        </w:rPr>
      </w:pPr>
      <w:r w:rsidRPr="002A198E">
        <w:rPr>
          <w:lang w:val="en-CA"/>
        </w:rPr>
        <w:t>The Ontario Government, obligated organizations, people with disabilities, the public and the media</w:t>
      </w:r>
      <w:r>
        <w:rPr>
          <w:lang w:val="en-CA"/>
        </w:rPr>
        <w:t xml:space="preserve"> can</w:t>
      </w:r>
      <w:r w:rsidRPr="002A198E">
        <w:rPr>
          <w:lang w:val="en-CA"/>
        </w:rPr>
        <w:t xml:space="preserve"> ask if Ontario is on schedule for full accessibility by 2025. They can ask whether a proposed AODA accessibility standard ensure</w:t>
      </w:r>
      <w:r w:rsidR="002F09E4">
        <w:rPr>
          <w:lang w:val="en-CA"/>
        </w:rPr>
        <w:t>s</w:t>
      </w:r>
      <w:r w:rsidRPr="002A198E">
        <w:rPr>
          <w:lang w:val="en-CA"/>
        </w:rPr>
        <w:t xml:space="preserve"> that full accessibility in the area it regulates will be achieved by 2025. If it doesn’t, it is clear that more is needed.</w:t>
      </w:r>
    </w:p>
    <w:p w14:paraId="58664974" w14:textId="77777777" w:rsidR="00A226E9" w:rsidRPr="002A198E" w:rsidRDefault="00A226E9" w:rsidP="002A198E">
      <w:pPr>
        <w:widowControl w:val="0"/>
        <w:rPr>
          <w:lang w:val="en-CA"/>
        </w:rPr>
      </w:pPr>
    </w:p>
    <w:p w14:paraId="671CD98E" w14:textId="6152C6EB" w:rsidR="00A226E9" w:rsidRPr="002A198E" w:rsidRDefault="00A226E9" w:rsidP="002A198E">
      <w:pPr>
        <w:widowControl w:val="0"/>
        <w:rPr>
          <w:lang w:val="en-CA"/>
        </w:rPr>
      </w:pPr>
      <w:r w:rsidRPr="002A198E">
        <w:rPr>
          <w:lang w:val="en-CA"/>
        </w:rPr>
        <w:t xml:space="preserve">The deadline must give obligated organizations enough time to reach full accessibility. It should not be so distant to </w:t>
      </w:r>
      <w:r w:rsidR="00C410C1">
        <w:rPr>
          <w:lang w:val="en-CA"/>
        </w:rPr>
        <w:t xml:space="preserve">encourage </w:t>
      </w:r>
      <w:r w:rsidRPr="002A198E">
        <w:rPr>
          <w:lang w:val="en-CA"/>
        </w:rPr>
        <w:t xml:space="preserve">procrastination. It should </w:t>
      </w:r>
      <w:r w:rsidR="002F09E4">
        <w:rPr>
          <w:lang w:val="en-CA"/>
        </w:rPr>
        <w:t xml:space="preserve">necessitate </w:t>
      </w:r>
      <w:r w:rsidRPr="002A198E">
        <w:rPr>
          <w:lang w:val="en-CA"/>
        </w:rPr>
        <w:t>immediate action on readily achievable barrier-removable an</w:t>
      </w:r>
      <w:r w:rsidR="009F388D">
        <w:rPr>
          <w:lang w:val="en-CA"/>
        </w:rPr>
        <w:t>d prevention. It should counter</w:t>
      </w:r>
      <w:r w:rsidRPr="002A198E">
        <w:rPr>
          <w:lang w:val="en-CA"/>
        </w:rPr>
        <w:t>act large organizations’ tendency to bog down in delay</w:t>
      </w:r>
      <w:r w:rsidR="00471EC1">
        <w:rPr>
          <w:lang w:val="en-CA"/>
        </w:rPr>
        <w:t xml:space="preserve"> </w:t>
      </w:r>
      <w:r w:rsidRPr="002A198E">
        <w:rPr>
          <w:lang w:val="en-CA"/>
        </w:rPr>
        <w:t xml:space="preserve">and bureaucracy. </w:t>
      </w:r>
    </w:p>
    <w:p w14:paraId="58D3046F" w14:textId="77777777" w:rsidR="00A226E9" w:rsidRPr="002A198E" w:rsidRDefault="00A226E9" w:rsidP="002A198E">
      <w:pPr>
        <w:widowControl w:val="0"/>
        <w:rPr>
          <w:lang w:val="en-CA"/>
        </w:rPr>
      </w:pPr>
    </w:p>
    <w:p w14:paraId="325E0D16" w14:textId="77777777" w:rsidR="00A226E9" w:rsidRPr="002A198E" w:rsidRDefault="00A226E9" w:rsidP="002A198E">
      <w:pPr>
        <w:pStyle w:val="Heading2"/>
        <w:keepNext w:val="0"/>
        <w:keepLines w:val="0"/>
        <w:widowControl w:val="0"/>
        <w:spacing w:before="0"/>
        <w:rPr>
          <w:lang w:val="en-CA"/>
        </w:rPr>
      </w:pPr>
      <w:bookmarkStart w:id="8" w:name="_Toc319660879"/>
      <w:r w:rsidRPr="002A198E">
        <w:rPr>
          <w:lang w:val="en-CA"/>
        </w:rPr>
        <w:t>b) Ensuring All Federally-</w:t>
      </w:r>
      <w:r w:rsidR="00124F5F">
        <w:rPr>
          <w:lang w:val="en-CA"/>
        </w:rPr>
        <w:t xml:space="preserve">Reachable </w:t>
      </w:r>
      <w:r w:rsidRPr="002A198E">
        <w:rPr>
          <w:lang w:val="en-CA"/>
        </w:rPr>
        <w:t>Organizations Provide Accessible Goods, Services, Facilities and Employment</w:t>
      </w:r>
      <w:bookmarkEnd w:id="8"/>
    </w:p>
    <w:p w14:paraId="5D28DB02" w14:textId="77777777" w:rsidR="00A226E9" w:rsidRPr="002A198E" w:rsidRDefault="00A226E9" w:rsidP="002A198E">
      <w:pPr>
        <w:widowControl w:val="0"/>
        <w:rPr>
          <w:lang w:val="en-CA"/>
        </w:rPr>
      </w:pPr>
    </w:p>
    <w:p w14:paraId="0366C9A6" w14:textId="77777777" w:rsidR="00A226E9" w:rsidRPr="002A198E" w:rsidRDefault="00A226E9" w:rsidP="002A198E">
      <w:pPr>
        <w:widowControl w:val="0"/>
        <w:rPr>
          <w:lang w:val="en-CA"/>
        </w:rPr>
      </w:pPr>
      <w:r w:rsidRPr="002A198E">
        <w:rPr>
          <w:lang w:val="en-CA"/>
        </w:rPr>
        <w:t xml:space="preserve">The </w:t>
      </w:r>
      <w:r>
        <w:rPr>
          <w:lang w:val="en-CA"/>
        </w:rPr>
        <w:t xml:space="preserve">CDA </w:t>
      </w:r>
      <w:r w:rsidRPr="002A198E">
        <w:rPr>
          <w:lang w:val="en-CA"/>
        </w:rPr>
        <w:t xml:space="preserve">should regulate all barriers Parliament </w:t>
      </w:r>
      <w:r>
        <w:rPr>
          <w:lang w:val="en-CA"/>
        </w:rPr>
        <w:t>can address</w:t>
      </w:r>
      <w:r w:rsidRPr="002A198E">
        <w:rPr>
          <w:lang w:val="en-CA"/>
        </w:rPr>
        <w:t xml:space="preserve">. It should address accessibility of goods, services, facilities and employment within federal regulatory reach. Barrier-Free </w:t>
      </w:r>
      <w:r w:rsidRPr="002A198E">
        <w:rPr>
          <w:lang w:val="en-CA"/>
        </w:rPr>
        <w:lastRenderedPageBreak/>
        <w:t>Canada’s 14 Principles include:</w:t>
      </w:r>
    </w:p>
    <w:p w14:paraId="1952AAB1" w14:textId="77777777" w:rsidR="00A226E9" w:rsidRPr="002A198E" w:rsidRDefault="00A226E9" w:rsidP="002A198E">
      <w:pPr>
        <w:widowControl w:val="0"/>
        <w:rPr>
          <w:lang w:val="en-CA"/>
        </w:rPr>
      </w:pPr>
    </w:p>
    <w:p w14:paraId="136B036C" w14:textId="238AC838" w:rsidR="0029034B" w:rsidRDefault="0029034B" w:rsidP="0029034B">
      <w:pPr>
        <w:widowControl w:val="0"/>
        <w:ind w:left="720" w:right="720"/>
        <w:rPr>
          <w:lang w:val="en-CA"/>
        </w:rPr>
      </w:pPr>
      <w:r>
        <w:rPr>
          <w:lang w:val="en-CA"/>
        </w:rPr>
        <w:t>"2. It should apply to the Parliament of Canada as well as to all federal government entities, federally-owned public premises and facilities, federally-regulated companies and organizations, recipients of federal grants, subsidies, loans or other funds, and any other persons or organizations to whom the Gov</w:t>
      </w:r>
      <w:r w:rsidR="008A4980">
        <w:rPr>
          <w:lang w:val="en-CA"/>
        </w:rPr>
        <w:t>ernment of Canada can apply it</w:t>
      </w:r>
      <w:r w:rsidR="00B50BC5">
        <w:rPr>
          <w:lang w:val="en-CA"/>
        </w:rPr>
        <w:t>…</w:t>
      </w:r>
    </w:p>
    <w:p w14:paraId="0B6F05C7" w14:textId="77777777" w:rsidR="0029034B" w:rsidRDefault="0029034B" w:rsidP="0029034B">
      <w:pPr>
        <w:widowControl w:val="0"/>
        <w:rPr>
          <w:lang w:val="en-CA"/>
        </w:rPr>
      </w:pPr>
    </w:p>
    <w:p w14:paraId="3D3D57F8" w14:textId="77777777" w:rsidR="00A226E9" w:rsidRPr="002A198E" w:rsidRDefault="0029034B" w:rsidP="0029034B">
      <w:pPr>
        <w:widowControl w:val="0"/>
        <w:ind w:left="720" w:right="720"/>
        <w:rPr>
          <w:lang w:val="en-CA"/>
        </w:rPr>
      </w:pPr>
      <w:r>
        <w:rPr>
          <w:lang w:val="en-CA"/>
        </w:rPr>
        <w:t>…</w:t>
      </w:r>
      <w:r w:rsidR="00A226E9" w:rsidRPr="002A198E">
        <w:rPr>
          <w:lang w:val="en-CA"/>
        </w:rPr>
        <w:t>5. The Canadians with Disabilities Act should require providers of goods, services and facilities to whom the Act applies to ensure that their goods, services and facilities are fully usable by persons with disabilities, and that they are designed based on principles of universal design, to accommodate the needs of persons with disabilities. Providers of these goods, services and facilities should be required to devise and implement detailed plans to remove existing barriers and to prevent new barriers within legislated timetables;</w:t>
      </w:r>
    </w:p>
    <w:p w14:paraId="7564932B" w14:textId="77777777" w:rsidR="00A226E9" w:rsidRPr="002A198E" w:rsidRDefault="00A226E9" w:rsidP="002A198E">
      <w:pPr>
        <w:widowControl w:val="0"/>
        <w:rPr>
          <w:lang w:val="en-CA"/>
        </w:rPr>
      </w:pPr>
    </w:p>
    <w:p w14:paraId="2E6EBCCD" w14:textId="77777777" w:rsidR="00A226E9" w:rsidRPr="002A198E" w:rsidRDefault="00A226E9" w:rsidP="000D0411">
      <w:pPr>
        <w:widowControl w:val="0"/>
        <w:ind w:left="720" w:right="720"/>
        <w:rPr>
          <w:lang w:val="en-CA"/>
        </w:rPr>
      </w:pPr>
      <w:r w:rsidRPr="002A198E">
        <w:rPr>
          <w:lang w:val="en-CA"/>
        </w:rPr>
        <w:t>6. The Canadians with Disabilities Act should require organizations to whom it applies to take proactive steps to achieve barrier-free workplaces and employment within prescribed time limits. Among other things, those employers should be required to identify existing employment and workplace barriers which impede persons with disabilities, and then to devise and implement plans for the removal of these barriers, and for the prevention of new workplace and employment barriers</w:t>
      </w:r>
      <w:r>
        <w:rPr>
          <w:lang w:val="en-CA"/>
        </w:rPr>
        <w:t>.</w:t>
      </w:r>
      <w:r w:rsidRPr="002A198E">
        <w:rPr>
          <w:lang w:val="en-CA"/>
        </w:rPr>
        <w:t>”</w:t>
      </w:r>
    </w:p>
    <w:p w14:paraId="694DD8C4" w14:textId="77777777" w:rsidR="00A226E9" w:rsidRPr="002A198E" w:rsidRDefault="00A226E9" w:rsidP="002A198E">
      <w:pPr>
        <w:widowControl w:val="0"/>
        <w:rPr>
          <w:lang w:val="en-CA"/>
        </w:rPr>
      </w:pPr>
    </w:p>
    <w:p w14:paraId="6A81BE4D" w14:textId="74D0A879" w:rsidR="00A226E9" w:rsidRPr="002A198E" w:rsidRDefault="00342224" w:rsidP="002A198E">
      <w:pPr>
        <w:widowControl w:val="0"/>
        <w:rPr>
          <w:lang w:val="en-CA"/>
        </w:rPr>
      </w:pPr>
      <w:r>
        <w:rPr>
          <w:lang w:val="en-CA"/>
        </w:rPr>
        <w:t xml:space="preserve">The CDA should extend </w:t>
      </w:r>
      <w:r w:rsidR="002674D8">
        <w:rPr>
          <w:lang w:val="en-CA"/>
        </w:rPr>
        <w:t xml:space="preserve">its reach </w:t>
      </w:r>
      <w:r>
        <w:rPr>
          <w:lang w:val="en-CA"/>
        </w:rPr>
        <w:t xml:space="preserve">to </w:t>
      </w:r>
      <w:r w:rsidR="0029034B">
        <w:rPr>
          <w:lang w:val="en-CA"/>
        </w:rPr>
        <w:t xml:space="preserve">all organizations </w:t>
      </w:r>
      <w:r w:rsidR="00370E99">
        <w:rPr>
          <w:lang w:val="en-CA"/>
        </w:rPr>
        <w:t xml:space="preserve">that </w:t>
      </w:r>
      <w:r w:rsidR="0029034B">
        <w:rPr>
          <w:lang w:val="en-CA"/>
        </w:rPr>
        <w:t xml:space="preserve">the Federal Government can reach, </w:t>
      </w:r>
      <w:r>
        <w:rPr>
          <w:lang w:val="en-CA"/>
        </w:rPr>
        <w:t>including organization</w:t>
      </w:r>
      <w:r w:rsidR="00770DDC">
        <w:rPr>
          <w:lang w:val="en-CA"/>
        </w:rPr>
        <w:t>s</w:t>
      </w:r>
      <w:r>
        <w:rPr>
          <w:lang w:val="en-CA"/>
        </w:rPr>
        <w:t xml:space="preserve"> receiv</w:t>
      </w:r>
      <w:r w:rsidR="00770DDC">
        <w:rPr>
          <w:lang w:val="en-CA"/>
        </w:rPr>
        <w:t>ing</w:t>
      </w:r>
      <w:r>
        <w:rPr>
          <w:lang w:val="en-CA"/>
        </w:rPr>
        <w:t xml:space="preserve"> federal funding, to which CDA accessibility conditions can be attached. </w:t>
      </w:r>
      <w:r w:rsidR="00A226E9" w:rsidRPr="002A198E">
        <w:rPr>
          <w:lang w:val="en-CA"/>
        </w:rPr>
        <w:t>Addressed below</w:t>
      </w:r>
      <w:r w:rsidR="00AF05CD">
        <w:rPr>
          <w:lang w:val="en-CA"/>
        </w:rPr>
        <w:t xml:space="preserve"> under the heading "</w:t>
      </w:r>
      <w:r w:rsidR="00AF05CD" w:rsidRPr="00AF05CD">
        <w:rPr>
          <w:lang w:val="en-CA"/>
        </w:rPr>
        <w:t>Assisting and Encouraging Provincial and Territorial Governments to Enact Comprehensive Accessibility Legislation</w:t>
      </w:r>
      <w:r w:rsidR="00AF05CD">
        <w:rPr>
          <w:lang w:val="en-CA"/>
        </w:rPr>
        <w:t>"</w:t>
      </w:r>
      <w:r w:rsidR="00A226E9" w:rsidRPr="002A198E">
        <w:rPr>
          <w:lang w:val="en-CA"/>
        </w:rPr>
        <w:t>,</w:t>
      </w:r>
      <w:r w:rsidR="00C07108">
        <w:rPr>
          <w:lang w:val="en-CA"/>
        </w:rPr>
        <w:t xml:space="preserve"> </w:t>
      </w:r>
      <w:r w:rsidR="00A226E9" w:rsidRPr="002A198E">
        <w:rPr>
          <w:lang w:val="en-CA"/>
        </w:rPr>
        <w:t xml:space="preserve">the </w:t>
      </w:r>
      <w:r w:rsidR="00A226E9">
        <w:rPr>
          <w:lang w:val="en-CA"/>
        </w:rPr>
        <w:t xml:space="preserve">CDA </w:t>
      </w:r>
      <w:r w:rsidR="00A226E9" w:rsidRPr="002A198E">
        <w:rPr>
          <w:lang w:val="en-CA"/>
        </w:rPr>
        <w:t xml:space="preserve">should </w:t>
      </w:r>
      <w:r w:rsidR="00296F7C">
        <w:rPr>
          <w:lang w:val="en-CA"/>
        </w:rPr>
        <w:t xml:space="preserve">also </w:t>
      </w:r>
      <w:r w:rsidR="00C07108">
        <w:rPr>
          <w:lang w:val="en-CA"/>
        </w:rPr>
        <w:t xml:space="preserve">do what it can to </w:t>
      </w:r>
      <w:r w:rsidR="00A226E9" w:rsidRPr="002A198E">
        <w:rPr>
          <w:lang w:val="en-CA"/>
        </w:rPr>
        <w:t>address barriers</w:t>
      </w:r>
      <w:r w:rsidR="00A226E9">
        <w:rPr>
          <w:lang w:val="en-CA"/>
        </w:rPr>
        <w:t xml:space="preserve"> </w:t>
      </w:r>
      <w:r w:rsidR="00A226E9" w:rsidRPr="002A198E">
        <w:rPr>
          <w:lang w:val="en-CA"/>
        </w:rPr>
        <w:t xml:space="preserve">within </w:t>
      </w:r>
      <w:r w:rsidR="00A226E9">
        <w:rPr>
          <w:lang w:val="en-CA"/>
        </w:rPr>
        <w:t xml:space="preserve">provincial jurisdiction, </w:t>
      </w:r>
      <w:r w:rsidR="00A226E9" w:rsidRPr="002A198E">
        <w:rPr>
          <w:lang w:val="en-CA"/>
        </w:rPr>
        <w:t xml:space="preserve">in a manner </w:t>
      </w:r>
      <w:r w:rsidR="00E60D42">
        <w:rPr>
          <w:lang w:val="en-CA"/>
        </w:rPr>
        <w:t xml:space="preserve">that </w:t>
      </w:r>
      <w:r w:rsidR="00A226E9" w:rsidRPr="002A198E">
        <w:rPr>
          <w:lang w:val="en-CA"/>
        </w:rPr>
        <w:t>respect</w:t>
      </w:r>
      <w:r w:rsidR="00E60D42">
        <w:rPr>
          <w:lang w:val="en-CA"/>
        </w:rPr>
        <w:t>s</w:t>
      </w:r>
      <w:r w:rsidR="00A226E9" w:rsidRPr="002A198E">
        <w:rPr>
          <w:lang w:val="en-CA"/>
        </w:rPr>
        <w:t xml:space="preserve"> provincial authority.</w:t>
      </w:r>
    </w:p>
    <w:p w14:paraId="0E6E8DC8" w14:textId="77777777" w:rsidR="00A226E9" w:rsidRPr="002A198E" w:rsidRDefault="00A226E9" w:rsidP="002A198E">
      <w:pPr>
        <w:widowControl w:val="0"/>
        <w:rPr>
          <w:lang w:val="en-CA"/>
        </w:rPr>
      </w:pPr>
    </w:p>
    <w:p w14:paraId="4241E428" w14:textId="544E7636" w:rsidR="00A226E9" w:rsidRPr="002A198E" w:rsidRDefault="00A226E9" w:rsidP="002A198E">
      <w:pPr>
        <w:pStyle w:val="Heading2"/>
        <w:keepNext w:val="0"/>
        <w:keepLines w:val="0"/>
        <w:widowControl w:val="0"/>
        <w:spacing w:before="0"/>
        <w:rPr>
          <w:lang w:val="en-CA"/>
        </w:rPr>
      </w:pPr>
      <w:bookmarkStart w:id="9" w:name="_Toc319660880"/>
      <w:r w:rsidRPr="002A198E">
        <w:rPr>
          <w:lang w:val="en-CA"/>
        </w:rPr>
        <w:t xml:space="preserve">c) Put </w:t>
      </w:r>
      <w:r>
        <w:rPr>
          <w:lang w:val="en-CA"/>
        </w:rPr>
        <w:t xml:space="preserve">Canada's </w:t>
      </w:r>
      <w:r w:rsidR="008A4980">
        <w:rPr>
          <w:lang w:val="en-CA"/>
        </w:rPr>
        <w:t>Government in C</w:t>
      </w:r>
      <w:r w:rsidRPr="002A198E">
        <w:rPr>
          <w:lang w:val="en-CA"/>
        </w:rPr>
        <w:t>harge of Leading Canada to Accessibility</w:t>
      </w:r>
      <w:bookmarkEnd w:id="9"/>
    </w:p>
    <w:p w14:paraId="74DABCB4" w14:textId="77777777" w:rsidR="00A226E9" w:rsidRPr="002A198E" w:rsidRDefault="00A226E9" w:rsidP="002A198E">
      <w:pPr>
        <w:widowControl w:val="0"/>
        <w:rPr>
          <w:lang w:val="en-CA"/>
        </w:rPr>
      </w:pPr>
    </w:p>
    <w:p w14:paraId="06862DFF" w14:textId="007D4B55" w:rsidR="00A226E9" w:rsidRPr="002A198E" w:rsidRDefault="00A226E9" w:rsidP="002A198E">
      <w:pPr>
        <w:widowControl w:val="0"/>
        <w:rPr>
          <w:lang w:val="en-CA"/>
        </w:rPr>
      </w:pPr>
      <w:r w:rsidRPr="002A198E">
        <w:rPr>
          <w:lang w:val="en-CA"/>
        </w:rPr>
        <w:t xml:space="preserve">The </w:t>
      </w:r>
      <w:r>
        <w:rPr>
          <w:lang w:val="en-CA"/>
        </w:rPr>
        <w:t xml:space="preserve">CDA </w:t>
      </w:r>
      <w:r w:rsidRPr="002A198E">
        <w:rPr>
          <w:lang w:val="en-CA"/>
        </w:rPr>
        <w:t xml:space="preserve">must do more than proclaim the </w:t>
      </w:r>
      <w:r>
        <w:rPr>
          <w:lang w:val="en-CA"/>
        </w:rPr>
        <w:t xml:space="preserve">goal of a </w:t>
      </w:r>
      <w:r w:rsidRPr="002A198E">
        <w:rPr>
          <w:lang w:val="en-CA"/>
        </w:rPr>
        <w:t xml:space="preserve">fully accessible Canada by a set date. </w:t>
      </w:r>
      <w:r w:rsidR="00D8508F">
        <w:rPr>
          <w:lang w:val="en-CA"/>
        </w:rPr>
        <w:t xml:space="preserve">It </w:t>
      </w:r>
      <w:r w:rsidRPr="002A198E">
        <w:rPr>
          <w:lang w:val="en-CA"/>
        </w:rPr>
        <w:t xml:space="preserve">must </w:t>
      </w:r>
      <w:r w:rsidR="009E3B7E">
        <w:rPr>
          <w:lang w:val="en-CA"/>
        </w:rPr>
        <w:t xml:space="preserve">also </w:t>
      </w:r>
      <w:r w:rsidRPr="002A198E">
        <w:rPr>
          <w:lang w:val="en-CA"/>
        </w:rPr>
        <w:t xml:space="preserve">make someone responsible for leading Canada to that goal. </w:t>
      </w:r>
      <w:r w:rsidR="00D21E3D">
        <w:rPr>
          <w:lang w:val="en-CA"/>
        </w:rPr>
        <w:t xml:space="preserve">Today’s politicians know they likely won’t be in Parliament by its deadline. </w:t>
      </w:r>
      <w:r w:rsidRPr="002A198E">
        <w:rPr>
          <w:lang w:val="en-CA"/>
        </w:rPr>
        <w:t>Barrier-Free Canada’s 14 principles include:</w:t>
      </w:r>
    </w:p>
    <w:p w14:paraId="649F32A0" w14:textId="77777777" w:rsidR="00A226E9" w:rsidRPr="002A198E" w:rsidRDefault="00A226E9" w:rsidP="002A198E">
      <w:pPr>
        <w:widowControl w:val="0"/>
        <w:rPr>
          <w:lang w:val="en-CA"/>
        </w:rPr>
      </w:pPr>
    </w:p>
    <w:p w14:paraId="4A661DA9" w14:textId="77777777" w:rsidR="00A226E9" w:rsidRPr="002A198E" w:rsidRDefault="00A226E9" w:rsidP="000D0411">
      <w:pPr>
        <w:widowControl w:val="0"/>
        <w:ind w:left="720" w:right="720"/>
        <w:rPr>
          <w:lang w:val="en-CA"/>
        </w:rPr>
      </w:pPr>
      <w:r w:rsidRPr="002A198E">
        <w:rPr>
          <w:lang w:val="en-CA"/>
        </w:rPr>
        <w:t xml:space="preserve"> “7. The Canadians with Disabilities Act should require the Government of Canada to lead Canada to achieving the Act's goals. It should specify actions the Government of Canada must take to fulfil this mandate. Among other things, it should require the Government of Canada to provide education and other information resources to organizations, individuals and groups who need to comply with the Act. It should also require the Government of Canada to appoint an independent person to periodically review and publicly report on progress towards full accessibility, and to make recommendations on any actions needed to achieve the Act's goals</w:t>
      </w:r>
      <w:r>
        <w:rPr>
          <w:lang w:val="en-CA"/>
        </w:rPr>
        <w:t>.</w:t>
      </w:r>
      <w:r w:rsidRPr="002A198E">
        <w:rPr>
          <w:lang w:val="en-CA"/>
        </w:rPr>
        <w:t>”</w:t>
      </w:r>
    </w:p>
    <w:p w14:paraId="4A8CA7B2" w14:textId="77777777" w:rsidR="00A226E9" w:rsidRPr="002A198E" w:rsidRDefault="00A226E9" w:rsidP="002A198E">
      <w:pPr>
        <w:widowControl w:val="0"/>
        <w:rPr>
          <w:lang w:val="en-CA"/>
        </w:rPr>
      </w:pPr>
    </w:p>
    <w:p w14:paraId="110A4690" w14:textId="627C5A18" w:rsidR="00D21E3D" w:rsidRDefault="00A226E9" w:rsidP="002A198E">
      <w:pPr>
        <w:widowControl w:val="0"/>
        <w:rPr>
          <w:lang w:val="en-CA"/>
        </w:rPr>
      </w:pPr>
      <w:r w:rsidRPr="002A198E">
        <w:rPr>
          <w:lang w:val="en-CA"/>
        </w:rPr>
        <w:t xml:space="preserve">This doesn’t mean </w:t>
      </w:r>
      <w:r w:rsidR="00B74047">
        <w:rPr>
          <w:lang w:val="en-CA"/>
        </w:rPr>
        <w:t xml:space="preserve">that </w:t>
      </w:r>
      <w:r w:rsidRPr="002A198E">
        <w:rPr>
          <w:lang w:val="en-CA"/>
        </w:rPr>
        <w:t xml:space="preserve">the Federal Government </w:t>
      </w:r>
      <w:r>
        <w:rPr>
          <w:lang w:val="en-CA"/>
        </w:rPr>
        <w:t xml:space="preserve">must </w:t>
      </w:r>
      <w:r w:rsidRPr="002A198E">
        <w:rPr>
          <w:lang w:val="en-CA"/>
        </w:rPr>
        <w:t xml:space="preserve">fix every barrier in Canada, or finance the removal and prevention of barriers in </w:t>
      </w:r>
      <w:r>
        <w:rPr>
          <w:lang w:val="en-CA"/>
        </w:rPr>
        <w:t xml:space="preserve">all </w:t>
      </w:r>
      <w:r w:rsidRPr="002A198E">
        <w:rPr>
          <w:lang w:val="en-CA"/>
        </w:rPr>
        <w:t xml:space="preserve">federally-regulated </w:t>
      </w:r>
      <w:r>
        <w:rPr>
          <w:lang w:val="en-CA"/>
        </w:rPr>
        <w:t xml:space="preserve">private </w:t>
      </w:r>
      <w:r w:rsidRPr="002A198E">
        <w:rPr>
          <w:lang w:val="en-CA"/>
        </w:rPr>
        <w:t>organizations</w:t>
      </w:r>
      <w:r w:rsidR="00B50BC5">
        <w:rPr>
          <w:lang w:val="en-CA"/>
        </w:rPr>
        <w:t>.</w:t>
      </w:r>
      <w:r w:rsidR="008A4980">
        <w:rPr>
          <w:lang w:val="en-CA"/>
        </w:rPr>
        <w:t xml:space="preserve"> </w:t>
      </w:r>
      <w:r w:rsidR="00B50BC5">
        <w:rPr>
          <w:lang w:val="en-CA"/>
        </w:rPr>
        <w:t>H</w:t>
      </w:r>
      <w:r w:rsidR="00D21E3D">
        <w:rPr>
          <w:lang w:val="en-CA"/>
        </w:rPr>
        <w:t xml:space="preserve">uman rights legislation </w:t>
      </w:r>
      <w:r w:rsidRPr="002A198E">
        <w:rPr>
          <w:lang w:val="en-CA"/>
        </w:rPr>
        <w:t xml:space="preserve">requires those </w:t>
      </w:r>
      <w:r w:rsidR="00D21E3D">
        <w:rPr>
          <w:lang w:val="en-CA"/>
        </w:rPr>
        <w:t xml:space="preserve">organizations </w:t>
      </w:r>
      <w:r w:rsidRPr="002A198E">
        <w:rPr>
          <w:lang w:val="en-CA"/>
        </w:rPr>
        <w:t xml:space="preserve">to </w:t>
      </w:r>
      <w:r w:rsidR="00B50BC5">
        <w:rPr>
          <w:lang w:val="en-CA"/>
        </w:rPr>
        <w:t xml:space="preserve">each </w:t>
      </w:r>
      <w:r w:rsidRPr="002A198E">
        <w:rPr>
          <w:lang w:val="en-CA"/>
        </w:rPr>
        <w:t>remov</w:t>
      </w:r>
      <w:r>
        <w:rPr>
          <w:lang w:val="en-CA"/>
        </w:rPr>
        <w:t>e</w:t>
      </w:r>
      <w:r w:rsidRPr="002A198E">
        <w:rPr>
          <w:lang w:val="en-CA"/>
        </w:rPr>
        <w:t xml:space="preserve"> and </w:t>
      </w:r>
      <w:r>
        <w:rPr>
          <w:lang w:val="en-CA"/>
        </w:rPr>
        <w:t xml:space="preserve">prevent </w:t>
      </w:r>
      <w:r w:rsidR="00D8508F">
        <w:rPr>
          <w:lang w:val="en-CA"/>
        </w:rPr>
        <w:t xml:space="preserve">their own </w:t>
      </w:r>
      <w:r w:rsidRPr="002A198E">
        <w:rPr>
          <w:lang w:val="en-CA"/>
        </w:rPr>
        <w:t>barriers</w:t>
      </w:r>
      <w:r>
        <w:rPr>
          <w:lang w:val="en-CA"/>
        </w:rPr>
        <w:t>.</w:t>
      </w:r>
      <w:r w:rsidRPr="002A198E">
        <w:rPr>
          <w:lang w:val="en-CA"/>
        </w:rPr>
        <w:t xml:space="preserve"> </w:t>
      </w:r>
      <w:r w:rsidR="00780216">
        <w:rPr>
          <w:lang w:val="en-CA"/>
        </w:rPr>
        <w:t>T</w:t>
      </w:r>
      <w:r w:rsidRPr="002A198E">
        <w:rPr>
          <w:lang w:val="en-CA"/>
        </w:rPr>
        <w:t xml:space="preserve">hey </w:t>
      </w:r>
      <w:r>
        <w:rPr>
          <w:lang w:val="en-CA"/>
        </w:rPr>
        <w:t xml:space="preserve">now must fulfil </w:t>
      </w:r>
      <w:r w:rsidRPr="002A198E">
        <w:rPr>
          <w:lang w:val="en-CA"/>
        </w:rPr>
        <w:t>the</w:t>
      </w:r>
      <w:r w:rsidR="0040632D">
        <w:rPr>
          <w:lang w:val="en-CA"/>
        </w:rPr>
        <w:t>ir</w:t>
      </w:r>
      <w:r w:rsidRPr="002A198E">
        <w:rPr>
          <w:lang w:val="en-CA"/>
        </w:rPr>
        <w:t xml:space="preserve"> duty to accommodate </w:t>
      </w:r>
      <w:r>
        <w:rPr>
          <w:lang w:val="en-CA"/>
        </w:rPr>
        <w:t xml:space="preserve">employees and customers </w:t>
      </w:r>
      <w:r w:rsidRPr="002A198E">
        <w:rPr>
          <w:lang w:val="en-CA"/>
        </w:rPr>
        <w:t>with disabilitie</w:t>
      </w:r>
      <w:r>
        <w:rPr>
          <w:lang w:val="en-CA"/>
        </w:rPr>
        <w:t>s</w:t>
      </w:r>
      <w:r w:rsidRPr="002A198E">
        <w:rPr>
          <w:lang w:val="en-CA"/>
        </w:rPr>
        <w:t>, up to the point of undue hardship.</w:t>
      </w:r>
      <w:r w:rsidR="00D21E3D">
        <w:rPr>
          <w:rStyle w:val="EndnoteReference"/>
          <w:lang w:val="en-CA"/>
        </w:rPr>
        <w:endnoteReference w:id="29"/>
      </w:r>
      <w:r w:rsidRPr="002A198E">
        <w:rPr>
          <w:lang w:val="en-CA"/>
        </w:rPr>
        <w:t xml:space="preserve"> </w:t>
      </w:r>
    </w:p>
    <w:p w14:paraId="5241AF32" w14:textId="77777777" w:rsidR="00D21E3D" w:rsidRDefault="00D21E3D" w:rsidP="002A198E">
      <w:pPr>
        <w:widowControl w:val="0"/>
        <w:rPr>
          <w:lang w:val="en-CA"/>
        </w:rPr>
      </w:pPr>
    </w:p>
    <w:p w14:paraId="3CEAE370" w14:textId="417A997A" w:rsidR="000D4187" w:rsidRDefault="00A226E9" w:rsidP="000D4187">
      <w:r w:rsidRPr="002A198E">
        <w:rPr>
          <w:lang w:val="en-CA"/>
        </w:rPr>
        <w:t>The</w:t>
      </w:r>
      <w:r w:rsidR="00C6693A">
        <w:rPr>
          <w:lang w:val="en-CA"/>
        </w:rPr>
        <w:t>ir</w:t>
      </w:r>
      <w:r w:rsidRPr="002A198E">
        <w:rPr>
          <w:lang w:val="en-CA"/>
        </w:rPr>
        <w:t xml:space="preserve"> </w:t>
      </w:r>
      <w:r w:rsidR="00C6693A">
        <w:rPr>
          <w:lang w:val="en-CA"/>
        </w:rPr>
        <w:t xml:space="preserve">existing </w:t>
      </w:r>
      <w:r w:rsidRPr="002A198E">
        <w:rPr>
          <w:lang w:val="en-CA"/>
        </w:rPr>
        <w:t>duty to accommodate requires far more than trivial, low cost action.</w:t>
      </w:r>
      <w:r>
        <w:rPr>
          <w:rStyle w:val="EndnoteReference"/>
          <w:lang w:val="en-CA"/>
        </w:rPr>
        <w:endnoteReference w:id="30"/>
      </w:r>
      <w:r w:rsidRPr="002A198E">
        <w:rPr>
          <w:lang w:val="en-CA"/>
        </w:rPr>
        <w:t xml:space="preserve"> </w:t>
      </w:r>
      <w:r w:rsidR="000D4187">
        <w:rPr>
          <w:lang w:val="en-CA"/>
        </w:rPr>
        <w:t>Some hardship is “due”.</w:t>
      </w:r>
      <w:r w:rsidR="000D4187">
        <w:rPr>
          <w:rStyle w:val="EndnoteReference"/>
          <w:lang w:val="en-CA"/>
        </w:rPr>
        <w:endnoteReference w:id="31"/>
      </w:r>
      <w:r w:rsidR="00B50BC5">
        <w:rPr>
          <w:lang w:val="en-CA"/>
        </w:rPr>
        <w:t xml:space="preserve">  </w:t>
      </w:r>
      <w:r w:rsidR="00DF6F25">
        <w:rPr>
          <w:lang w:val="en-CA"/>
        </w:rPr>
        <w:t>Even then, m</w:t>
      </w:r>
      <w:r w:rsidR="00B50BC5">
        <w:rPr>
          <w:lang w:val="en-CA"/>
        </w:rPr>
        <w:t>any existing barriers can be removed at low cost, preventing new barriers costs even less, or nothing.</w:t>
      </w:r>
      <w:r w:rsidR="000D4187">
        <w:rPr>
          <w:lang w:val="en-CA"/>
        </w:rPr>
        <w:t xml:space="preserve"> </w:t>
      </w:r>
    </w:p>
    <w:p w14:paraId="72BE06B3" w14:textId="77777777" w:rsidR="00A226E9" w:rsidRPr="002A198E" w:rsidRDefault="00A226E9" w:rsidP="002A198E">
      <w:pPr>
        <w:widowControl w:val="0"/>
        <w:rPr>
          <w:lang w:val="en-CA"/>
        </w:rPr>
      </w:pPr>
    </w:p>
    <w:p w14:paraId="7F13F623" w14:textId="1D874C91" w:rsidR="004B4634" w:rsidRPr="002A198E" w:rsidRDefault="00A226E9" w:rsidP="002A198E">
      <w:pPr>
        <w:widowControl w:val="0"/>
        <w:rPr>
          <w:lang w:val="en-CA"/>
        </w:rPr>
      </w:pPr>
      <w:r w:rsidRPr="002A198E">
        <w:rPr>
          <w:lang w:val="en-CA"/>
        </w:rPr>
        <w:t xml:space="preserve">The Federal Government’s duty </w:t>
      </w:r>
      <w:r>
        <w:rPr>
          <w:lang w:val="en-CA"/>
        </w:rPr>
        <w:t xml:space="preserve">should </w:t>
      </w:r>
      <w:r w:rsidRPr="002A198E">
        <w:rPr>
          <w:lang w:val="en-CA"/>
        </w:rPr>
        <w:t>be to lead C</w:t>
      </w:r>
      <w:r w:rsidR="008A4980">
        <w:rPr>
          <w:lang w:val="en-CA"/>
        </w:rPr>
        <w:t>anada to full accessibility, inso</w:t>
      </w:r>
      <w:r w:rsidRPr="002A198E">
        <w:rPr>
          <w:lang w:val="en-CA"/>
        </w:rPr>
        <w:t xml:space="preserve">far as it can, by taking actions described below. Ontario’s experience is instructive. The AODA </w:t>
      </w:r>
      <w:r w:rsidR="00254EE9">
        <w:rPr>
          <w:lang w:val="en-CA"/>
        </w:rPr>
        <w:t xml:space="preserve">commendably </w:t>
      </w:r>
      <w:r w:rsidRPr="002A198E">
        <w:rPr>
          <w:lang w:val="en-CA"/>
        </w:rPr>
        <w:t>requires the Ontario Government to lead Ontario to full accessibility by 2025.</w:t>
      </w:r>
      <w:r>
        <w:rPr>
          <w:rStyle w:val="EndnoteReference"/>
          <w:lang w:val="en-CA"/>
        </w:rPr>
        <w:endnoteReference w:id="32"/>
      </w:r>
      <w:r>
        <w:rPr>
          <w:lang w:val="en-CA"/>
        </w:rPr>
        <w:t xml:space="preserve"> </w:t>
      </w:r>
    </w:p>
    <w:p w14:paraId="3BD69952" w14:textId="77777777" w:rsidR="0041524C" w:rsidRDefault="0041524C" w:rsidP="002A198E">
      <w:pPr>
        <w:widowControl w:val="0"/>
        <w:rPr>
          <w:lang w:val="en-CA"/>
        </w:rPr>
      </w:pPr>
    </w:p>
    <w:p w14:paraId="32C4BB54" w14:textId="70974D84" w:rsidR="004B4634" w:rsidRPr="002A198E" w:rsidRDefault="004B4634" w:rsidP="002A198E">
      <w:pPr>
        <w:widowControl w:val="0"/>
        <w:rPr>
          <w:lang w:val="en-CA"/>
        </w:rPr>
      </w:pPr>
      <w:r w:rsidRPr="002A198E">
        <w:rPr>
          <w:lang w:val="en-CA"/>
        </w:rPr>
        <w:t xml:space="preserve">Each federally-regulated organization has </w:t>
      </w:r>
      <w:r w:rsidR="009E376C">
        <w:rPr>
          <w:lang w:val="en-CA"/>
        </w:rPr>
        <w:t xml:space="preserve">a decades-old </w:t>
      </w:r>
      <w:r w:rsidR="002574A2" w:rsidRPr="002A198E">
        <w:rPr>
          <w:lang w:val="en-CA"/>
        </w:rPr>
        <w:t>legal duty</w:t>
      </w:r>
      <w:r w:rsidRPr="002A198E">
        <w:rPr>
          <w:lang w:val="en-CA"/>
        </w:rPr>
        <w:t xml:space="preserve"> to fund </w:t>
      </w:r>
      <w:r w:rsidR="000D0411">
        <w:rPr>
          <w:lang w:val="en-CA"/>
        </w:rPr>
        <w:t xml:space="preserve">its </w:t>
      </w:r>
      <w:r w:rsidRPr="002A198E">
        <w:rPr>
          <w:lang w:val="en-CA"/>
        </w:rPr>
        <w:t>own journey to full accessibility</w:t>
      </w:r>
      <w:r w:rsidR="000D7B2B">
        <w:rPr>
          <w:lang w:val="en-CA"/>
        </w:rPr>
        <w:t xml:space="preserve">. This is </w:t>
      </w:r>
      <w:r w:rsidRPr="002A198E">
        <w:rPr>
          <w:lang w:val="en-CA"/>
        </w:rPr>
        <w:t xml:space="preserve">a routine cost of doing business. Federally-regulated organizations cannot claim </w:t>
      </w:r>
      <w:r w:rsidR="004150C4">
        <w:rPr>
          <w:lang w:val="en-CA"/>
        </w:rPr>
        <w:t xml:space="preserve">that </w:t>
      </w:r>
      <w:r w:rsidRPr="002A198E">
        <w:rPr>
          <w:lang w:val="en-CA"/>
        </w:rPr>
        <w:t xml:space="preserve">the </w:t>
      </w:r>
      <w:r w:rsidR="0030577F">
        <w:rPr>
          <w:lang w:val="en-CA"/>
        </w:rPr>
        <w:t xml:space="preserve">CDA </w:t>
      </w:r>
      <w:r w:rsidRPr="002A198E">
        <w:rPr>
          <w:lang w:val="en-CA"/>
        </w:rPr>
        <w:t xml:space="preserve">imposes a new duty, and </w:t>
      </w:r>
      <w:r w:rsidR="004150C4">
        <w:rPr>
          <w:lang w:val="en-CA"/>
        </w:rPr>
        <w:t xml:space="preserve">then </w:t>
      </w:r>
      <w:r w:rsidR="002574A2" w:rsidRPr="002A198E">
        <w:rPr>
          <w:lang w:val="en-CA"/>
        </w:rPr>
        <w:t>demand that</w:t>
      </w:r>
      <w:r w:rsidRPr="002A198E">
        <w:rPr>
          <w:lang w:val="en-CA"/>
        </w:rPr>
        <w:t xml:space="preserve"> the Federal Government </w:t>
      </w:r>
      <w:r w:rsidR="00EE14B3">
        <w:rPr>
          <w:lang w:val="en-CA"/>
        </w:rPr>
        <w:t xml:space="preserve">finance </w:t>
      </w:r>
      <w:r w:rsidRPr="002A198E">
        <w:rPr>
          <w:lang w:val="en-CA"/>
        </w:rPr>
        <w:t>it.</w:t>
      </w:r>
      <w:r w:rsidR="00EE14B3">
        <w:rPr>
          <w:lang w:val="en-CA"/>
        </w:rPr>
        <w:t xml:space="preserve"> </w:t>
      </w:r>
      <w:r w:rsidR="00350AB4">
        <w:rPr>
          <w:lang w:val="en-CA"/>
        </w:rPr>
        <w:t>After all, g</w:t>
      </w:r>
      <w:r w:rsidRPr="002A198E">
        <w:rPr>
          <w:lang w:val="en-CA"/>
        </w:rPr>
        <w:t xml:space="preserve">overnments </w:t>
      </w:r>
      <w:r w:rsidR="00350AB4">
        <w:rPr>
          <w:lang w:val="en-CA"/>
        </w:rPr>
        <w:t xml:space="preserve">properly </w:t>
      </w:r>
      <w:r w:rsidRPr="002A198E">
        <w:rPr>
          <w:lang w:val="en-CA"/>
        </w:rPr>
        <w:t xml:space="preserve">ban </w:t>
      </w:r>
      <w:r w:rsidR="00350AB4">
        <w:rPr>
          <w:lang w:val="en-CA"/>
        </w:rPr>
        <w:t xml:space="preserve">organizations from </w:t>
      </w:r>
      <w:r w:rsidR="00B50BC5">
        <w:rPr>
          <w:lang w:val="en-CA"/>
        </w:rPr>
        <w:t>polluting</w:t>
      </w:r>
      <w:r w:rsidRPr="002A198E">
        <w:rPr>
          <w:lang w:val="en-CA"/>
        </w:rPr>
        <w:t xml:space="preserve">, without paying </w:t>
      </w:r>
      <w:r w:rsidR="00350AB4">
        <w:rPr>
          <w:lang w:val="en-CA"/>
        </w:rPr>
        <w:t xml:space="preserve">those </w:t>
      </w:r>
      <w:r w:rsidRPr="002A198E">
        <w:rPr>
          <w:lang w:val="en-CA"/>
        </w:rPr>
        <w:t xml:space="preserve">organizations to </w:t>
      </w:r>
      <w:r w:rsidR="0028724A">
        <w:rPr>
          <w:lang w:val="en-CA"/>
        </w:rPr>
        <w:t>stop pollut</w:t>
      </w:r>
      <w:r w:rsidR="001225BB">
        <w:rPr>
          <w:lang w:val="en-CA"/>
        </w:rPr>
        <w:t>ing</w:t>
      </w:r>
      <w:r w:rsidR="0028724A">
        <w:rPr>
          <w:lang w:val="en-CA"/>
        </w:rPr>
        <w:t>.</w:t>
      </w:r>
      <w:r w:rsidRPr="002A198E">
        <w:rPr>
          <w:lang w:val="en-CA"/>
        </w:rPr>
        <w:t xml:space="preserve"> </w:t>
      </w:r>
    </w:p>
    <w:p w14:paraId="40534581" w14:textId="77777777" w:rsidR="004B4634" w:rsidRPr="002A198E" w:rsidRDefault="004B4634" w:rsidP="002A198E">
      <w:pPr>
        <w:widowControl w:val="0"/>
        <w:rPr>
          <w:lang w:val="en-CA"/>
        </w:rPr>
      </w:pPr>
    </w:p>
    <w:p w14:paraId="559E4459" w14:textId="77777777" w:rsidR="004B4634" w:rsidRPr="002A198E" w:rsidRDefault="000F0D3D" w:rsidP="002A198E">
      <w:pPr>
        <w:pStyle w:val="Heading2"/>
        <w:keepNext w:val="0"/>
        <w:keepLines w:val="0"/>
        <w:widowControl w:val="0"/>
        <w:spacing w:before="0"/>
        <w:rPr>
          <w:lang w:val="en-CA"/>
        </w:rPr>
      </w:pPr>
      <w:bookmarkStart w:id="10" w:name="_Toc319660881"/>
      <w:r w:rsidRPr="002A198E">
        <w:rPr>
          <w:lang w:val="en-CA"/>
        </w:rPr>
        <w:t xml:space="preserve">d) </w:t>
      </w:r>
      <w:r w:rsidR="004B4634" w:rsidRPr="002A198E">
        <w:rPr>
          <w:lang w:val="en-CA"/>
        </w:rPr>
        <w:t>Create a Canada Accessibility Commissioner</w:t>
      </w:r>
      <w:bookmarkEnd w:id="10"/>
    </w:p>
    <w:p w14:paraId="33B0E60C" w14:textId="77777777" w:rsidR="004B4634" w:rsidRPr="002A198E" w:rsidRDefault="004B4634" w:rsidP="002A198E">
      <w:pPr>
        <w:widowControl w:val="0"/>
        <w:rPr>
          <w:lang w:val="en-CA"/>
        </w:rPr>
      </w:pPr>
    </w:p>
    <w:p w14:paraId="24761A6D" w14:textId="77777777" w:rsidR="004B4634" w:rsidRPr="002A198E" w:rsidRDefault="004B4634" w:rsidP="002A198E">
      <w:pPr>
        <w:widowControl w:val="0"/>
        <w:rPr>
          <w:lang w:val="en-CA"/>
        </w:rPr>
      </w:pPr>
      <w:r w:rsidRPr="002A198E">
        <w:rPr>
          <w:lang w:val="en-CA"/>
        </w:rPr>
        <w:t xml:space="preserve">The </w:t>
      </w:r>
      <w:r w:rsidR="001F6D27">
        <w:rPr>
          <w:lang w:val="en-CA"/>
        </w:rPr>
        <w:t xml:space="preserve">CDA </w:t>
      </w:r>
      <w:r w:rsidRPr="002A198E">
        <w:rPr>
          <w:lang w:val="en-CA"/>
        </w:rPr>
        <w:t>should create a new independent Canada Accessibility Commissioner</w:t>
      </w:r>
      <w:r w:rsidR="00706906">
        <w:rPr>
          <w:lang w:val="en-CA"/>
        </w:rPr>
        <w:t>,</w:t>
      </w:r>
      <w:r w:rsidRPr="002A198E">
        <w:rPr>
          <w:lang w:val="en-CA"/>
        </w:rPr>
        <w:t xml:space="preserve"> report</w:t>
      </w:r>
      <w:r w:rsidR="00706906">
        <w:rPr>
          <w:lang w:val="en-CA"/>
        </w:rPr>
        <w:t>ing</w:t>
      </w:r>
      <w:r w:rsidRPr="002A198E">
        <w:rPr>
          <w:lang w:val="en-CA"/>
        </w:rPr>
        <w:t xml:space="preserve"> to Parliament</w:t>
      </w:r>
      <w:r w:rsidR="00BF11ED">
        <w:rPr>
          <w:lang w:val="en-CA"/>
        </w:rPr>
        <w:t>, to:</w:t>
      </w:r>
    </w:p>
    <w:p w14:paraId="61E086AF" w14:textId="77777777" w:rsidR="004B4634" w:rsidRPr="002A198E" w:rsidRDefault="004B4634" w:rsidP="002A198E">
      <w:pPr>
        <w:widowControl w:val="0"/>
        <w:rPr>
          <w:lang w:val="en-CA"/>
        </w:rPr>
      </w:pPr>
    </w:p>
    <w:p w14:paraId="7D9BE586" w14:textId="77777777" w:rsidR="004B4634" w:rsidRPr="002A198E" w:rsidRDefault="004B4634" w:rsidP="00B50BC5">
      <w:pPr>
        <w:widowControl w:val="0"/>
        <w:ind w:left="720"/>
        <w:rPr>
          <w:lang w:val="en-CA"/>
        </w:rPr>
      </w:pPr>
      <w:r w:rsidRPr="002A198E">
        <w:rPr>
          <w:lang w:val="en-CA"/>
        </w:rPr>
        <w:t xml:space="preserve">a) Lead development of recommendations for </w:t>
      </w:r>
      <w:r w:rsidR="000D7B2B">
        <w:rPr>
          <w:lang w:val="en-CA"/>
        </w:rPr>
        <w:t xml:space="preserve">the content of </w:t>
      </w:r>
      <w:r w:rsidR="00BF11ED">
        <w:rPr>
          <w:lang w:val="en-CA"/>
        </w:rPr>
        <w:t xml:space="preserve">CDA </w:t>
      </w:r>
      <w:r w:rsidRPr="002A198E">
        <w:rPr>
          <w:lang w:val="en-CA"/>
        </w:rPr>
        <w:t>accessibility standards;</w:t>
      </w:r>
    </w:p>
    <w:p w14:paraId="60C152D8" w14:textId="77777777" w:rsidR="004B4634" w:rsidRPr="002A198E" w:rsidRDefault="004B4634" w:rsidP="00B50BC5">
      <w:pPr>
        <w:widowControl w:val="0"/>
        <w:ind w:left="720"/>
        <w:rPr>
          <w:lang w:val="en-CA"/>
        </w:rPr>
      </w:pPr>
    </w:p>
    <w:p w14:paraId="73940A66" w14:textId="08CD25FF" w:rsidR="004B4634" w:rsidRPr="002A198E" w:rsidRDefault="004B4634" w:rsidP="00B50BC5">
      <w:pPr>
        <w:widowControl w:val="0"/>
        <w:ind w:left="720"/>
        <w:rPr>
          <w:lang w:val="en-CA"/>
        </w:rPr>
      </w:pPr>
      <w:r w:rsidRPr="002A198E">
        <w:rPr>
          <w:lang w:val="en-CA"/>
        </w:rPr>
        <w:t xml:space="preserve">b) Lead </w:t>
      </w:r>
      <w:r w:rsidR="00BF11ED">
        <w:rPr>
          <w:lang w:val="en-CA"/>
        </w:rPr>
        <w:t xml:space="preserve">CDA </w:t>
      </w:r>
      <w:r w:rsidRPr="002A198E">
        <w:rPr>
          <w:lang w:val="en-CA"/>
        </w:rPr>
        <w:t>enforcement</w:t>
      </w:r>
      <w:r w:rsidR="000D0411">
        <w:rPr>
          <w:lang w:val="en-CA"/>
        </w:rPr>
        <w:t>;</w:t>
      </w:r>
      <w:r w:rsidRPr="002A198E">
        <w:rPr>
          <w:lang w:val="en-CA"/>
        </w:rPr>
        <w:t xml:space="preserve"> and</w:t>
      </w:r>
      <w:r w:rsidR="00B50BC5">
        <w:rPr>
          <w:lang w:val="en-CA"/>
        </w:rPr>
        <w:t>,</w:t>
      </w:r>
    </w:p>
    <w:p w14:paraId="115FD468" w14:textId="77777777" w:rsidR="004B4634" w:rsidRPr="002A198E" w:rsidRDefault="004B4634" w:rsidP="00B50BC5">
      <w:pPr>
        <w:widowControl w:val="0"/>
        <w:ind w:left="720"/>
        <w:rPr>
          <w:lang w:val="en-CA"/>
        </w:rPr>
      </w:pPr>
    </w:p>
    <w:p w14:paraId="24645C3F" w14:textId="11EC2856" w:rsidR="004B4634" w:rsidRPr="002A198E" w:rsidRDefault="004B4634" w:rsidP="00B50BC5">
      <w:pPr>
        <w:widowControl w:val="0"/>
        <w:ind w:left="720"/>
        <w:rPr>
          <w:lang w:val="en-CA"/>
        </w:rPr>
      </w:pPr>
      <w:r w:rsidRPr="002A198E">
        <w:rPr>
          <w:lang w:val="en-CA"/>
        </w:rPr>
        <w:t xml:space="preserve">c) Play a highly visible role as </w:t>
      </w:r>
      <w:r w:rsidR="00F2296A">
        <w:rPr>
          <w:lang w:val="en-CA"/>
        </w:rPr>
        <w:t xml:space="preserve">an independent  </w:t>
      </w:r>
      <w:r w:rsidRPr="002A198E">
        <w:rPr>
          <w:lang w:val="en-CA"/>
        </w:rPr>
        <w:t xml:space="preserve">national </w:t>
      </w:r>
      <w:r w:rsidR="0079017E">
        <w:rPr>
          <w:lang w:val="en-CA"/>
        </w:rPr>
        <w:t xml:space="preserve">accessibility </w:t>
      </w:r>
      <w:r w:rsidRPr="002A198E">
        <w:rPr>
          <w:lang w:val="en-CA"/>
        </w:rPr>
        <w:t>watchdog and advocat</w:t>
      </w:r>
      <w:r w:rsidR="00296F7C">
        <w:rPr>
          <w:lang w:val="en-CA"/>
        </w:rPr>
        <w:t>e</w:t>
      </w:r>
      <w:r w:rsidRPr="002A198E">
        <w:rPr>
          <w:lang w:val="en-CA"/>
        </w:rPr>
        <w:t>.</w:t>
      </w:r>
    </w:p>
    <w:p w14:paraId="393394C9" w14:textId="77777777" w:rsidR="004B4634" w:rsidRPr="002A198E" w:rsidRDefault="004B4634" w:rsidP="002A198E">
      <w:pPr>
        <w:widowControl w:val="0"/>
        <w:rPr>
          <w:lang w:val="en-CA"/>
        </w:rPr>
      </w:pPr>
    </w:p>
    <w:p w14:paraId="0ADFA9D5" w14:textId="77777777" w:rsidR="00554CD8" w:rsidRDefault="00296F7C" w:rsidP="002A198E">
      <w:pPr>
        <w:widowControl w:val="0"/>
        <w:rPr>
          <w:lang w:val="en-CA"/>
        </w:rPr>
      </w:pPr>
      <w:r>
        <w:rPr>
          <w:lang w:val="en-CA"/>
        </w:rPr>
        <w:t xml:space="preserve">This Commission </w:t>
      </w:r>
      <w:r w:rsidR="004B4634" w:rsidRPr="002A198E">
        <w:rPr>
          <w:lang w:val="en-CA"/>
        </w:rPr>
        <w:t>can help ensure that accessibility remains front and centre on the federal agenda, after political attention turns to other issues.</w:t>
      </w:r>
      <w:r w:rsidR="00554CD8">
        <w:rPr>
          <w:lang w:val="en-CA"/>
        </w:rPr>
        <w:t xml:space="preserve"> </w:t>
      </w:r>
    </w:p>
    <w:p w14:paraId="4182F671" w14:textId="77777777" w:rsidR="00554CD8" w:rsidRDefault="00554CD8" w:rsidP="002A198E">
      <w:pPr>
        <w:widowControl w:val="0"/>
        <w:rPr>
          <w:lang w:val="en-CA"/>
        </w:rPr>
      </w:pPr>
    </w:p>
    <w:p w14:paraId="1BE45296" w14:textId="19ABEA12" w:rsidR="00451F0B" w:rsidRDefault="00554CD8" w:rsidP="002A198E">
      <w:pPr>
        <w:widowControl w:val="0"/>
        <w:rPr>
          <w:lang w:val="en-CA"/>
        </w:rPr>
      </w:pPr>
      <w:r>
        <w:rPr>
          <w:lang w:val="en-CA"/>
        </w:rPr>
        <w:t>T</w:t>
      </w:r>
      <w:r w:rsidR="003E23E1">
        <w:rPr>
          <w:lang w:val="en-CA"/>
        </w:rPr>
        <w:t xml:space="preserve">he Federal Government </w:t>
      </w:r>
      <w:r>
        <w:rPr>
          <w:lang w:val="en-CA"/>
        </w:rPr>
        <w:t xml:space="preserve">may </w:t>
      </w:r>
      <w:r w:rsidR="00B50BC5">
        <w:rPr>
          <w:lang w:val="en-CA"/>
        </w:rPr>
        <w:t>consider appointing an</w:t>
      </w:r>
      <w:r w:rsidR="003E23E1">
        <w:rPr>
          <w:lang w:val="en-CA"/>
        </w:rPr>
        <w:t xml:space="preserve"> advisory council for this Commissioner, or for the Government itself</w:t>
      </w:r>
      <w:r>
        <w:rPr>
          <w:lang w:val="en-CA"/>
        </w:rPr>
        <w:t>.</w:t>
      </w:r>
      <w:r w:rsidR="004A5295">
        <w:rPr>
          <w:lang w:val="en-CA"/>
        </w:rPr>
        <w:t xml:space="preserve"> </w:t>
      </w:r>
      <w:r w:rsidR="003E23E1">
        <w:rPr>
          <w:lang w:val="en-CA"/>
        </w:rPr>
        <w:t>Historically, such</w:t>
      </w:r>
      <w:r w:rsidR="00F35031">
        <w:rPr>
          <w:lang w:val="en-CA"/>
        </w:rPr>
        <w:t xml:space="preserve"> provincial or local </w:t>
      </w:r>
      <w:r w:rsidR="003E23E1">
        <w:rPr>
          <w:lang w:val="en-CA"/>
        </w:rPr>
        <w:t xml:space="preserve">advisory councils, even </w:t>
      </w:r>
      <w:r w:rsidR="00AD096A">
        <w:rPr>
          <w:lang w:val="en-CA"/>
        </w:rPr>
        <w:t xml:space="preserve">when </w:t>
      </w:r>
      <w:r w:rsidR="003E23E1">
        <w:rPr>
          <w:lang w:val="en-CA"/>
        </w:rPr>
        <w:t>populated by excellent individuals, have their agendas and deliberati</w:t>
      </w:r>
      <w:r w:rsidR="00B50BC5">
        <w:rPr>
          <w:lang w:val="en-CA"/>
        </w:rPr>
        <w:t xml:space="preserve">ons </w:t>
      </w:r>
      <w:r w:rsidR="00C15888">
        <w:rPr>
          <w:lang w:val="en-CA"/>
        </w:rPr>
        <w:t xml:space="preserve">unduly </w:t>
      </w:r>
      <w:r w:rsidR="00B50BC5">
        <w:rPr>
          <w:lang w:val="en-CA"/>
        </w:rPr>
        <w:t>dominated by the Government. They</w:t>
      </w:r>
      <w:r w:rsidR="003E23E1">
        <w:rPr>
          <w:lang w:val="en-CA"/>
        </w:rPr>
        <w:t xml:space="preserve"> conduct their activities </w:t>
      </w:r>
      <w:r w:rsidR="00451F0B">
        <w:rPr>
          <w:lang w:val="en-CA"/>
        </w:rPr>
        <w:t xml:space="preserve">and advice-giving </w:t>
      </w:r>
      <w:r w:rsidR="00B50BC5">
        <w:rPr>
          <w:lang w:val="en-CA"/>
        </w:rPr>
        <w:t>in closed sessions</w:t>
      </w:r>
      <w:r w:rsidR="003E23E1">
        <w:rPr>
          <w:lang w:val="en-CA"/>
        </w:rPr>
        <w:t xml:space="preserve"> and have </w:t>
      </w:r>
      <w:r w:rsidR="00271EB1">
        <w:rPr>
          <w:lang w:val="en-CA"/>
        </w:rPr>
        <w:t xml:space="preserve">too </w:t>
      </w:r>
      <w:r w:rsidR="00AD096A">
        <w:rPr>
          <w:lang w:val="en-CA"/>
        </w:rPr>
        <w:t xml:space="preserve">little </w:t>
      </w:r>
      <w:r w:rsidR="003E23E1">
        <w:rPr>
          <w:lang w:val="en-CA"/>
        </w:rPr>
        <w:t xml:space="preserve">impact on </w:t>
      </w:r>
      <w:r w:rsidR="003E23E1" w:rsidRPr="003E23E1">
        <w:rPr>
          <w:lang w:val="en-CA"/>
        </w:rPr>
        <w:t>Government</w:t>
      </w:r>
      <w:r w:rsidR="003E23E1">
        <w:rPr>
          <w:lang w:val="en-CA"/>
        </w:rPr>
        <w:t xml:space="preserve"> policy or practice. At times they are even used as a prop for politicians</w:t>
      </w:r>
      <w:r w:rsidR="00AD096A">
        <w:rPr>
          <w:lang w:val="en-CA"/>
        </w:rPr>
        <w:t>'</w:t>
      </w:r>
      <w:r w:rsidR="003E23E1">
        <w:rPr>
          <w:lang w:val="en-CA"/>
        </w:rPr>
        <w:t xml:space="preserve"> photo-opportunities </w:t>
      </w:r>
      <w:r w:rsidR="00AD096A">
        <w:rPr>
          <w:lang w:val="en-CA"/>
        </w:rPr>
        <w:t xml:space="preserve">with </w:t>
      </w:r>
      <w:r w:rsidR="003E23E1">
        <w:rPr>
          <w:lang w:val="en-CA"/>
        </w:rPr>
        <w:t>people with disabilities.</w:t>
      </w:r>
      <w:r w:rsidR="00B50BC5" w:rsidRPr="00B50BC5">
        <w:rPr>
          <w:lang w:val="en-CA"/>
        </w:rPr>
        <w:t xml:space="preserve"> </w:t>
      </w:r>
      <w:r w:rsidR="00B50BC5">
        <w:rPr>
          <w:lang w:val="en-CA"/>
        </w:rPr>
        <w:t>Ontario experience shows such advisory councils have limited value. They are no mini-Parliament, representing the shared views of Canadians with disabilities.</w:t>
      </w:r>
      <w:r w:rsidR="00641805">
        <w:rPr>
          <w:lang w:val="en-CA"/>
        </w:rPr>
        <w:t xml:space="preserve"> </w:t>
      </w:r>
    </w:p>
    <w:p w14:paraId="2140FA71" w14:textId="77777777" w:rsidR="00451F0B" w:rsidRDefault="00451F0B" w:rsidP="002A198E">
      <w:pPr>
        <w:widowControl w:val="0"/>
        <w:rPr>
          <w:lang w:val="en-CA"/>
        </w:rPr>
      </w:pPr>
    </w:p>
    <w:p w14:paraId="54D4927F" w14:textId="096F5C4F" w:rsidR="004634C0" w:rsidRPr="002A198E" w:rsidRDefault="006B0F6E" w:rsidP="002A198E">
      <w:pPr>
        <w:widowControl w:val="0"/>
        <w:rPr>
          <w:lang w:val="en-CA"/>
        </w:rPr>
      </w:pPr>
      <w:r>
        <w:rPr>
          <w:lang w:val="en-CA"/>
        </w:rPr>
        <w:t xml:space="preserve">The </w:t>
      </w:r>
      <w:r w:rsidR="00641805" w:rsidRPr="00641805">
        <w:rPr>
          <w:lang w:val="en-CA"/>
        </w:rPr>
        <w:t>Government</w:t>
      </w:r>
      <w:r w:rsidR="00641805">
        <w:rPr>
          <w:lang w:val="en-CA"/>
        </w:rPr>
        <w:t xml:space="preserve"> </w:t>
      </w:r>
      <w:r>
        <w:rPr>
          <w:lang w:val="en-CA"/>
        </w:rPr>
        <w:t xml:space="preserve">and </w:t>
      </w:r>
      <w:r w:rsidR="00641805">
        <w:rPr>
          <w:lang w:val="en-CA"/>
        </w:rPr>
        <w:t xml:space="preserve">an independent Accessibility Commissioner must maintain ongoing, </w:t>
      </w:r>
      <w:r w:rsidR="00641805">
        <w:rPr>
          <w:lang w:val="en-CA"/>
        </w:rPr>
        <w:lastRenderedPageBreak/>
        <w:t>effective, open avenues for direct input from people with disabilities themselves</w:t>
      </w:r>
      <w:r>
        <w:rPr>
          <w:lang w:val="en-CA"/>
        </w:rPr>
        <w:t>.</w:t>
      </w:r>
      <w:r w:rsidR="00641805">
        <w:rPr>
          <w:lang w:val="en-CA"/>
        </w:rPr>
        <w:t xml:space="preserve"> </w:t>
      </w:r>
      <w:r>
        <w:rPr>
          <w:lang w:val="en-CA"/>
        </w:rPr>
        <w:t>A</w:t>
      </w:r>
      <w:r w:rsidR="00641805">
        <w:rPr>
          <w:lang w:val="en-CA"/>
        </w:rPr>
        <w:t>n Advisory Council</w:t>
      </w:r>
      <w:r w:rsidR="004E76D1">
        <w:rPr>
          <w:lang w:val="en-CA"/>
        </w:rPr>
        <w:t xml:space="preserve">, if one is created, </w:t>
      </w:r>
      <w:r>
        <w:rPr>
          <w:lang w:val="en-CA"/>
        </w:rPr>
        <w:t xml:space="preserve">shouldn't be a filter or substitute </w:t>
      </w:r>
      <w:r w:rsidR="00641805">
        <w:rPr>
          <w:lang w:val="en-CA"/>
        </w:rPr>
        <w:t>for this direct input.</w:t>
      </w:r>
      <w:r w:rsidR="00451F0B">
        <w:rPr>
          <w:lang w:val="en-CA"/>
        </w:rPr>
        <w:t xml:space="preserve"> If an Advisory Council is created, it should set its agenda</w:t>
      </w:r>
      <w:r w:rsidR="005C5132">
        <w:rPr>
          <w:lang w:val="en-CA"/>
        </w:rPr>
        <w:t>. It</w:t>
      </w:r>
      <w:r w:rsidR="00451F0B">
        <w:rPr>
          <w:lang w:val="en-CA"/>
        </w:rPr>
        <w:t xml:space="preserve"> should meet in public</w:t>
      </w:r>
      <w:r w:rsidR="005C5132">
        <w:rPr>
          <w:lang w:val="en-CA"/>
        </w:rPr>
        <w:t>.</w:t>
      </w:r>
      <w:r w:rsidR="00451F0B">
        <w:rPr>
          <w:lang w:val="en-CA"/>
        </w:rPr>
        <w:t xml:space="preserve"> </w:t>
      </w:r>
      <w:r w:rsidR="005C5132">
        <w:rPr>
          <w:lang w:val="en-CA"/>
        </w:rPr>
        <w:t>A</w:t>
      </w:r>
      <w:r w:rsidR="00451F0B">
        <w:rPr>
          <w:lang w:val="en-CA"/>
        </w:rPr>
        <w:t xml:space="preserve">ll its advice to </w:t>
      </w:r>
      <w:r w:rsidR="00451F0B" w:rsidRPr="00451F0B">
        <w:rPr>
          <w:lang w:val="en-CA"/>
        </w:rPr>
        <w:t>Government</w:t>
      </w:r>
      <w:r w:rsidR="00451F0B">
        <w:rPr>
          <w:lang w:val="en-CA"/>
        </w:rPr>
        <w:t xml:space="preserve"> </w:t>
      </w:r>
      <w:r w:rsidR="005C5132">
        <w:rPr>
          <w:lang w:val="en-CA"/>
        </w:rPr>
        <w:t xml:space="preserve">should </w:t>
      </w:r>
      <w:r>
        <w:rPr>
          <w:lang w:val="en-CA"/>
        </w:rPr>
        <w:t xml:space="preserve">immediately </w:t>
      </w:r>
      <w:r w:rsidR="005C5132">
        <w:rPr>
          <w:lang w:val="en-CA"/>
        </w:rPr>
        <w:t xml:space="preserve">be </w:t>
      </w:r>
      <w:r w:rsidR="00451F0B">
        <w:rPr>
          <w:lang w:val="en-CA"/>
        </w:rPr>
        <w:t>made public.</w:t>
      </w:r>
      <w:r w:rsidR="00641805">
        <w:rPr>
          <w:lang w:val="en-CA"/>
        </w:rPr>
        <w:t xml:space="preserve"> </w:t>
      </w:r>
    </w:p>
    <w:p w14:paraId="7A04FCFB" w14:textId="77777777" w:rsidR="004B4634" w:rsidRPr="002A198E" w:rsidRDefault="004B4634" w:rsidP="002A198E">
      <w:pPr>
        <w:widowControl w:val="0"/>
        <w:rPr>
          <w:lang w:val="en-CA"/>
        </w:rPr>
      </w:pPr>
    </w:p>
    <w:p w14:paraId="2C6A2A23" w14:textId="77777777" w:rsidR="004B4634" w:rsidRPr="002A198E" w:rsidRDefault="000F0D3D" w:rsidP="002A198E">
      <w:pPr>
        <w:pStyle w:val="Heading2"/>
        <w:keepNext w:val="0"/>
        <w:keepLines w:val="0"/>
        <w:widowControl w:val="0"/>
        <w:spacing w:before="0"/>
        <w:rPr>
          <w:lang w:val="en-CA"/>
        </w:rPr>
      </w:pPr>
      <w:bookmarkStart w:id="11" w:name="_Toc319660882"/>
      <w:r w:rsidRPr="002A198E">
        <w:rPr>
          <w:lang w:val="en-CA"/>
        </w:rPr>
        <w:t xml:space="preserve">e) </w:t>
      </w:r>
      <w:r w:rsidR="005916F4" w:rsidRPr="002A198E">
        <w:rPr>
          <w:lang w:val="en-CA"/>
        </w:rPr>
        <w:t xml:space="preserve">Establishing </w:t>
      </w:r>
      <w:r w:rsidR="004B4634" w:rsidRPr="002A198E">
        <w:rPr>
          <w:lang w:val="en-CA"/>
        </w:rPr>
        <w:t>Clear, Broad, Inclusive Definition</w:t>
      </w:r>
      <w:r w:rsidR="000176E5">
        <w:rPr>
          <w:lang w:val="en-CA"/>
        </w:rPr>
        <w:t>s</w:t>
      </w:r>
      <w:r w:rsidR="004B4634" w:rsidRPr="002A198E">
        <w:rPr>
          <w:lang w:val="en-CA"/>
        </w:rPr>
        <w:t xml:space="preserve"> of “Disability”</w:t>
      </w:r>
      <w:bookmarkEnd w:id="11"/>
      <w:r w:rsidR="000176E5">
        <w:rPr>
          <w:lang w:val="en-CA"/>
        </w:rPr>
        <w:t xml:space="preserve"> and "Barrier"</w:t>
      </w:r>
    </w:p>
    <w:p w14:paraId="7FDF4B6A" w14:textId="77777777" w:rsidR="004B4634" w:rsidRPr="002A198E" w:rsidRDefault="004B4634" w:rsidP="002A198E">
      <w:pPr>
        <w:widowControl w:val="0"/>
        <w:rPr>
          <w:lang w:val="en-CA"/>
        </w:rPr>
      </w:pPr>
    </w:p>
    <w:p w14:paraId="345D2562" w14:textId="02A6689E" w:rsidR="00A658AD" w:rsidRDefault="000176E5" w:rsidP="00A658AD">
      <w:pPr>
        <w:widowControl w:val="0"/>
        <w:rPr>
          <w:lang w:val="en-CA"/>
        </w:rPr>
      </w:pPr>
      <w:r>
        <w:rPr>
          <w:lang w:val="en-CA"/>
        </w:rPr>
        <w:t xml:space="preserve">The terms “disability” and “barrier” largely map out the </w:t>
      </w:r>
      <w:r w:rsidR="007005DA">
        <w:rPr>
          <w:lang w:val="en-CA"/>
        </w:rPr>
        <w:t xml:space="preserve">CDA's </w:t>
      </w:r>
      <w:r>
        <w:rPr>
          <w:lang w:val="en-CA"/>
        </w:rPr>
        <w:t xml:space="preserve">reach. </w:t>
      </w:r>
      <w:r w:rsidR="005A2825">
        <w:rPr>
          <w:lang w:val="en-CA"/>
        </w:rPr>
        <w:t xml:space="preserve">Their </w:t>
      </w:r>
      <w:r w:rsidR="004B4634" w:rsidRPr="002A198E">
        <w:rPr>
          <w:lang w:val="en-CA"/>
        </w:rPr>
        <w:t>definition</w:t>
      </w:r>
      <w:r>
        <w:rPr>
          <w:lang w:val="en-CA"/>
        </w:rPr>
        <w:t>s</w:t>
      </w:r>
      <w:r w:rsidR="004B4634" w:rsidRPr="002A198E">
        <w:rPr>
          <w:lang w:val="en-CA"/>
        </w:rPr>
        <w:t xml:space="preserve"> must be clear, broad and inclusive.</w:t>
      </w:r>
      <w:r w:rsidR="00042515" w:rsidRPr="00042515">
        <w:rPr>
          <w:lang w:val="en-CA"/>
        </w:rPr>
        <w:t xml:space="preserve"> </w:t>
      </w:r>
      <w:r w:rsidR="00042515">
        <w:rPr>
          <w:lang w:val="en-CA"/>
        </w:rPr>
        <w:t xml:space="preserve">It would severely </w:t>
      </w:r>
      <w:r w:rsidR="00DD01CC">
        <w:rPr>
          <w:lang w:val="en-CA"/>
        </w:rPr>
        <w:t xml:space="preserve">weaken </w:t>
      </w:r>
      <w:r w:rsidR="00042515">
        <w:rPr>
          <w:lang w:val="en-CA"/>
        </w:rPr>
        <w:t xml:space="preserve">the CDA </w:t>
      </w:r>
      <w:r w:rsidR="00DD01CC">
        <w:rPr>
          <w:lang w:val="en-CA"/>
        </w:rPr>
        <w:t xml:space="preserve">to </w:t>
      </w:r>
      <w:r w:rsidR="00042515">
        <w:rPr>
          <w:lang w:val="en-CA"/>
        </w:rPr>
        <w:t xml:space="preserve">define </w:t>
      </w:r>
      <w:r w:rsidR="00C32BFF">
        <w:rPr>
          <w:lang w:val="en-CA"/>
        </w:rPr>
        <w:t xml:space="preserve">either </w:t>
      </w:r>
      <w:r w:rsidR="00B745BA">
        <w:rPr>
          <w:lang w:val="en-CA"/>
        </w:rPr>
        <w:t xml:space="preserve">of these key terms </w:t>
      </w:r>
      <w:r w:rsidR="00042515">
        <w:rPr>
          <w:lang w:val="en-CA"/>
        </w:rPr>
        <w:t>too narrowly</w:t>
      </w:r>
      <w:r w:rsidR="0050006C">
        <w:rPr>
          <w:lang w:val="en-CA"/>
        </w:rPr>
        <w:t xml:space="preserve">, or </w:t>
      </w:r>
      <w:r w:rsidR="00C32BFF">
        <w:rPr>
          <w:lang w:val="en-CA"/>
        </w:rPr>
        <w:t xml:space="preserve">to limit </w:t>
      </w:r>
      <w:r w:rsidR="0050006C">
        <w:rPr>
          <w:lang w:val="en-CA"/>
        </w:rPr>
        <w:t xml:space="preserve">the </w:t>
      </w:r>
      <w:r w:rsidR="0034124B">
        <w:rPr>
          <w:lang w:val="en-CA"/>
        </w:rPr>
        <w:t xml:space="preserve">accessibility </w:t>
      </w:r>
      <w:r w:rsidR="0050006C">
        <w:rPr>
          <w:lang w:val="en-CA"/>
        </w:rPr>
        <w:t xml:space="preserve">barriers </w:t>
      </w:r>
      <w:r w:rsidR="00042320">
        <w:rPr>
          <w:lang w:val="en-CA"/>
        </w:rPr>
        <w:t xml:space="preserve">that the CDA can </w:t>
      </w:r>
      <w:r w:rsidR="0050006C">
        <w:rPr>
          <w:lang w:val="en-CA"/>
        </w:rPr>
        <w:t>address</w:t>
      </w:r>
      <w:r w:rsidR="00042515">
        <w:rPr>
          <w:lang w:val="en-CA"/>
        </w:rPr>
        <w:t>.</w:t>
      </w:r>
      <w:r w:rsidR="006A1424">
        <w:rPr>
          <w:lang w:val="en-CA"/>
        </w:rPr>
        <w:t xml:space="preserve"> </w:t>
      </w:r>
      <w:r w:rsidR="00A658AD">
        <w:rPr>
          <w:lang w:val="en-CA"/>
        </w:rPr>
        <w:t xml:space="preserve">The CDA should not set priorities </w:t>
      </w:r>
      <w:r w:rsidR="0034124B">
        <w:rPr>
          <w:lang w:val="en-CA"/>
        </w:rPr>
        <w:t xml:space="preserve">in advance </w:t>
      </w:r>
      <w:r w:rsidR="00A658AD">
        <w:rPr>
          <w:lang w:val="en-CA"/>
        </w:rPr>
        <w:t xml:space="preserve">among different barriers, or among different disabilities.  </w:t>
      </w:r>
    </w:p>
    <w:p w14:paraId="051BA76B" w14:textId="4A4D0C19" w:rsidR="00A658AD" w:rsidRDefault="00A658AD" w:rsidP="00A658AD">
      <w:pPr>
        <w:widowControl w:val="0"/>
        <w:rPr>
          <w:lang w:val="en-CA"/>
        </w:rPr>
      </w:pPr>
      <w:r w:rsidRPr="002A198E">
        <w:rPr>
          <w:lang w:val="en-CA"/>
        </w:rPr>
        <w:t xml:space="preserve"> </w:t>
      </w:r>
    </w:p>
    <w:p w14:paraId="10F26E3E" w14:textId="77777777" w:rsidR="004B4634" w:rsidRPr="002A198E" w:rsidRDefault="004B4634" w:rsidP="00A658AD">
      <w:pPr>
        <w:widowControl w:val="0"/>
        <w:rPr>
          <w:lang w:val="en-CA"/>
        </w:rPr>
      </w:pPr>
      <w:r w:rsidRPr="002A198E">
        <w:rPr>
          <w:lang w:val="en-CA"/>
        </w:rPr>
        <w:t>Barrier-Free Canada’s 14 Principles includ</w:t>
      </w:r>
      <w:r w:rsidR="007005DA">
        <w:rPr>
          <w:lang w:val="en-CA"/>
        </w:rPr>
        <w:t>e</w:t>
      </w:r>
      <w:r w:rsidRPr="002A198E">
        <w:rPr>
          <w:lang w:val="en-CA"/>
        </w:rPr>
        <w:t>:</w:t>
      </w:r>
    </w:p>
    <w:p w14:paraId="3F7C071B" w14:textId="77777777" w:rsidR="004B4634" w:rsidRPr="002A198E" w:rsidRDefault="004B4634" w:rsidP="002A198E">
      <w:pPr>
        <w:widowControl w:val="0"/>
        <w:rPr>
          <w:lang w:val="en-CA"/>
        </w:rPr>
      </w:pPr>
    </w:p>
    <w:p w14:paraId="142974B2" w14:textId="77777777" w:rsidR="004B4634" w:rsidRPr="002A198E" w:rsidRDefault="004B4634" w:rsidP="009477ED">
      <w:pPr>
        <w:widowControl w:val="0"/>
        <w:ind w:left="720" w:right="720"/>
        <w:rPr>
          <w:lang w:val="en-CA"/>
        </w:rPr>
      </w:pPr>
      <w:r w:rsidRPr="002A198E">
        <w:rPr>
          <w:lang w:val="en-CA"/>
        </w:rPr>
        <w:t>“2. The Canadians with Disabilities Act should apply to all persons with disabilities whether they have a physical, mental sensory, learning and/or intellectual disability or mental health condition, or are regarded as having one, and whether their disability is visible or invisible to others.”</w:t>
      </w:r>
    </w:p>
    <w:p w14:paraId="156E9AFF" w14:textId="77777777" w:rsidR="004B4634" w:rsidRPr="002A198E" w:rsidRDefault="004B4634" w:rsidP="002A198E">
      <w:pPr>
        <w:widowControl w:val="0"/>
        <w:rPr>
          <w:lang w:val="en-CA"/>
        </w:rPr>
      </w:pPr>
    </w:p>
    <w:p w14:paraId="4F3CE34E" w14:textId="77777777" w:rsidR="004B4634" w:rsidRPr="002A198E" w:rsidRDefault="00B05930" w:rsidP="002A198E">
      <w:pPr>
        <w:widowControl w:val="0"/>
        <w:rPr>
          <w:lang w:val="en-CA"/>
        </w:rPr>
      </w:pPr>
      <w:r>
        <w:rPr>
          <w:lang w:val="en-CA"/>
        </w:rPr>
        <w:t>Section 2 of t</w:t>
      </w:r>
      <w:r w:rsidR="004B4634" w:rsidRPr="002A198E">
        <w:rPr>
          <w:lang w:val="en-CA"/>
        </w:rPr>
        <w:t>he AODA has a commendable disability definition:</w:t>
      </w:r>
    </w:p>
    <w:p w14:paraId="6DE909CA" w14:textId="77777777" w:rsidR="004B4634" w:rsidRPr="002A198E" w:rsidRDefault="004B4634" w:rsidP="002A198E">
      <w:pPr>
        <w:widowControl w:val="0"/>
        <w:rPr>
          <w:lang w:val="en-CA"/>
        </w:rPr>
      </w:pPr>
    </w:p>
    <w:p w14:paraId="20297E26" w14:textId="77777777" w:rsidR="004B4634" w:rsidRPr="002A198E" w:rsidRDefault="004B4634" w:rsidP="009477ED">
      <w:pPr>
        <w:widowControl w:val="0"/>
        <w:ind w:left="720" w:right="720"/>
        <w:rPr>
          <w:lang w:val="en-CA"/>
        </w:rPr>
      </w:pPr>
      <w:r w:rsidRPr="002A198E">
        <w:rPr>
          <w:lang w:val="en-CA"/>
        </w:rPr>
        <w:t>“(a)</w:t>
      </w:r>
      <w:r w:rsidR="002A198E" w:rsidRPr="002A198E">
        <w:rPr>
          <w:lang w:val="en-CA"/>
        </w:rPr>
        <w:t xml:space="preserve"> </w:t>
      </w:r>
      <w:r w:rsidRPr="002A198E">
        <w:rPr>
          <w:lang w:val="en-CA"/>
        </w:rPr>
        <w:t>any degree of physical disability, infirmity, malformation or disfigurement that is caused by bodily injury, birth defect or illness and, without limiting the generality of the foregoing, includes diabetes mellitus, epilepsy, a brain injury, any degree of paralysis, amputation, lack of physical co-ordination, blindness or visual impediment, deafness or hearing impediment, muteness or speech impediment, or physical reliance on a guide dog or other animal or on a wheelchair or other remedial appliance or device,</w:t>
      </w:r>
    </w:p>
    <w:p w14:paraId="72D943B4" w14:textId="77777777" w:rsidR="004B4634" w:rsidRPr="002A198E" w:rsidRDefault="002A198E" w:rsidP="009477ED">
      <w:pPr>
        <w:widowControl w:val="0"/>
        <w:ind w:left="720" w:right="720"/>
        <w:rPr>
          <w:lang w:val="en-CA"/>
        </w:rPr>
      </w:pPr>
      <w:r w:rsidRPr="002A198E">
        <w:rPr>
          <w:lang w:val="en-CA"/>
        </w:rPr>
        <w:t xml:space="preserve"> </w:t>
      </w:r>
      <w:r w:rsidR="004B4634" w:rsidRPr="002A198E">
        <w:rPr>
          <w:lang w:val="en-CA"/>
        </w:rPr>
        <w:t>(b)</w:t>
      </w:r>
      <w:r w:rsidRPr="002A198E">
        <w:rPr>
          <w:lang w:val="en-CA"/>
        </w:rPr>
        <w:t xml:space="preserve"> </w:t>
      </w:r>
      <w:r w:rsidR="004B4634" w:rsidRPr="002A198E">
        <w:rPr>
          <w:lang w:val="en-CA"/>
        </w:rPr>
        <w:t>a condition of mental impairment or a developmental disability,</w:t>
      </w:r>
    </w:p>
    <w:p w14:paraId="140750AC" w14:textId="77777777" w:rsidR="004B4634" w:rsidRPr="002A198E" w:rsidRDefault="002A198E" w:rsidP="009477ED">
      <w:pPr>
        <w:widowControl w:val="0"/>
        <w:ind w:left="720" w:right="720"/>
        <w:rPr>
          <w:lang w:val="en-CA"/>
        </w:rPr>
      </w:pPr>
      <w:r w:rsidRPr="002A198E">
        <w:rPr>
          <w:lang w:val="en-CA"/>
        </w:rPr>
        <w:t xml:space="preserve"> </w:t>
      </w:r>
      <w:r w:rsidR="004B4634" w:rsidRPr="002A198E">
        <w:rPr>
          <w:lang w:val="en-CA"/>
        </w:rPr>
        <w:t>(c)</w:t>
      </w:r>
      <w:r w:rsidRPr="002A198E">
        <w:rPr>
          <w:lang w:val="en-CA"/>
        </w:rPr>
        <w:t xml:space="preserve"> </w:t>
      </w:r>
      <w:r w:rsidR="004B4634" w:rsidRPr="002A198E">
        <w:rPr>
          <w:lang w:val="en-CA"/>
        </w:rPr>
        <w:t>a learning disability, or a dysfunction in one or more of the processes involved in understanding or using symbols or spoken language,</w:t>
      </w:r>
    </w:p>
    <w:p w14:paraId="77AE88C2" w14:textId="77777777" w:rsidR="004B4634" w:rsidRPr="002A198E" w:rsidRDefault="002A198E" w:rsidP="009477ED">
      <w:pPr>
        <w:widowControl w:val="0"/>
        <w:ind w:left="720" w:right="720"/>
        <w:rPr>
          <w:lang w:val="en-CA"/>
        </w:rPr>
      </w:pPr>
      <w:r w:rsidRPr="002A198E">
        <w:rPr>
          <w:lang w:val="en-CA"/>
        </w:rPr>
        <w:t xml:space="preserve"> </w:t>
      </w:r>
      <w:r w:rsidR="004B4634" w:rsidRPr="002A198E">
        <w:rPr>
          <w:lang w:val="en-CA"/>
        </w:rPr>
        <w:t>(d)</w:t>
      </w:r>
      <w:r w:rsidRPr="002A198E">
        <w:rPr>
          <w:lang w:val="en-CA"/>
        </w:rPr>
        <w:t xml:space="preserve"> </w:t>
      </w:r>
      <w:r w:rsidR="004B4634" w:rsidRPr="002A198E">
        <w:rPr>
          <w:lang w:val="en-CA"/>
        </w:rPr>
        <w:t>a mental disorder, or</w:t>
      </w:r>
    </w:p>
    <w:p w14:paraId="7DC1761B" w14:textId="77777777" w:rsidR="004B4634" w:rsidRPr="002A198E" w:rsidRDefault="002A198E" w:rsidP="009477ED">
      <w:pPr>
        <w:widowControl w:val="0"/>
        <w:ind w:left="720" w:right="720"/>
        <w:rPr>
          <w:lang w:val="en-CA"/>
        </w:rPr>
      </w:pPr>
      <w:r w:rsidRPr="002A198E">
        <w:rPr>
          <w:lang w:val="en-CA"/>
        </w:rPr>
        <w:t xml:space="preserve"> </w:t>
      </w:r>
      <w:r w:rsidR="004B4634" w:rsidRPr="002A198E">
        <w:rPr>
          <w:lang w:val="en-CA"/>
        </w:rPr>
        <w:t>(e)</w:t>
      </w:r>
      <w:r w:rsidRPr="002A198E">
        <w:rPr>
          <w:lang w:val="en-CA"/>
        </w:rPr>
        <w:t xml:space="preserve"> </w:t>
      </w:r>
      <w:r w:rsidR="004B4634" w:rsidRPr="002A198E">
        <w:rPr>
          <w:lang w:val="en-CA"/>
        </w:rPr>
        <w:t>an injury or disability for which benefits were claimed or received under the insurance plan established under the Workplace Safety and Insurance Act, 1997</w:t>
      </w:r>
      <w:r w:rsidR="009477ED">
        <w:rPr>
          <w:lang w:val="en-CA"/>
        </w:rPr>
        <w:t>.</w:t>
      </w:r>
      <w:r w:rsidR="004B4634" w:rsidRPr="002A198E">
        <w:rPr>
          <w:lang w:val="en-CA"/>
        </w:rPr>
        <w:t>”</w:t>
      </w:r>
    </w:p>
    <w:p w14:paraId="01DCDEED" w14:textId="77777777" w:rsidR="004B4634" w:rsidRPr="002A198E" w:rsidRDefault="004B4634" w:rsidP="002A198E">
      <w:pPr>
        <w:widowControl w:val="0"/>
        <w:rPr>
          <w:lang w:val="en-CA"/>
        </w:rPr>
      </w:pPr>
    </w:p>
    <w:p w14:paraId="1160D9FB" w14:textId="22BDA178" w:rsidR="004B4634" w:rsidRPr="002A198E" w:rsidRDefault="00BA5928" w:rsidP="002A198E">
      <w:pPr>
        <w:widowControl w:val="0"/>
        <w:rPr>
          <w:lang w:val="en-CA"/>
        </w:rPr>
      </w:pPr>
      <w:r>
        <w:rPr>
          <w:lang w:val="en-CA"/>
        </w:rPr>
        <w:t xml:space="preserve">The CDA should clarify this </w:t>
      </w:r>
      <w:r w:rsidR="00620ED7">
        <w:rPr>
          <w:lang w:val="en-CA"/>
        </w:rPr>
        <w:t xml:space="preserve">to </w:t>
      </w:r>
      <w:r w:rsidR="00B33C0F">
        <w:rPr>
          <w:lang w:val="en-CA"/>
        </w:rPr>
        <w:t xml:space="preserve">also </w:t>
      </w:r>
      <w:r w:rsidR="00AC002F">
        <w:rPr>
          <w:lang w:val="en-CA"/>
        </w:rPr>
        <w:t xml:space="preserve">name </w:t>
      </w:r>
      <w:r w:rsidR="004B4634" w:rsidRPr="002A198E">
        <w:rPr>
          <w:lang w:val="en-CA"/>
        </w:rPr>
        <w:t>communication disabilities</w:t>
      </w:r>
      <w:r w:rsidR="000176E5">
        <w:rPr>
          <w:lang w:val="en-CA"/>
        </w:rPr>
        <w:t xml:space="preserve">, autism </w:t>
      </w:r>
      <w:r w:rsidR="004B4634" w:rsidRPr="002A198E">
        <w:rPr>
          <w:lang w:val="en-CA"/>
        </w:rPr>
        <w:t xml:space="preserve"> and environmental sensitivities. </w:t>
      </w:r>
      <w:r w:rsidR="008B472C">
        <w:rPr>
          <w:lang w:val="en-CA"/>
        </w:rPr>
        <w:t xml:space="preserve">It should </w:t>
      </w:r>
      <w:r w:rsidR="00431AD7">
        <w:rPr>
          <w:lang w:val="en-CA"/>
        </w:rPr>
        <w:t xml:space="preserve">expressly </w:t>
      </w:r>
      <w:r w:rsidR="008B472C">
        <w:rPr>
          <w:lang w:val="en-CA"/>
        </w:rPr>
        <w:t xml:space="preserve">include episodic conditions, such as MS and mental health conditions. </w:t>
      </w:r>
      <w:r w:rsidR="00431AD7">
        <w:rPr>
          <w:lang w:val="en-CA"/>
        </w:rPr>
        <w:t>R</w:t>
      </w:r>
      <w:r w:rsidR="00620ED7">
        <w:rPr>
          <w:lang w:val="en-CA"/>
        </w:rPr>
        <w:t>eference to d</w:t>
      </w:r>
      <w:r w:rsidR="004B4634" w:rsidRPr="002A198E">
        <w:rPr>
          <w:lang w:val="en-CA"/>
        </w:rPr>
        <w:t>evelopmental disabilities</w:t>
      </w:r>
      <w:r w:rsidR="009477ED">
        <w:rPr>
          <w:lang w:val="en-CA"/>
        </w:rPr>
        <w:t>,</w:t>
      </w:r>
      <w:r w:rsidR="004B4634" w:rsidRPr="002A198E">
        <w:rPr>
          <w:lang w:val="en-CA"/>
        </w:rPr>
        <w:t xml:space="preserve"> </w:t>
      </w:r>
      <w:r w:rsidR="00620ED7">
        <w:rPr>
          <w:lang w:val="en-CA"/>
        </w:rPr>
        <w:t xml:space="preserve">should be expanded </w:t>
      </w:r>
      <w:r w:rsidR="004B4634" w:rsidRPr="002A198E">
        <w:rPr>
          <w:lang w:val="en-CA"/>
        </w:rPr>
        <w:t>to refer to intellectual disabilities.</w:t>
      </w:r>
      <w:r w:rsidR="008B472C">
        <w:rPr>
          <w:lang w:val="en-CA"/>
        </w:rPr>
        <w:t xml:space="preserve"> </w:t>
      </w:r>
      <w:r w:rsidR="00B33C0F">
        <w:rPr>
          <w:lang w:val="en-CA"/>
        </w:rPr>
        <w:t xml:space="preserve">The measure of a </w:t>
      </w:r>
      <w:r w:rsidR="00633260">
        <w:rPr>
          <w:lang w:val="en-CA"/>
        </w:rPr>
        <w:t xml:space="preserve">disability </w:t>
      </w:r>
      <w:r w:rsidR="008B472C">
        <w:rPr>
          <w:lang w:val="en-CA"/>
        </w:rPr>
        <w:t xml:space="preserve">should be functional, and not </w:t>
      </w:r>
      <w:r w:rsidR="00A658AD">
        <w:rPr>
          <w:lang w:val="en-CA"/>
        </w:rPr>
        <w:t xml:space="preserve">mandatorily </w:t>
      </w:r>
      <w:r w:rsidR="008B472C">
        <w:rPr>
          <w:lang w:val="en-CA"/>
        </w:rPr>
        <w:t>be medical.</w:t>
      </w:r>
    </w:p>
    <w:p w14:paraId="4B972849" w14:textId="77777777" w:rsidR="004B4634" w:rsidRPr="002A198E" w:rsidRDefault="004B4634" w:rsidP="002A198E">
      <w:pPr>
        <w:widowControl w:val="0"/>
        <w:rPr>
          <w:lang w:val="en-CA"/>
        </w:rPr>
      </w:pPr>
    </w:p>
    <w:p w14:paraId="00F1488C" w14:textId="77777777" w:rsidR="004B4634" w:rsidRPr="002A198E" w:rsidRDefault="004B4634" w:rsidP="002A198E">
      <w:pPr>
        <w:widowControl w:val="0"/>
        <w:rPr>
          <w:lang w:val="en-CA"/>
        </w:rPr>
      </w:pPr>
      <w:r w:rsidRPr="002A198E">
        <w:rPr>
          <w:lang w:val="en-CA"/>
        </w:rPr>
        <w:t xml:space="preserve">Barrier-Free Canada’s second principle, referred to above, also provides that the </w:t>
      </w:r>
      <w:r w:rsidR="003C2F2A">
        <w:rPr>
          <w:lang w:val="en-CA"/>
        </w:rPr>
        <w:t xml:space="preserve">CDA </w:t>
      </w:r>
      <w:r w:rsidRPr="002A198E">
        <w:rPr>
          <w:lang w:val="en-CA"/>
        </w:rPr>
        <w:t xml:space="preserve">“should apply to all accessibility barriers, for example physical, legal, bureaucratic, information, communication, attitudinal, technological, policy or other barriers.” </w:t>
      </w:r>
    </w:p>
    <w:p w14:paraId="4378D609" w14:textId="77777777" w:rsidR="004B4634" w:rsidRPr="002A198E" w:rsidRDefault="004B4634" w:rsidP="002A198E">
      <w:pPr>
        <w:widowControl w:val="0"/>
        <w:rPr>
          <w:lang w:val="en-CA"/>
        </w:rPr>
      </w:pPr>
    </w:p>
    <w:p w14:paraId="0DB7F370" w14:textId="77777777" w:rsidR="004B4634" w:rsidRPr="002A198E" w:rsidRDefault="00EB2FA4" w:rsidP="002A198E">
      <w:pPr>
        <w:widowControl w:val="0"/>
        <w:rPr>
          <w:lang w:val="en-CA"/>
        </w:rPr>
      </w:pPr>
      <w:r>
        <w:rPr>
          <w:lang w:val="en-CA"/>
        </w:rPr>
        <w:t>Section 2 of t</w:t>
      </w:r>
      <w:r w:rsidR="004B4634" w:rsidRPr="002A198E">
        <w:rPr>
          <w:lang w:val="en-CA"/>
        </w:rPr>
        <w:t xml:space="preserve">he AODA 2005 </w:t>
      </w:r>
      <w:r>
        <w:rPr>
          <w:lang w:val="en-CA"/>
        </w:rPr>
        <w:t xml:space="preserve">has </w:t>
      </w:r>
      <w:r w:rsidR="004B4634" w:rsidRPr="002A198E">
        <w:rPr>
          <w:lang w:val="en-CA"/>
        </w:rPr>
        <w:t>a helpful definition of barrier</w:t>
      </w:r>
      <w:r>
        <w:rPr>
          <w:lang w:val="en-CA"/>
        </w:rPr>
        <w:t>:</w:t>
      </w:r>
    </w:p>
    <w:p w14:paraId="6502B84C" w14:textId="77777777" w:rsidR="004B4634" w:rsidRPr="002A198E" w:rsidRDefault="004B4634" w:rsidP="002A198E">
      <w:pPr>
        <w:widowControl w:val="0"/>
        <w:rPr>
          <w:lang w:val="en-CA"/>
        </w:rPr>
      </w:pPr>
    </w:p>
    <w:p w14:paraId="346526AF" w14:textId="77777777" w:rsidR="004B4634" w:rsidRPr="002A198E" w:rsidRDefault="004B4634" w:rsidP="009477ED">
      <w:pPr>
        <w:widowControl w:val="0"/>
        <w:ind w:left="720" w:right="720"/>
        <w:rPr>
          <w:lang w:val="en-CA"/>
        </w:rPr>
      </w:pPr>
      <w:r w:rsidRPr="002A198E">
        <w:rPr>
          <w:lang w:val="en-CA"/>
        </w:rPr>
        <w:lastRenderedPageBreak/>
        <w:t>“barrier” means anything that prevents a person with a disability from fully participating in all aspects of society because of his or her disability, including a physical barrier, an architectural barrier, an information or communications barrier, an attitudinal barrier, a technological barrier, a policy or a practice</w:t>
      </w:r>
      <w:r w:rsidR="009477ED">
        <w:rPr>
          <w:lang w:val="en-CA"/>
        </w:rPr>
        <w:t>.</w:t>
      </w:r>
      <w:r w:rsidRPr="002A198E">
        <w:rPr>
          <w:lang w:val="en-CA"/>
        </w:rPr>
        <w:t>”</w:t>
      </w:r>
    </w:p>
    <w:p w14:paraId="2789D0B5" w14:textId="77777777" w:rsidR="004B4634" w:rsidRDefault="004B4634" w:rsidP="002A198E">
      <w:pPr>
        <w:widowControl w:val="0"/>
        <w:rPr>
          <w:lang w:val="en-CA"/>
        </w:rPr>
      </w:pPr>
    </w:p>
    <w:p w14:paraId="6D186E04" w14:textId="77777777" w:rsidR="004B4634" w:rsidRPr="002A198E" w:rsidRDefault="005D4708" w:rsidP="002A198E">
      <w:pPr>
        <w:pStyle w:val="Heading2"/>
        <w:keepNext w:val="0"/>
        <w:keepLines w:val="0"/>
        <w:widowControl w:val="0"/>
        <w:spacing w:before="0"/>
        <w:rPr>
          <w:lang w:val="en-CA"/>
        </w:rPr>
      </w:pPr>
      <w:bookmarkStart w:id="12" w:name="_Toc319660884"/>
      <w:r>
        <w:rPr>
          <w:lang w:val="en-CA"/>
        </w:rPr>
        <w:t>f</w:t>
      </w:r>
      <w:r w:rsidR="000F0D3D" w:rsidRPr="002A198E">
        <w:rPr>
          <w:lang w:val="en-CA"/>
        </w:rPr>
        <w:t xml:space="preserve">) </w:t>
      </w:r>
      <w:r w:rsidR="004B4634" w:rsidRPr="002A198E">
        <w:rPr>
          <w:lang w:val="en-CA"/>
        </w:rPr>
        <w:t>Requiring the Federal Government to Create Mandatory, Enforceable Accessibility Standards that Lead Canada to Full Accessibility</w:t>
      </w:r>
      <w:bookmarkEnd w:id="12"/>
    </w:p>
    <w:p w14:paraId="5D418D7B" w14:textId="77777777" w:rsidR="004B4634" w:rsidRPr="002A198E" w:rsidRDefault="004B4634" w:rsidP="002A198E">
      <w:pPr>
        <w:widowControl w:val="0"/>
        <w:rPr>
          <w:lang w:val="en-CA"/>
        </w:rPr>
      </w:pPr>
    </w:p>
    <w:p w14:paraId="36DD959B" w14:textId="77777777" w:rsidR="004B4634" w:rsidRPr="002A198E" w:rsidRDefault="004B4634" w:rsidP="002A198E">
      <w:pPr>
        <w:widowControl w:val="0"/>
        <w:rPr>
          <w:lang w:val="en-CA"/>
        </w:rPr>
      </w:pPr>
      <w:r w:rsidRPr="002A198E">
        <w:rPr>
          <w:lang w:val="en-CA"/>
        </w:rPr>
        <w:t>As a core</w:t>
      </w:r>
      <w:r w:rsidR="00437E0D">
        <w:rPr>
          <w:lang w:val="en-CA"/>
        </w:rPr>
        <w:t>,</w:t>
      </w:r>
      <w:r w:rsidRPr="002A198E">
        <w:rPr>
          <w:lang w:val="en-CA"/>
        </w:rPr>
        <w:t xml:space="preserve"> </w:t>
      </w:r>
      <w:r w:rsidR="003A5A71">
        <w:rPr>
          <w:lang w:val="en-CA"/>
        </w:rPr>
        <w:t xml:space="preserve">indispensable </w:t>
      </w:r>
      <w:r w:rsidRPr="002A198E">
        <w:rPr>
          <w:lang w:val="en-CA"/>
        </w:rPr>
        <w:t xml:space="preserve">ingredient, the </w:t>
      </w:r>
      <w:r w:rsidR="007E2C24">
        <w:rPr>
          <w:lang w:val="en-CA"/>
        </w:rPr>
        <w:t xml:space="preserve">CDA </w:t>
      </w:r>
      <w:r w:rsidRPr="002A198E">
        <w:rPr>
          <w:lang w:val="en-CA"/>
        </w:rPr>
        <w:t>should require the Federal Government to develop, enact and enforce all the mandatory, enforceable accessibility standards needed to ensure that as far as it can, the Federal Government lead</w:t>
      </w:r>
      <w:r w:rsidR="004C61A7">
        <w:rPr>
          <w:lang w:val="en-CA"/>
        </w:rPr>
        <w:t>s</w:t>
      </w:r>
      <w:r w:rsidRPr="002A198E">
        <w:rPr>
          <w:lang w:val="en-CA"/>
        </w:rPr>
        <w:t xml:space="preserve"> Canada to become fully accessible to all people with disabilities by the Act’s deadline. Barrier-Free Canada’s 14 Principles include:</w:t>
      </w:r>
    </w:p>
    <w:p w14:paraId="6DC120B1" w14:textId="77777777" w:rsidR="004B4634" w:rsidRPr="002A198E" w:rsidRDefault="004B4634" w:rsidP="002A198E">
      <w:pPr>
        <w:widowControl w:val="0"/>
        <w:rPr>
          <w:lang w:val="en-CA"/>
        </w:rPr>
      </w:pPr>
    </w:p>
    <w:p w14:paraId="251007C9" w14:textId="77777777" w:rsidR="004B4634" w:rsidRPr="002A198E" w:rsidRDefault="009477ED" w:rsidP="009477ED">
      <w:pPr>
        <w:widowControl w:val="0"/>
        <w:ind w:left="720" w:right="720"/>
        <w:rPr>
          <w:lang w:val="en-CA"/>
        </w:rPr>
      </w:pPr>
      <w:r w:rsidRPr="002A198E">
        <w:rPr>
          <w:lang w:val="en-CA"/>
        </w:rPr>
        <w:t>“</w:t>
      </w:r>
      <w:r w:rsidR="004B4634" w:rsidRPr="002A198E">
        <w:rPr>
          <w:lang w:val="en-CA"/>
        </w:rPr>
        <w:t>4. The Canadians with Disabilities Act should require Canada, including organizations to whom it applies, to be made fully accessible to all persons with disabilities through the removal of existing barriers and the prevention of the creation of new barriers, within strict time frames to be prescribed in the legislation or regulations</w:t>
      </w:r>
      <w:r w:rsidR="002A6658">
        <w:rPr>
          <w:lang w:val="en-CA"/>
        </w:rPr>
        <w:t>…</w:t>
      </w:r>
    </w:p>
    <w:p w14:paraId="730769A2" w14:textId="77777777" w:rsidR="004B4634" w:rsidRPr="002A198E" w:rsidRDefault="004B4634" w:rsidP="002A198E">
      <w:pPr>
        <w:widowControl w:val="0"/>
        <w:rPr>
          <w:lang w:val="en-CA"/>
        </w:rPr>
      </w:pPr>
    </w:p>
    <w:p w14:paraId="7E6C4DDB" w14:textId="77777777" w:rsidR="004B4634" w:rsidRPr="002A198E" w:rsidRDefault="002A6658" w:rsidP="009477ED">
      <w:pPr>
        <w:widowControl w:val="0"/>
        <w:ind w:left="720" w:right="720"/>
        <w:rPr>
          <w:lang w:val="en-CA"/>
        </w:rPr>
      </w:pPr>
      <w:r>
        <w:rPr>
          <w:lang w:val="en-CA"/>
        </w:rPr>
        <w:t>…</w:t>
      </w:r>
      <w:r w:rsidR="004B4634" w:rsidRPr="002A198E">
        <w:rPr>
          <w:lang w:val="en-CA"/>
        </w:rPr>
        <w:t>9. As part of its requirement that the Government of Canada lead Canada to the goal of full accessibility for Canadians with disabilities, the Act</w:t>
      </w:r>
      <w:r w:rsidR="002A198E" w:rsidRPr="002A198E">
        <w:rPr>
          <w:lang w:val="en-CA"/>
        </w:rPr>
        <w:t xml:space="preserve"> </w:t>
      </w:r>
      <w:r w:rsidR="004B4634" w:rsidRPr="002A198E">
        <w:rPr>
          <w:lang w:val="en-CA"/>
        </w:rPr>
        <w:t>should require the Government of Canada to make regulations needed to define with clarity the steps required for compliance with the Canadians with Disabilities Act. It should be open for such regulations to be made on an industry-by-industry or sector-by-sector basis. This should include a requirement that input be obtained from affected groups such as persons with disabilities and obligated organizations, before such regulations are enacted. It should also provide persons with disabilities with the opportunity to apply to have regulations made in specific sectors of the economy to which the Act can apply. The Act should require the Government of Canada to make all the accessibility standards regulations needed to ensure that its goals are achieved, and that these regulations be independently reviewed for sufficiency every four years after they were enacted</w:t>
      </w:r>
      <w:r w:rsidR="009477ED">
        <w:rPr>
          <w:lang w:val="en-CA"/>
        </w:rPr>
        <w:t>.</w:t>
      </w:r>
      <w:r w:rsidR="009477ED" w:rsidRPr="002A198E">
        <w:rPr>
          <w:lang w:val="en-CA"/>
        </w:rPr>
        <w:t>”</w:t>
      </w:r>
    </w:p>
    <w:p w14:paraId="1BF3BAE1" w14:textId="77777777" w:rsidR="004B4634" w:rsidRPr="002A198E" w:rsidRDefault="004B4634" w:rsidP="002A198E">
      <w:pPr>
        <w:widowControl w:val="0"/>
        <w:rPr>
          <w:lang w:val="en-CA"/>
        </w:rPr>
      </w:pPr>
    </w:p>
    <w:p w14:paraId="70550800" w14:textId="758DCA07" w:rsidR="00391143" w:rsidRDefault="00D95B29" w:rsidP="002A198E">
      <w:pPr>
        <w:widowControl w:val="0"/>
        <w:rPr>
          <w:lang w:val="en-CA"/>
        </w:rPr>
      </w:pPr>
      <w:r>
        <w:rPr>
          <w:lang w:val="en-CA"/>
        </w:rPr>
        <w:t>Accessibility standards are mandatory, enforceable regulations that the Federal Government would enact to specify in detail exactly what an organization must do, and by when, to become fully accessible.</w:t>
      </w:r>
      <w:r w:rsidR="006B50F5">
        <w:rPr>
          <w:lang w:val="en-CA"/>
        </w:rPr>
        <w:t xml:space="preserve"> </w:t>
      </w:r>
      <w:r w:rsidR="008F3D4D">
        <w:rPr>
          <w:lang w:val="en-CA"/>
        </w:rPr>
        <w:t>Good a</w:t>
      </w:r>
      <w:r w:rsidR="004B4634" w:rsidRPr="002A198E">
        <w:rPr>
          <w:lang w:val="en-CA"/>
        </w:rPr>
        <w:t xml:space="preserve">ccessibility standards dramatically reduce the need for people with disabilities to battle </w:t>
      </w:r>
      <w:r w:rsidR="002574A2" w:rsidRPr="002A198E">
        <w:rPr>
          <w:lang w:val="en-CA"/>
        </w:rPr>
        <w:t>foreseeable</w:t>
      </w:r>
      <w:r w:rsidR="004B4634" w:rsidRPr="002A198E">
        <w:rPr>
          <w:lang w:val="en-CA"/>
        </w:rPr>
        <w:t>, recurring accessibility barriers one at a time, one obligated organization at a time, through innumerable human rights</w:t>
      </w:r>
      <w:r w:rsidR="00E0223B">
        <w:rPr>
          <w:lang w:val="en-CA"/>
        </w:rPr>
        <w:t>/</w:t>
      </w:r>
      <w:r w:rsidR="004B4634" w:rsidRPr="002321B2">
        <w:rPr>
          <w:i/>
          <w:lang w:val="en-CA"/>
        </w:rPr>
        <w:t>Charter</w:t>
      </w:r>
      <w:r w:rsidR="004B4634" w:rsidRPr="002A198E">
        <w:rPr>
          <w:lang w:val="en-CA"/>
        </w:rPr>
        <w:t xml:space="preserve"> challenges. They make it easier for obligated organizations </w:t>
      </w:r>
      <w:r w:rsidR="00B04933">
        <w:rPr>
          <w:lang w:val="en-CA"/>
        </w:rPr>
        <w:t xml:space="preserve">to know what they must do, and </w:t>
      </w:r>
      <w:r w:rsidR="00D60C83">
        <w:rPr>
          <w:lang w:val="en-CA"/>
        </w:rPr>
        <w:t xml:space="preserve">to </w:t>
      </w:r>
      <w:r w:rsidR="004B4634" w:rsidRPr="002A198E">
        <w:rPr>
          <w:lang w:val="en-CA"/>
        </w:rPr>
        <w:t xml:space="preserve">undertake orderly </w:t>
      </w:r>
      <w:r w:rsidR="00E0223B">
        <w:rPr>
          <w:lang w:val="en-CA"/>
        </w:rPr>
        <w:t xml:space="preserve">accessibility </w:t>
      </w:r>
      <w:r w:rsidR="004B4634" w:rsidRPr="002A198E">
        <w:rPr>
          <w:lang w:val="en-CA"/>
        </w:rPr>
        <w:t>plannin</w:t>
      </w:r>
      <w:r w:rsidR="005B753A">
        <w:rPr>
          <w:lang w:val="en-CA"/>
        </w:rPr>
        <w:t>g</w:t>
      </w:r>
      <w:r w:rsidR="004B4634" w:rsidRPr="002A198E">
        <w:rPr>
          <w:lang w:val="en-CA"/>
        </w:rPr>
        <w:t xml:space="preserve">. </w:t>
      </w:r>
      <w:r w:rsidR="00E0223B">
        <w:rPr>
          <w:lang w:val="en-CA"/>
        </w:rPr>
        <w:t xml:space="preserve">They </w:t>
      </w:r>
      <w:r w:rsidR="004B4634" w:rsidRPr="002A198E">
        <w:rPr>
          <w:lang w:val="en-CA"/>
        </w:rPr>
        <w:t>can save obligated organizations time and money</w:t>
      </w:r>
      <w:r w:rsidR="00B04933">
        <w:rPr>
          <w:lang w:val="en-CA"/>
        </w:rPr>
        <w:t>.</w:t>
      </w:r>
      <w:r w:rsidR="004B4634" w:rsidRPr="002A198E">
        <w:rPr>
          <w:lang w:val="en-CA"/>
        </w:rPr>
        <w:t xml:space="preserve"> Instead of each organization reinvent</w:t>
      </w:r>
      <w:r w:rsidR="00B04933">
        <w:rPr>
          <w:lang w:val="en-CA"/>
        </w:rPr>
        <w:t>ing</w:t>
      </w:r>
      <w:r w:rsidR="004B4634" w:rsidRPr="002A198E">
        <w:rPr>
          <w:lang w:val="en-CA"/>
        </w:rPr>
        <w:t xml:space="preserve"> the accessibility wheel, hiring accessibility consultants and seeking legal advice, a </w:t>
      </w:r>
      <w:r w:rsidR="00B50BC5">
        <w:rPr>
          <w:lang w:val="en-CA"/>
        </w:rPr>
        <w:t>g</w:t>
      </w:r>
      <w:r w:rsidR="00391143">
        <w:rPr>
          <w:lang w:val="en-CA"/>
        </w:rPr>
        <w:t xml:space="preserve">ood </w:t>
      </w:r>
      <w:r w:rsidR="004B4634" w:rsidRPr="002A198E">
        <w:rPr>
          <w:lang w:val="en-CA"/>
        </w:rPr>
        <w:t>accessibility standard show</w:t>
      </w:r>
      <w:r w:rsidR="006B01E4">
        <w:rPr>
          <w:lang w:val="en-CA"/>
        </w:rPr>
        <w:t>s</w:t>
      </w:r>
      <w:r w:rsidR="004B4634" w:rsidRPr="002A198E">
        <w:rPr>
          <w:lang w:val="en-CA"/>
        </w:rPr>
        <w:t xml:space="preserve"> </w:t>
      </w:r>
      <w:r w:rsidR="0098755D">
        <w:rPr>
          <w:lang w:val="en-CA"/>
        </w:rPr>
        <w:t xml:space="preserve">them </w:t>
      </w:r>
      <w:r w:rsidR="004B4634" w:rsidRPr="002A198E">
        <w:rPr>
          <w:lang w:val="en-CA"/>
        </w:rPr>
        <w:t>the way</w:t>
      </w:r>
      <w:r w:rsidR="00391143">
        <w:rPr>
          <w:lang w:val="en-CA"/>
        </w:rPr>
        <w:t>.</w:t>
      </w:r>
    </w:p>
    <w:p w14:paraId="0920E608" w14:textId="77777777" w:rsidR="00A93BD1" w:rsidRPr="002A198E" w:rsidRDefault="00A93BD1" w:rsidP="002A198E">
      <w:pPr>
        <w:widowControl w:val="0"/>
        <w:rPr>
          <w:lang w:val="en-CA"/>
        </w:rPr>
      </w:pPr>
    </w:p>
    <w:p w14:paraId="4E258876" w14:textId="6E65DBB5" w:rsidR="008F3D4D" w:rsidRPr="002A198E" w:rsidRDefault="004B4634" w:rsidP="008F3D4D">
      <w:pPr>
        <w:widowControl w:val="0"/>
        <w:rPr>
          <w:lang w:val="en-CA"/>
        </w:rPr>
      </w:pPr>
      <w:r w:rsidRPr="002A198E">
        <w:rPr>
          <w:lang w:val="en-CA"/>
        </w:rPr>
        <w:t xml:space="preserve">The Ontario Government’s duty to create accessibility standards is a core </w:t>
      </w:r>
      <w:r w:rsidR="008F3D4D">
        <w:rPr>
          <w:lang w:val="en-CA"/>
        </w:rPr>
        <w:t xml:space="preserve">AODA </w:t>
      </w:r>
      <w:r w:rsidRPr="002A198E">
        <w:rPr>
          <w:lang w:val="en-CA"/>
        </w:rPr>
        <w:t>responsibilit</w:t>
      </w:r>
      <w:r w:rsidR="008F3D4D">
        <w:rPr>
          <w:lang w:val="en-CA"/>
        </w:rPr>
        <w:t>y</w:t>
      </w:r>
      <w:r w:rsidR="00B50BC5">
        <w:rPr>
          <w:lang w:val="en-CA"/>
        </w:rPr>
        <w:t>. Section 6(a</w:t>
      </w:r>
      <w:r w:rsidRPr="002A198E">
        <w:rPr>
          <w:lang w:val="en-CA"/>
        </w:rPr>
        <w:t>) of the AODA provides</w:t>
      </w:r>
      <w:r w:rsidR="008F3D4D">
        <w:rPr>
          <w:lang w:val="en-CA"/>
        </w:rPr>
        <w:t xml:space="preserve"> </w:t>
      </w:r>
      <w:r w:rsidR="00B50BC5">
        <w:rPr>
          <w:lang w:val="en-CA"/>
        </w:rPr>
        <w:t>that an</w:t>
      </w:r>
      <w:r w:rsidR="008F3D4D">
        <w:rPr>
          <w:lang w:val="en-CA"/>
        </w:rPr>
        <w:t xml:space="preserve"> </w:t>
      </w:r>
      <w:r w:rsidRPr="002A198E">
        <w:rPr>
          <w:lang w:val="en-CA"/>
        </w:rPr>
        <w:t>accessibility standard shall</w:t>
      </w:r>
      <w:r w:rsidR="008F3D4D">
        <w:rPr>
          <w:lang w:val="en-CA"/>
        </w:rPr>
        <w:t xml:space="preserve"> "</w:t>
      </w:r>
      <w:r w:rsidRPr="002A198E">
        <w:rPr>
          <w:lang w:val="en-CA"/>
        </w:rPr>
        <w:t xml:space="preserve">set out measures, policies, practices or other requirements for the identification and removal of barriers with </w:t>
      </w:r>
      <w:r w:rsidRPr="002A198E">
        <w:rPr>
          <w:lang w:val="en-CA"/>
        </w:rPr>
        <w:lastRenderedPageBreak/>
        <w:t>respect to goods, services, facilities, accommodation, employment, buildings, structures, premises or such other things as may be prescribed, and for the prevention of the erection of such barriers</w:t>
      </w:r>
      <w:r w:rsidR="00B50BC5">
        <w:rPr>
          <w:lang w:val="en-CA"/>
        </w:rPr>
        <w:t xml:space="preserve">” along timelines the </w:t>
      </w:r>
      <w:r w:rsidR="008F3D4D">
        <w:rPr>
          <w:lang w:val="en-CA"/>
        </w:rPr>
        <w:t xml:space="preserve">standard sets.  </w:t>
      </w:r>
    </w:p>
    <w:p w14:paraId="10F1029E" w14:textId="77777777" w:rsidR="004B4634" w:rsidRPr="002A198E" w:rsidRDefault="004B4634" w:rsidP="009477ED">
      <w:pPr>
        <w:widowControl w:val="0"/>
        <w:ind w:left="720" w:right="720"/>
        <w:rPr>
          <w:lang w:val="en-CA"/>
        </w:rPr>
      </w:pPr>
    </w:p>
    <w:p w14:paraId="08FE2285" w14:textId="77777777" w:rsidR="004B4634" w:rsidRPr="002A198E" w:rsidRDefault="004B4634" w:rsidP="002A198E">
      <w:pPr>
        <w:widowControl w:val="0"/>
        <w:rPr>
          <w:lang w:val="en-CA"/>
        </w:rPr>
      </w:pPr>
      <w:r w:rsidRPr="002A198E">
        <w:rPr>
          <w:lang w:val="en-CA"/>
        </w:rPr>
        <w:t xml:space="preserve">The </w:t>
      </w:r>
      <w:r w:rsidR="000A7020">
        <w:rPr>
          <w:lang w:val="en-CA"/>
        </w:rPr>
        <w:t xml:space="preserve">CDA </w:t>
      </w:r>
      <w:r w:rsidRPr="002A198E">
        <w:rPr>
          <w:lang w:val="en-CA"/>
        </w:rPr>
        <w:t xml:space="preserve">should require that an accessibility standard must identify barriers that must be removed or prevented, and must specify what action an obligated organization must take. It is not enough for an accessibility standard to say that an obligated organization should “have regard to accessibility” or “consider accessibility” or “plan for accessibility”. </w:t>
      </w:r>
    </w:p>
    <w:p w14:paraId="187F07DC" w14:textId="77777777" w:rsidR="004B4634" w:rsidRPr="002A198E" w:rsidRDefault="004B4634" w:rsidP="002A198E">
      <w:pPr>
        <w:widowControl w:val="0"/>
        <w:rPr>
          <w:lang w:val="en-CA"/>
        </w:rPr>
      </w:pPr>
    </w:p>
    <w:p w14:paraId="5C5D3798" w14:textId="77777777" w:rsidR="00081CE0" w:rsidRDefault="00081CE0" w:rsidP="00081CE0">
      <w:r>
        <w:t>The Federal Government's CDA consultation Discussion Guide proposes that two options for this legislation, which aren't mutually exclusive, include:</w:t>
      </w:r>
    </w:p>
    <w:p w14:paraId="7F2AB6A7" w14:textId="77777777" w:rsidR="00081CE0" w:rsidRDefault="00081CE0" w:rsidP="00081CE0"/>
    <w:p w14:paraId="24AE2F36" w14:textId="77777777" w:rsidR="00081CE0" w:rsidRDefault="00081CE0" w:rsidP="00B50BC5">
      <w:pPr>
        <w:ind w:left="720"/>
      </w:pPr>
      <w:r>
        <w:t>a) enacting specific accessibility requirements that set out what steps organizations must take to become accessible, and/or</w:t>
      </w:r>
    </w:p>
    <w:p w14:paraId="4955FEE9" w14:textId="77777777" w:rsidR="00081CE0" w:rsidRDefault="00081CE0" w:rsidP="00B50BC5">
      <w:pPr>
        <w:ind w:left="720"/>
      </w:pPr>
    </w:p>
    <w:p w14:paraId="032117C0" w14:textId="77777777" w:rsidR="00081CE0" w:rsidRDefault="00081CE0" w:rsidP="00B50BC5">
      <w:pPr>
        <w:ind w:left="720"/>
      </w:pPr>
      <w:r>
        <w:t xml:space="preserve">b) setting accessibility results organizations must achieve, leaving it to each organization to plan on how </w:t>
      </w:r>
      <w:r w:rsidR="00B71C2E">
        <w:t xml:space="preserve">to </w:t>
      </w:r>
      <w:r>
        <w:t>achieve those goals.</w:t>
      </w:r>
      <w:r w:rsidR="00847641">
        <w:rPr>
          <w:rStyle w:val="EndnoteReference"/>
        </w:rPr>
        <w:endnoteReference w:id="33"/>
      </w:r>
    </w:p>
    <w:p w14:paraId="2798D1D4" w14:textId="77777777" w:rsidR="00081CE0" w:rsidRDefault="00081CE0" w:rsidP="00081CE0"/>
    <w:p w14:paraId="2CB68AE2" w14:textId="58B21BE8" w:rsidR="00081CE0" w:rsidRDefault="00081CE0" w:rsidP="00081CE0">
      <w:r>
        <w:t>Ontario</w:t>
      </w:r>
      <w:r w:rsidR="00416012">
        <w:t>'s</w:t>
      </w:r>
      <w:r>
        <w:t xml:space="preserve"> extensive experience shows that the dominant requirement should be setting detailed requirements for specific accessibility action. From 2001 to 2015, the </w:t>
      </w:r>
      <w:r w:rsidRPr="00B50BC5">
        <w:rPr>
          <w:i/>
        </w:rPr>
        <w:t>Ontarians with Disabilities Act</w:t>
      </w:r>
      <w:r>
        <w:t xml:space="preserve">, which </w:t>
      </w:r>
      <w:r w:rsidR="003C785D">
        <w:t>preceded</w:t>
      </w:r>
      <w:r>
        <w:t xml:space="preserve"> the stronger AODA, principally required public sector organizations to make annual accessibility plans.</w:t>
      </w:r>
      <w:r w:rsidR="009F0FA2">
        <w:rPr>
          <w:rStyle w:val="EndnoteReference"/>
        </w:rPr>
        <w:endnoteReference w:id="34"/>
      </w:r>
      <w:r>
        <w:t xml:space="preserve"> This accomplished little. Obligated organizations understandably </w:t>
      </w:r>
      <w:r w:rsidR="0091668D">
        <w:t xml:space="preserve">get </w:t>
      </w:r>
      <w:r>
        <w:t>frustrated</w:t>
      </w:r>
      <w:r w:rsidR="0091668D">
        <w:t>.</w:t>
      </w:r>
      <w:r>
        <w:t xml:space="preserve"> </w:t>
      </w:r>
      <w:r w:rsidR="0091668D">
        <w:t>E</w:t>
      </w:r>
      <w:r w:rsidR="00B50BC5">
        <w:t xml:space="preserve">ach must waste money, </w:t>
      </w:r>
      <w:r>
        <w:t>duplicating effort to figure out what to do.</w:t>
      </w:r>
    </w:p>
    <w:p w14:paraId="71FADAE9" w14:textId="77777777" w:rsidR="00081CE0" w:rsidRDefault="00081CE0" w:rsidP="00081CE0"/>
    <w:p w14:paraId="3FAD228B" w14:textId="25BFEF0E" w:rsidR="003110B0" w:rsidRDefault="00081CE0" w:rsidP="00081CE0">
      <w:r>
        <w:t>This problem recur</w:t>
      </w:r>
      <w:r w:rsidR="006715E4">
        <w:t>s</w:t>
      </w:r>
      <w:r>
        <w:t xml:space="preserve"> under some AODA accessibility standards. For example, Ontario accessibility standards require the goal of accessible electronic kiosks,</w:t>
      </w:r>
      <w:r w:rsidR="009F0FA2">
        <w:rPr>
          <w:rStyle w:val="EndnoteReference"/>
        </w:rPr>
        <w:endnoteReference w:id="35"/>
      </w:r>
      <w:r>
        <w:t xml:space="preserve"> accessible counter heights in public service areas for getting customer service,</w:t>
      </w:r>
      <w:r w:rsidR="009F0FA2">
        <w:rPr>
          <w:rStyle w:val="EndnoteReference"/>
        </w:rPr>
        <w:endnoteReference w:id="36"/>
      </w:r>
      <w:r>
        <w:t xml:space="preserve"> and accessible playground equipment</w:t>
      </w:r>
      <w:r w:rsidR="009F0FA2">
        <w:rPr>
          <w:rStyle w:val="EndnoteReference"/>
        </w:rPr>
        <w:endnoteReference w:id="37"/>
      </w:r>
      <w:r>
        <w:t xml:space="preserve"> (all when new kiosks, counters or playgrounds are created</w:t>
      </w:r>
      <w:r w:rsidR="00E453CB">
        <w:t xml:space="preserve">). However, </w:t>
      </w:r>
      <w:r>
        <w:t>the accessibility standards don't spell out what accessibility features should be incorporated in new electronic kiosks, or how high to make a new public service counter, or what accessibility features to include in new playground equipment</w:t>
      </w:r>
      <w:r w:rsidR="003110B0">
        <w:t xml:space="preserve">. </w:t>
      </w:r>
      <w:r>
        <w:t xml:space="preserve">Each organization must wastefully hire consultants, and hope they get it right. The </w:t>
      </w:r>
      <w:r w:rsidR="008F735C">
        <w:t xml:space="preserve">2014 Mayo </w:t>
      </w:r>
      <w:r>
        <w:t xml:space="preserve">Moran AODA Independent Review </w:t>
      </w:r>
      <w:r w:rsidR="003110B0">
        <w:t xml:space="preserve">Report </w:t>
      </w:r>
      <w:r w:rsidR="0005527F">
        <w:t>concluded</w:t>
      </w:r>
      <w:r w:rsidR="003110B0">
        <w:t>:</w:t>
      </w:r>
    </w:p>
    <w:p w14:paraId="7012F8BF" w14:textId="77777777" w:rsidR="00081CE0" w:rsidRDefault="00081CE0" w:rsidP="00081CE0"/>
    <w:p w14:paraId="22DDB7D1" w14:textId="77777777" w:rsidR="00081CE0" w:rsidRDefault="00081CE0" w:rsidP="00081CE0">
      <w:pPr>
        <w:ind w:left="720" w:right="720"/>
      </w:pPr>
      <w:r>
        <w:t xml:space="preserve">"One of the most common pieces of feedback received by the Review focussed on the difficulty of interpreting the meaning of the standards under the AODA.  Both the public and private sectors said they had problems understanding their obligations because the standards are often not clear enough or specific enough about what is required.  Public sector organizations, while doing their best to comply, are often uncertain about what exactly compliance with the standards requires.  The fact that the standards have been framed very generally means that it is hard to know when they have been met.  For example, the standards do not offer reference points for several general obligations, such as what it means to provide accessible formats or incorporate accessibility features into procurement.  </w:t>
      </w:r>
      <w:r>
        <w:lastRenderedPageBreak/>
        <w:t>This leaves organizations to depend on guesswork or expensive consultants and lawyers to determine what compliance entails."</w:t>
      </w:r>
      <w:r w:rsidR="009F0FA2">
        <w:rPr>
          <w:rStyle w:val="EndnoteReference"/>
        </w:rPr>
        <w:endnoteReference w:id="38"/>
      </w:r>
    </w:p>
    <w:p w14:paraId="2EE18D4A" w14:textId="77777777" w:rsidR="00DF3509" w:rsidRDefault="00DF3509" w:rsidP="00081CE0">
      <w:pPr>
        <w:ind w:left="720" w:right="720"/>
      </w:pPr>
    </w:p>
    <w:p w14:paraId="1DF62AD9" w14:textId="01BB7883" w:rsidR="00B740A8" w:rsidRDefault="00B740A8" w:rsidP="00B740A8">
      <w:pPr>
        <w:widowControl w:val="0"/>
        <w:rPr>
          <w:lang w:val="en-CA"/>
        </w:rPr>
      </w:pPr>
      <w:r>
        <w:rPr>
          <w:lang w:val="en-CA"/>
        </w:rPr>
        <w:t xml:space="preserve">Some Ontario accessibility standards provide needed </w:t>
      </w:r>
      <w:r w:rsidR="00BE17B2">
        <w:rPr>
          <w:lang w:val="en-CA"/>
        </w:rPr>
        <w:t xml:space="preserve">and helpful </w:t>
      </w:r>
      <w:r>
        <w:rPr>
          <w:lang w:val="en-CA"/>
        </w:rPr>
        <w:t xml:space="preserve">specificity. For example </w:t>
      </w:r>
      <w:r w:rsidR="006D75A0">
        <w:rPr>
          <w:lang w:val="en-CA"/>
        </w:rPr>
        <w:t>one</w:t>
      </w:r>
      <w:r>
        <w:rPr>
          <w:lang w:val="en-CA"/>
        </w:rPr>
        <w:t xml:space="preserve"> specifies the </w:t>
      </w:r>
      <w:r w:rsidR="00D07C2A">
        <w:rPr>
          <w:lang w:val="en-CA"/>
        </w:rPr>
        <w:t xml:space="preserve">rule </w:t>
      </w:r>
      <w:r>
        <w:rPr>
          <w:lang w:val="en-CA"/>
        </w:rPr>
        <w:t>for website accessibility.</w:t>
      </w:r>
      <w:r w:rsidR="005A71D4">
        <w:rPr>
          <w:rStyle w:val="EndnoteReference"/>
          <w:lang w:val="en-CA"/>
        </w:rPr>
        <w:endnoteReference w:id="39"/>
      </w:r>
      <w:r>
        <w:rPr>
          <w:lang w:val="en-CA"/>
        </w:rPr>
        <w:t xml:space="preserve"> Other</w:t>
      </w:r>
      <w:r w:rsidR="00AB511F">
        <w:rPr>
          <w:lang w:val="en-CA"/>
        </w:rPr>
        <w:t>s</w:t>
      </w:r>
      <w:r>
        <w:rPr>
          <w:lang w:val="en-CA"/>
        </w:rPr>
        <w:t xml:space="preserve"> lack this. For example</w:t>
      </w:r>
      <w:r w:rsidR="00E453CB">
        <w:rPr>
          <w:lang w:val="en-CA"/>
        </w:rPr>
        <w:t>,</w:t>
      </w:r>
      <w:r>
        <w:rPr>
          <w:lang w:val="en-CA"/>
        </w:rPr>
        <w:t xml:space="preserve"> Ontario’s 2007 </w:t>
      </w:r>
      <w:r w:rsidRPr="00E453CB">
        <w:rPr>
          <w:i/>
          <w:lang w:val="en-CA"/>
        </w:rPr>
        <w:t>Customer Service Accessibility Standard</w:t>
      </w:r>
      <w:r>
        <w:rPr>
          <w:rStyle w:val="EndnoteReference"/>
          <w:lang w:val="en-CA"/>
        </w:rPr>
        <w:endnoteReference w:id="40"/>
      </w:r>
      <w:r>
        <w:rPr>
          <w:lang w:val="en-CA"/>
        </w:rPr>
        <w:t xml:space="preserve"> tells obligated organizations to develop a policy on accessible Customer Service, to train staff on it, and to have a customer feedback mechanism. With few exceptions it doesn't list the barriers to Customer Service that need to be addressed, </w:t>
      </w:r>
      <w:r w:rsidR="00E453CB">
        <w:rPr>
          <w:lang w:val="en-CA"/>
        </w:rPr>
        <w:t>nor does it</w:t>
      </w:r>
      <w:r>
        <w:rPr>
          <w:lang w:val="en-CA"/>
        </w:rPr>
        <w:t xml:space="preserve"> </w:t>
      </w:r>
      <w:r w:rsidR="00AB511F">
        <w:rPr>
          <w:lang w:val="en-CA"/>
        </w:rPr>
        <w:t xml:space="preserve">say </w:t>
      </w:r>
      <w:r>
        <w:rPr>
          <w:lang w:val="en-CA"/>
        </w:rPr>
        <w:t>what to do about them.</w:t>
      </w:r>
    </w:p>
    <w:p w14:paraId="07D68DF1" w14:textId="77777777" w:rsidR="00B740A8" w:rsidRDefault="00B740A8" w:rsidP="00B740A8">
      <w:pPr>
        <w:widowControl w:val="0"/>
        <w:rPr>
          <w:lang w:val="en-CA"/>
        </w:rPr>
      </w:pPr>
    </w:p>
    <w:p w14:paraId="4D10187D" w14:textId="58B80906" w:rsidR="007571B1" w:rsidRDefault="002F2A00" w:rsidP="002A198E">
      <w:pPr>
        <w:widowControl w:val="0"/>
        <w:rPr>
          <w:lang w:val="en-CA"/>
        </w:rPr>
      </w:pPr>
      <w:r>
        <w:rPr>
          <w:lang w:val="en-CA"/>
        </w:rPr>
        <w:t xml:space="preserve">CDA </w:t>
      </w:r>
      <w:r w:rsidR="004B4634" w:rsidRPr="002A198E">
        <w:rPr>
          <w:lang w:val="en-CA"/>
        </w:rPr>
        <w:t xml:space="preserve">accessibility standards should </w:t>
      </w:r>
      <w:r w:rsidR="00047E5F">
        <w:rPr>
          <w:lang w:val="en-CA"/>
        </w:rPr>
        <w:t xml:space="preserve">impose requirements that are </w:t>
      </w:r>
      <w:r w:rsidR="004B4634" w:rsidRPr="002A198E">
        <w:rPr>
          <w:lang w:val="en-CA"/>
        </w:rPr>
        <w:t xml:space="preserve">at least </w:t>
      </w:r>
      <w:r w:rsidR="00047E5F">
        <w:rPr>
          <w:lang w:val="en-CA"/>
        </w:rPr>
        <w:t xml:space="preserve">as stringent as </w:t>
      </w:r>
      <w:r w:rsidR="004B4634" w:rsidRPr="002A198E">
        <w:rPr>
          <w:lang w:val="en-CA"/>
        </w:rPr>
        <w:t xml:space="preserve">the </w:t>
      </w:r>
      <w:r w:rsidR="004B4634" w:rsidRPr="00E453CB">
        <w:rPr>
          <w:i/>
          <w:lang w:val="en-CA"/>
        </w:rPr>
        <w:t>Canada Human Rights Act,</w:t>
      </w:r>
      <w:r w:rsidR="004B4634" w:rsidRPr="002A198E">
        <w:rPr>
          <w:lang w:val="en-CA"/>
        </w:rPr>
        <w:t xml:space="preserve"> the </w:t>
      </w:r>
      <w:r w:rsidR="004B4634" w:rsidRPr="00E453CB">
        <w:rPr>
          <w:i/>
          <w:lang w:val="en-CA"/>
        </w:rPr>
        <w:t>Charter of Rights</w:t>
      </w:r>
      <w:r w:rsidR="004B4634" w:rsidRPr="002A198E">
        <w:rPr>
          <w:lang w:val="en-CA"/>
        </w:rPr>
        <w:t xml:space="preserve">, or both. Otherwise, obligated organizations will be frustrated to find that they did what the </w:t>
      </w:r>
      <w:r w:rsidR="00047E5F">
        <w:rPr>
          <w:lang w:val="en-CA"/>
        </w:rPr>
        <w:t xml:space="preserve">CDA </w:t>
      </w:r>
      <w:r w:rsidR="004B4634" w:rsidRPr="002A198E">
        <w:rPr>
          <w:lang w:val="en-CA"/>
        </w:rPr>
        <w:t>required, only to learn that they have further Charter and/or human rights</w:t>
      </w:r>
      <w:r w:rsidR="002A198E" w:rsidRPr="002A198E">
        <w:rPr>
          <w:lang w:val="en-CA"/>
        </w:rPr>
        <w:t xml:space="preserve"> </w:t>
      </w:r>
      <w:r w:rsidR="004B4634" w:rsidRPr="002A198E">
        <w:rPr>
          <w:lang w:val="en-CA"/>
        </w:rPr>
        <w:t xml:space="preserve">accessibility duties. It would frustrate the </w:t>
      </w:r>
      <w:r w:rsidR="00047E5F">
        <w:rPr>
          <w:lang w:val="en-CA"/>
        </w:rPr>
        <w:t xml:space="preserve">CDA's </w:t>
      </w:r>
      <w:r w:rsidR="004B4634" w:rsidRPr="002A198E">
        <w:rPr>
          <w:lang w:val="en-CA"/>
        </w:rPr>
        <w:t>goal of relieving people with disabilities of the burden to battle barrier</w:t>
      </w:r>
      <w:r w:rsidR="00480394">
        <w:rPr>
          <w:lang w:val="en-CA"/>
        </w:rPr>
        <w:t>s</w:t>
      </w:r>
      <w:r w:rsidR="004B4634" w:rsidRPr="002A198E">
        <w:rPr>
          <w:lang w:val="en-CA"/>
        </w:rPr>
        <w:t xml:space="preserve">, one at a time, if an accessibility standard directs obligated organizations </w:t>
      </w:r>
      <w:r w:rsidR="00C74381">
        <w:rPr>
          <w:lang w:val="en-CA"/>
        </w:rPr>
        <w:t xml:space="preserve">to </w:t>
      </w:r>
      <w:r w:rsidR="00E453CB">
        <w:rPr>
          <w:lang w:val="en-CA"/>
        </w:rPr>
        <w:t>do less, or take longer, than t</w:t>
      </w:r>
      <w:r w:rsidR="004B4634" w:rsidRPr="002A198E">
        <w:rPr>
          <w:lang w:val="en-CA"/>
        </w:rPr>
        <w:t xml:space="preserve">he </w:t>
      </w:r>
      <w:r w:rsidR="004B4634" w:rsidRPr="00E453CB">
        <w:rPr>
          <w:i/>
          <w:lang w:val="en-CA"/>
        </w:rPr>
        <w:t>Charter</w:t>
      </w:r>
      <w:r w:rsidR="004B4634" w:rsidRPr="002A198E">
        <w:rPr>
          <w:lang w:val="en-CA"/>
        </w:rPr>
        <w:t xml:space="preserve"> and human </w:t>
      </w:r>
      <w:r w:rsidR="00B21C9C" w:rsidRPr="002A198E">
        <w:rPr>
          <w:lang w:val="en-CA"/>
        </w:rPr>
        <w:t>rights laws</w:t>
      </w:r>
      <w:r w:rsidR="004B4634" w:rsidRPr="002A198E">
        <w:rPr>
          <w:lang w:val="en-CA"/>
        </w:rPr>
        <w:t xml:space="preserve"> permit.</w:t>
      </w:r>
      <w:r w:rsidR="002A198E" w:rsidRPr="002A198E">
        <w:rPr>
          <w:lang w:val="en-CA"/>
        </w:rPr>
        <w:t xml:space="preserve"> </w:t>
      </w:r>
    </w:p>
    <w:p w14:paraId="7D884740" w14:textId="77777777" w:rsidR="007571B1" w:rsidRDefault="007571B1" w:rsidP="002A198E">
      <w:pPr>
        <w:widowControl w:val="0"/>
        <w:rPr>
          <w:lang w:val="en-CA"/>
        </w:rPr>
      </w:pPr>
    </w:p>
    <w:p w14:paraId="70226C44" w14:textId="77777777" w:rsidR="004B4634" w:rsidRPr="002A198E" w:rsidRDefault="004B4634" w:rsidP="002A198E">
      <w:pPr>
        <w:widowControl w:val="0"/>
        <w:rPr>
          <w:lang w:val="en-CA"/>
        </w:rPr>
      </w:pPr>
      <w:r w:rsidRPr="002A198E">
        <w:rPr>
          <w:lang w:val="en-CA"/>
        </w:rPr>
        <w:t>Regrettably, neither Ontario’s nor Manitoba’s accessibility law require</w:t>
      </w:r>
      <w:r w:rsidR="00105080">
        <w:rPr>
          <w:lang w:val="en-CA"/>
        </w:rPr>
        <w:t>s</w:t>
      </w:r>
      <w:r w:rsidRPr="002A198E">
        <w:rPr>
          <w:lang w:val="en-CA"/>
        </w:rPr>
        <w:t xml:space="preserve"> accessibility standards to meet </w:t>
      </w:r>
      <w:r w:rsidR="00105080">
        <w:rPr>
          <w:lang w:val="en-CA"/>
        </w:rPr>
        <w:t>a</w:t>
      </w:r>
      <w:r w:rsidRPr="002A198E">
        <w:rPr>
          <w:lang w:val="en-CA"/>
        </w:rPr>
        <w:t xml:space="preserve"> human </w:t>
      </w:r>
      <w:r w:rsidR="00B21C9C" w:rsidRPr="002A198E">
        <w:rPr>
          <w:lang w:val="en-CA"/>
        </w:rPr>
        <w:t>rights yardstick</w:t>
      </w:r>
      <w:r w:rsidRPr="002A198E">
        <w:rPr>
          <w:lang w:val="en-CA"/>
        </w:rPr>
        <w:t xml:space="preserve">. According to the Ontario Human Rights Commission, some </w:t>
      </w:r>
      <w:r w:rsidR="00105080">
        <w:rPr>
          <w:lang w:val="en-CA"/>
        </w:rPr>
        <w:t>O</w:t>
      </w:r>
      <w:r w:rsidR="00B21C9C" w:rsidRPr="002A198E">
        <w:rPr>
          <w:lang w:val="en-CA"/>
        </w:rPr>
        <w:t>ntario’s</w:t>
      </w:r>
      <w:r w:rsidRPr="002A198E">
        <w:rPr>
          <w:lang w:val="en-CA"/>
        </w:rPr>
        <w:t xml:space="preserve"> accessibility standards </w:t>
      </w:r>
      <w:r w:rsidR="007571B1">
        <w:rPr>
          <w:lang w:val="en-CA"/>
        </w:rPr>
        <w:t xml:space="preserve">counterproductively </w:t>
      </w:r>
      <w:r w:rsidRPr="002A198E">
        <w:rPr>
          <w:lang w:val="en-CA"/>
        </w:rPr>
        <w:t xml:space="preserve">fall short of Ontario Human Rights Code requirements. </w:t>
      </w:r>
      <w:r w:rsidR="00D62415">
        <w:rPr>
          <w:rStyle w:val="EndnoteReference"/>
          <w:lang w:val="en-CA"/>
        </w:rPr>
        <w:endnoteReference w:id="41"/>
      </w:r>
      <w:r w:rsidR="004F38BE">
        <w:rPr>
          <w:lang w:val="en-CA"/>
        </w:rPr>
        <w:t xml:space="preserve"> </w:t>
      </w:r>
      <w:r w:rsidR="00C73293">
        <w:rPr>
          <w:lang w:val="en-CA"/>
        </w:rPr>
        <w:t xml:space="preserve">They </w:t>
      </w:r>
      <w:r w:rsidR="00E02D22">
        <w:rPr>
          <w:lang w:val="en-CA"/>
        </w:rPr>
        <w:t>too often direct</w:t>
      </w:r>
      <w:r w:rsidRPr="002A198E">
        <w:rPr>
          <w:lang w:val="en-CA"/>
        </w:rPr>
        <w:t xml:space="preserve"> organizations to</w:t>
      </w:r>
      <w:r w:rsidR="00E02D22">
        <w:rPr>
          <w:lang w:val="en-CA"/>
        </w:rPr>
        <w:t xml:space="preserve"> do less than the Ontario Human Rights Code requires. </w:t>
      </w:r>
      <w:r w:rsidRPr="002A198E">
        <w:rPr>
          <w:lang w:val="en-CA"/>
        </w:rPr>
        <w:t xml:space="preserve">Stronger legal medicine is needed to </w:t>
      </w:r>
      <w:r w:rsidR="00B21C9C" w:rsidRPr="002A198E">
        <w:rPr>
          <w:lang w:val="en-CA"/>
        </w:rPr>
        <w:t>controvert</w:t>
      </w:r>
      <w:r w:rsidRPr="002A198E">
        <w:rPr>
          <w:lang w:val="en-CA"/>
        </w:rPr>
        <w:t xml:space="preserve"> thi</w:t>
      </w:r>
      <w:r w:rsidR="008C4D91">
        <w:rPr>
          <w:lang w:val="en-CA"/>
        </w:rPr>
        <w:t>s</w:t>
      </w:r>
      <w:r w:rsidRPr="002A198E">
        <w:rPr>
          <w:lang w:val="en-CA"/>
        </w:rPr>
        <w:t xml:space="preserve">, than the </w:t>
      </w:r>
      <w:r w:rsidR="008005D7">
        <w:rPr>
          <w:lang w:val="en-CA"/>
        </w:rPr>
        <w:t xml:space="preserve">AODA's </w:t>
      </w:r>
      <w:r w:rsidRPr="002A198E">
        <w:rPr>
          <w:lang w:val="en-CA"/>
        </w:rPr>
        <w:t xml:space="preserve">commendable </w:t>
      </w:r>
      <w:r w:rsidR="008005D7">
        <w:rPr>
          <w:lang w:val="en-CA"/>
        </w:rPr>
        <w:t xml:space="preserve">s. 3, which </w:t>
      </w:r>
      <w:r w:rsidRPr="002A198E">
        <w:rPr>
          <w:lang w:val="en-CA"/>
        </w:rPr>
        <w:t xml:space="preserve">requires that </w:t>
      </w:r>
      <w:r w:rsidR="008005D7">
        <w:rPr>
          <w:lang w:val="en-CA"/>
        </w:rPr>
        <w:t>the AODA doesn't diminish accessibility duties under other law</w:t>
      </w:r>
      <w:r w:rsidR="00245BB8">
        <w:rPr>
          <w:lang w:val="en-CA"/>
        </w:rPr>
        <w:t>s</w:t>
      </w:r>
      <w:r w:rsidR="008005D7">
        <w:rPr>
          <w:lang w:val="en-CA"/>
        </w:rPr>
        <w:t xml:space="preserve">. </w:t>
      </w:r>
    </w:p>
    <w:p w14:paraId="73A05D05" w14:textId="77777777" w:rsidR="004B4634" w:rsidRPr="002A198E" w:rsidRDefault="004B4634" w:rsidP="002A198E">
      <w:pPr>
        <w:widowControl w:val="0"/>
        <w:rPr>
          <w:lang w:val="en-CA"/>
        </w:rPr>
      </w:pPr>
    </w:p>
    <w:p w14:paraId="43B37AE8" w14:textId="77777777" w:rsidR="004B4634" w:rsidRPr="002A198E" w:rsidRDefault="00EC2811" w:rsidP="00466224">
      <w:pPr>
        <w:widowControl w:val="0"/>
        <w:rPr>
          <w:lang w:val="en-CA"/>
        </w:rPr>
      </w:pPr>
      <w:r>
        <w:rPr>
          <w:lang w:val="en-CA"/>
        </w:rPr>
        <w:t xml:space="preserve">The CDA </w:t>
      </w:r>
      <w:r w:rsidR="004B4634" w:rsidRPr="002A198E">
        <w:rPr>
          <w:lang w:val="en-CA"/>
        </w:rPr>
        <w:t>should</w:t>
      </w:r>
      <w:r w:rsidR="00E73CED">
        <w:rPr>
          <w:i/>
          <w:lang w:val="en-CA"/>
        </w:rPr>
        <w:t xml:space="preserve"> </w:t>
      </w:r>
      <w:r w:rsidR="0018410D" w:rsidRPr="00A31B5E">
        <w:rPr>
          <w:i/>
          <w:lang w:val="en-CA"/>
        </w:rPr>
        <w:t>require</w:t>
      </w:r>
      <w:r w:rsidR="0018410D">
        <w:rPr>
          <w:i/>
          <w:lang w:val="en-CA"/>
        </w:rPr>
        <w:t xml:space="preserve"> </w:t>
      </w:r>
      <w:r w:rsidR="004B4634" w:rsidRPr="002A198E">
        <w:rPr>
          <w:lang w:val="en-CA"/>
        </w:rPr>
        <w:t xml:space="preserve">the Federal Government to make </w:t>
      </w:r>
      <w:r w:rsidR="004B4634" w:rsidRPr="00134A9C">
        <w:rPr>
          <w:i/>
          <w:lang w:val="en-CA"/>
        </w:rPr>
        <w:t>all</w:t>
      </w:r>
      <w:r w:rsidR="004B4634" w:rsidRPr="002A198E">
        <w:rPr>
          <w:lang w:val="en-CA"/>
        </w:rPr>
        <w:t xml:space="preserve"> the accessibility standards needed to </w:t>
      </w:r>
      <w:r w:rsidR="00466224">
        <w:rPr>
          <w:lang w:val="en-CA"/>
        </w:rPr>
        <w:t xml:space="preserve">achieve the CDA's </w:t>
      </w:r>
      <w:r w:rsidR="004B4634" w:rsidRPr="002A198E">
        <w:rPr>
          <w:lang w:val="en-CA"/>
        </w:rPr>
        <w:t>purpose</w:t>
      </w:r>
      <w:r w:rsidR="00466224">
        <w:rPr>
          <w:lang w:val="en-CA"/>
        </w:rPr>
        <w:t>s</w:t>
      </w:r>
      <w:r w:rsidR="004B4634" w:rsidRPr="002A198E">
        <w:rPr>
          <w:lang w:val="en-CA"/>
        </w:rPr>
        <w:t xml:space="preserve">. Section 7 of the AODA commendably </w:t>
      </w:r>
      <w:r w:rsidR="00A31B5E">
        <w:rPr>
          <w:lang w:val="en-CA"/>
        </w:rPr>
        <w:t>has a similar requirement.</w:t>
      </w:r>
      <w:r w:rsidR="00466224">
        <w:rPr>
          <w:lang w:val="en-CA"/>
        </w:rPr>
        <w:t xml:space="preserve"> </w:t>
      </w:r>
    </w:p>
    <w:p w14:paraId="577EEFF8" w14:textId="77777777" w:rsidR="00466224" w:rsidRDefault="00466224" w:rsidP="002A198E">
      <w:pPr>
        <w:widowControl w:val="0"/>
        <w:rPr>
          <w:lang w:val="en-CA"/>
        </w:rPr>
      </w:pPr>
    </w:p>
    <w:p w14:paraId="363DC695" w14:textId="77777777" w:rsidR="00BE17B2" w:rsidRDefault="00BE17B2" w:rsidP="00BE17B2">
      <w:pPr>
        <w:widowControl w:val="0"/>
        <w:rPr>
          <w:lang w:val="en-CA"/>
        </w:rPr>
      </w:pPr>
      <w:r>
        <w:rPr>
          <w:lang w:val="en-CA"/>
        </w:rPr>
        <w:t xml:space="preserve">The </w:t>
      </w:r>
      <w:r>
        <w:rPr>
          <w:i/>
          <w:lang w:val="en-CA"/>
        </w:rPr>
        <w:t>Ontarians with Disabilities Act 2001</w:t>
      </w:r>
      <w:r>
        <w:rPr>
          <w:lang w:val="en-CA"/>
        </w:rPr>
        <w:t>,</w:t>
      </w:r>
      <w:r>
        <w:rPr>
          <w:rStyle w:val="EndnoteReference"/>
          <w:lang w:val="en-CA"/>
        </w:rPr>
        <w:endnoteReference w:id="42"/>
      </w:r>
      <w:r>
        <w:rPr>
          <w:lang w:val="en-CA"/>
        </w:rPr>
        <w:t xml:space="preserve"> the AODA's weak precursor, </w:t>
      </w:r>
      <w:r>
        <w:rPr>
          <w:i/>
          <w:lang w:val="en-CA"/>
        </w:rPr>
        <w:t>permitted</w:t>
      </w:r>
      <w:r>
        <w:rPr>
          <w:lang w:val="en-CA"/>
        </w:rPr>
        <w:t xml:space="preserve"> the Ontario Government to create accessibility standards, but didn't </w:t>
      </w:r>
      <w:r>
        <w:rPr>
          <w:i/>
          <w:lang w:val="en-CA"/>
        </w:rPr>
        <w:t>require</w:t>
      </w:r>
      <w:r>
        <w:rPr>
          <w:lang w:val="en-CA"/>
        </w:rPr>
        <w:t xml:space="preserve"> it to do so. None were created over the four years before the AODA superseded it. </w:t>
      </w:r>
    </w:p>
    <w:p w14:paraId="7AF8209C" w14:textId="77777777" w:rsidR="00BE17B2" w:rsidRDefault="00BE17B2" w:rsidP="00BE17B2">
      <w:pPr>
        <w:widowControl w:val="0"/>
        <w:rPr>
          <w:lang w:val="en-CA"/>
        </w:rPr>
      </w:pPr>
    </w:p>
    <w:p w14:paraId="3BC8E731" w14:textId="77777777" w:rsidR="005F2F1C" w:rsidRPr="002A198E" w:rsidRDefault="004B4634" w:rsidP="005F2F1C">
      <w:pPr>
        <w:widowControl w:val="0"/>
        <w:rPr>
          <w:lang w:val="en-CA"/>
        </w:rPr>
      </w:pPr>
      <w:r w:rsidRPr="002A198E">
        <w:rPr>
          <w:lang w:val="en-CA"/>
        </w:rPr>
        <w:t xml:space="preserve">The </w:t>
      </w:r>
      <w:r w:rsidR="00466224">
        <w:rPr>
          <w:lang w:val="en-CA"/>
        </w:rPr>
        <w:t xml:space="preserve">CDA </w:t>
      </w:r>
      <w:r w:rsidRPr="002A198E">
        <w:rPr>
          <w:lang w:val="en-CA"/>
        </w:rPr>
        <w:t xml:space="preserve">should </w:t>
      </w:r>
      <w:r w:rsidR="00DF246C">
        <w:rPr>
          <w:lang w:val="en-CA"/>
        </w:rPr>
        <w:t xml:space="preserve">establish </w:t>
      </w:r>
      <w:r w:rsidRPr="002A198E">
        <w:rPr>
          <w:lang w:val="en-CA"/>
        </w:rPr>
        <w:t xml:space="preserve">an independent safeguard </w:t>
      </w:r>
      <w:r w:rsidR="009C2CFF">
        <w:rPr>
          <w:lang w:val="en-CA"/>
        </w:rPr>
        <w:t xml:space="preserve">to </w:t>
      </w:r>
      <w:r w:rsidRPr="002A198E">
        <w:rPr>
          <w:lang w:val="en-CA"/>
        </w:rPr>
        <w:t>ensure that the Federal government acts in a timely way to direct development of needed accessibility standards.</w:t>
      </w:r>
      <w:r w:rsidR="005F2F1C">
        <w:rPr>
          <w:lang w:val="en-CA"/>
        </w:rPr>
        <w:t xml:space="preserve"> </w:t>
      </w:r>
    </w:p>
    <w:p w14:paraId="255A246F" w14:textId="273F040C" w:rsidR="004B4634" w:rsidRPr="002A198E" w:rsidRDefault="004B4634" w:rsidP="002A198E">
      <w:pPr>
        <w:widowControl w:val="0"/>
        <w:rPr>
          <w:lang w:val="en-CA"/>
        </w:rPr>
      </w:pPr>
      <w:r w:rsidRPr="002A198E">
        <w:rPr>
          <w:lang w:val="en-CA"/>
        </w:rPr>
        <w:t xml:space="preserve">Ontario experience illustrates this need. </w:t>
      </w:r>
      <w:r w:rsidR="00E02D22">
        <w:rPr>
          <w:lang w:val="en-CA"/>
        </w:rPr>
        <w:t xml:space="preserve">The AODA </w:t>
      </w:r>
      <w:r w:rsidR="005F2F1C">
        <w:rPr>
          <w:lang w:val="en-CA"/>
        </w:rPr>
        <w:t xml:space="preserve">includes no such safeguard. </w:t>
      </w:r>
      <w:r w:rsidR="00B21C9C" w:rsidRPr="002A198E">
        <w:rPr>
          <w:lang w:val="en-CA"/>
        </w:rPr>
        <w:t>Ontarians</w:t>
      </w:r>
      <w:r w:rsidRPr="002A198E">
        <w:rPr>
          <w:lang w:val="en-CA"/>
        </w:rPr>
        <w:t xml:space="preserve"> with disabilities pressed the Ontario government for at least five years to create an AODA Education Accessibility Standard</w:t>
      </w:r>
      <w:r w:rsidR="00A02FA7">
        <w:rPr>
          <w:lang w:val="en-CA"/>
        </w:rPr>
        <w:t xml:space="preserve"> needed by 334,000</w:t>
      </w:r>
      <w:r w:rsidR="00E453CB">
        <w:rPr>
          <w:lang w:val="en-CA"/>
        </w:rPr>
        <w:t xml:space="preserve"> </w:t>
      </w:r>
      <w:r w:rsidR="00A02FA7" w:rsidRPr="00A02FA7">
        <w:rPr>
          <w:lang w:val="en-CA"/>
        </w:rPr>
        <w:t>students with special education needs</w:t>
      </w:r>
      <w:r w:rsidRPr="002A198E">
        <w:rPr>
          <w:lang w:val="en-CA"/>
        </w:rPr>
        <w:t xml:space="preserve">. </w:t>
      </w:r>
      <w:r w:rsidR="00A2632B">
        <w:rPr>
          <w:lang w:val="en-CA"/>
        </w:rPr>
        <w:t xml:space="preserve">Over a decade </w:t>
      </w:r>
      <w:proofErr w:type="spellStart"/>
      <w:r w:rsidR="00A2632B">
        <w:rPr>
          <w:lang w:val="en-CA"/>
        </w:rPr>
        <w:t>ago,</w:t>
      </w:r>
      <w:r w:rsidR="00AF21F0">
        <w:rPr>
          <w:lang w:val="en-CA"/>
        </w:rPr>
        <w:t>the</w:t>
      </w:r>
      <w:proofErr w:type="spellEnd"/>
      <w:r w:rsidR="00AF21F0">
        <w:rPr>
          <w:lang w:val="en-CA"/>
        </w:rPr>
        <w:t xml:space="preserve"> Ontario Human Rights Commission amply documented </w:t>
      </w:r>
      <w:r w:rsidRPr="002A198E">
        <w:rPr>
          <w:lang w:val="en-CA"/>
        </w:rPr>
        <w:t xml:space="preserve">many </w:t>
      </w:r>
      <w:r w:rsidR="00AF21F0">
        <w:rPr>
          <w:lang w:val="en-CA"/>
        </w:rPr>
        <w:t xml:space="preserve">widely-known </w:t>
      </w:r>
      <w:r w:rsidRPr="002A198E">
        <w:rPr>
          <w:lang w:val="en-CA"/>
        </w:rPr>
        <w:t>education accessibility barriers</w:t>
      </w:r>
      <w:r w:rsidR="00AF21F0">
        <w:rPr>
          <w:lang w:val="en-CA"/>
        </w:rPr>
        <w:t>.</w:t>
      </w:r>
      <w:r w:rsidR="00286D2E">
        <w:rPr>
          <w:rStyle w:val="EndnoteReference"/>
          <w:lang w:val="en-CA"/>
        </w:rPr>
        <w:endnoteReference w:id="43"/>
      </w:r>
      <w:r w:rsidR="00AF21F0">
        <w:rPr>
          <w:lang w:val="en-CA"/>
        </w:rPr>
        <w:t xml:space="preserve"> </w:t>
      </w:r>
      <w:r w:rsidRPr="002A198E">
        <w:rPr>
          <w:lang w:val="en-CA"/>
        </w:rPr>
        <w:t xml:space="preserve">Yet </w:t>
      </w:r>
      <w:r w:rsidR="00AF21F0">
        <w:rPr>
          <w:lang w:val="en-CA"/>
        </w:rPr>
        <w:t xml:space="preserve">in </w:t>
      </w:r>
      <w:r w:rsidR="00D845BB">
        <w:rPr>
          <w:lang w:val="en-CA"/>
        </w:rPr>
        <w:t>mid-2016</w:t>
      </w:r>
      <w:r w:rsidR="00AF21F0">
        <w:rPr>
          <w:lang w:val="en-CA"/>
        </w:rPr>
        <w:t>, Ontarians with disabilities had no recourse from t</w:t>
      </w:r>
      <w:r w:rsidRPr="002A198E">
        <w:rPr>
          <w:lang w:val="en-CA"/>
        </w:rPr>
        <w:t>he Ontario government</w:t>
      </w:r>
      <w:r w:rsidR="00AF21F0">
        <w:rPr>
          <w:lang w:val="en-CA"/>
        </w:rPr>
        <w:t>'s</w:t>
      </w:r>
      <w:r w:rsidRPr="002A198E">
        <w:rPr>
          <w:lang w:val="en-CA"/>
        </w:rPr>
        <w:t xml:space="preserve"> </w:t>
      </w:r>
      <w:r w:rsidR="004B1EDE">
        <w:rPr>
          <w:lang w:val="en-CA"/>
        </w:rPr>
        <w:t>five</w:t>
      </w:r>
      <w:r w:rsidR="00944FB6">
        <w:rPr>
          <w:lang w:val="en-CA"/>
        </w:rPr>
        <w:t xml:space="preserve">-year long </w:t>
      </w:r>
      <w:r w:rsidR="00AF21F0">
        <w:rPr>
          <w:lang w:val="en-CA"/>
        </w:rPr>
        <w:t>refusal to decide whether to create an Education Accessibility Standard.</w:t>
      </w:r>
    </w:p>
    <w:p w14:paraId="0E3483CE" w14:textId="77777777" w:rsidR="004B4634" w:rsidRPr="002A198E" w:rsidRDefault="004B4634" w:rsidP="002A198E">
      <w:pPr>
        <w:widowControl w:val="0"/>
        <w:rPr>
          <w:lang w:val="en-CA"/>
        </w:rPr>
      </w:pPr>
    </w:p>
    <w:p w14:paraId="0FB12246" w14:textId="77777777" w:rsidR="00B17629" w:rsidRPr="002A198E" w:rsidRDefault="00262883" w:rsidP="002A198E">
      <w:pPr>
        <w:pStyle w:val="Heading2"/>
        <w:keepNext w:val="0"/>
        <w:keepLines w:val="0"/>
        <w:widowControl w:val="0"/>
        <w:spacing w:before="0"/>
        <w:rPr>
          <w:lang w:val="en-CA"/>
        </w:rPr>
      </w:pPr>
      <w:bookmarkStart w:id="15" w:name="_Toc319660885"/>
      <w:r>
        <w:rPr>
          <w:lang w:val="en-CA"/>
        </w:rPr>
        <w:t>g)</w:t>
      </w:r>
      <w:r w:rsidR="00B17629" w:rsidRPr="002A198E">
        <w:rPr>
          <w:lang w:val="en-CA"/>
        </w:rPr>
        <w:t xml:space="preserve"> Ensuring a </w:t>
      </w:r>
      <w:r w:rsidR="00B21C9C" w:rsidRPr="002A198E">
        <w:rPr>
          <w:lang w:val="en-CA"/>
        </w:rPr>
        <w:t>Prompt</w:t>
      </w:r>
      <w:r w:rsidR="00B17629" w:rsidRPr="002A198E">
        <w:rPr>
          <w:lang w:val="en-CA"/>
        </w:rPr>
        <w:t>, Effective and Open Process for Developing and Reviewing Accessibility Standards</w:t>
      </w:r>
      <w:bookmarkEnd w:id="15"/>
    </w:p>
    <w:p w14:paraId="197C7FE5" w14:textId="77777777" w:rsidR="004B4634" w:rsidRPr="002A198E" w:rsidRDefault="004B4634" w:rsidP="002A198E">
      <w:pPr>
        <w:widowControl w:val="0"/>
        <w:rPr>
          <w:lang w:val="en-CA"/>
        </w:rPr>
      </w:pPr>
    </w:p>
    <w:p w14:paraId="58432AF6" w14:textId="375F6B9A" w:rsidR="00597323" w:rsidRDefault="004B4634" w:rsidP="002A198E">
      <w:pPr>
        <w:widowControl w:val="0"/>
        <w:rPr>
          <w:lang w:val="en-CA"/>
        </w:rPr>
      </w:pPr>
      <w:r w:rsidRPr="002A198E">
        <w:rPr>
          <w:lang w:val="en-CA"/>
        </w:rPr>
        <w:lastRenderedPageBreak/>
        <w:t xml:space="preserve">The </w:t>
      </w:r>
      <w:r w:rsidR="007A0D79">
        <w:rPr>
          <w:lang w:val="en-CA"/>
        </w:rPr>
        <w:t xml:space="preserve">CDA </w:t>
      </w:r>
      <w:r w:rsidRPr="002A198E">
        <w:rPr>
          <w:lang w:val="en-CA"/>
        </w:rPr>
        <w:t xml:space="preserve">should </w:t>
      </w:r>
      <w:r w:rsidR="006641F3">
        <w:rPr>
          <w:lang w:val="en-CA"/>
        </w:rPr>
        <w:t xml:space="preserve">require </w:t>
      </w:r>
      <w:r w:rsidRPr="002A198E">
        <w:rPr>
          <w:lang w:val="en-CA"/>
        </w:rPr>
        <w:t>an</w:t>
      </w:r>
      <w:r w:rsidR="00B16EB0">
        <w:rPr>
          <w:lang w:val="en-CA"/>
        </w:rPr>
        <w:t xml:space="preserve"> o</w:t>
      </w:r>
      <w:r w:rsidRPr="002A198E">
        <w:rPr>
          <w:lang w:val="en-CA"/>
        </w:rPr>
        <w:t>pen</w:t>
      </w:r>
      <w:r w:rsidR="007B2DA6">
        <w:rPr>
          <w:lang w:val="en-CA"/>
        </w:rPr>
        <w:t>,</w:t>
      </w:r>
      <w:r w:rsidRPr="002A198E">
        <w:rPr>
          <w:lang w:val="en-CA"/>
        </w:rPr>
        <w:t xml:space="preserve"> inclusive process for develop</w:t>
      </w:r>
      <w:r w:rsidR="007B2DA6">
        <w:rPr>
          <w:lang w:val="en-CA"/>
        </w:rPr>
        <w:t>ing</w:t>
      </w:r>
      <w:r w:rsidRPr="002A198E">
        <w:rPr>
          <w:lang w:val="en-CA"/>
        </w:rPr>
        <w:t xml:space="preserve"> accessibility standards</w:t>
      </w:r>
      <w:r w:rsidR="00DB0C64">
        <w:rPr>
          <w:lang w:val="en-CA"/>
        </w:rPr>
        <w:t xml:space="preserve">, building on </w:t>
      </w:r>
      <w:r w:rsidRPr="002A198E">
        <w:rPr>
          <w:lang w:val="en-CA"/>
        </w:rPr>
        <w:t xml:space="preserve">Ontario and Manitoba experience. Ontario </w:t>
      </w:r>
      <w:r w:rsidR="00E966FC">
        <w:rPr>
          <w:lang w:val="en-CA"/>
        </w:rPr>
        <w:t xml:space="preserve">has </w:t>
      </w:r>
      <w:r w:rsidR="006A1CDC">
        <w:rPr>
          <w:lang w:val="en-CA"/>
        </w:rPr>
        <w:t xml:space="preserve">created </w:t>
      </w:r>
      <w:r w:rsidRPr="002A198E">
        <w:rPr>
          <w:lang w:val="en-CA"/>
        </w:rPr>
        <w:t xml:space="preserve">accessibility standards </w:t>
      </w:r>
      <w:r w:rsidR="00E966FC">
        <w:rPr>
          <w:lang w:val="en-CA"/>
        </w:rPr>
        <w:t xml:space="preserve">for </w:t>
      </w:r>
      <w:r w:rsidRPr="002A198E">
        <w:rPr>
          <w:lang w:val="en-CA"/>
        </w:rPr>
        <w:t xml:space="preserve">customer service, employment, transportation, information and communications, and the built environment in </w:t>
      </w:r>
      <w:r w:rsidR="007B2DA6">
        <w:rPr>
          <w:lang w:val="en-CA"/>
        </w:rPr>
        <w:t xml:space="preserve">some </w:t>
      </w:r>
      <w:r w:rsidRPr="002A198E">
        <w:rPr>
          <w:lang w:val="en-CA"/>
        </w:rPr>
        <w:t xml:space="preserve">public spaces. Manitoba has </w:t>
      </w:r>
      <w:r w:rsidR="006A1CDC">
        <w:rPr>
          <w:lang w:val="en-CA"/>
        </w:rPr>
        <w:t xml:space="preserve">enacted </w:t>
      </w:r>
      <w:r w:rsidR="0073760A">
        <w:rPr>
          <w:lang w:val="en-CA"/>
        </w:rPr>
        <w:t>a Customer Service A</w:t>
      </w:r>
      <w:r w:rsidRPr="002A198E">
        <w:rPr>
          <w:lang w:val="en-CA"/>
        </w:rPr>
        <w:t xml:space="preserve">ccessibility </w:t>
      </w:r>
      <w:r w:rsidR="0073760A">
        <w:rPr>
          <w:lang w:val="en-CA"/>
        </w:rPr>
        <w:t>S</w:t>
      </w:r>
      <w:r w:rsidRPr="002A198E">
        <w:rPr>
          <w:lang w:val="en-CA"/>
        </w:rPr>
        <w:t>tandar</w:t>
      </w:r>
      <w:r w:rsidR="0073760A">
        <w:rPr>
          <w:lang w:val="en-CA"/>
        </w:rPr>
        <w:t>d</w:t>
      </w:r>
      <w:r w:rsidRPr="002A198E">
        <w:rPr>
          <w:lang w:val="en-CA"/>
        </w:rPr>
        <w:t xml:space="preserve">. </w:t>
      </w:r>
    </w:p>
    <w:p w14:paraId="23D4171B" w14:textId="77777777" w:rsidR="00597323" w:rsidRDefault="00597323" w:rsidP="002A198E">
      <w:pPr>
        <w:widowControl w:val="0"/>
        <w:rPr>
          <w:lang w:val="en-CA"/>
        </w:rPr>
      </w:pPr>
    </w:p>
    <w:p w14:paraId="1A872454" w14:textId="7AE03D9D" w:rsidR="006641F3" w:rsidRDefault="00597323" w:rsidP="002A198E">
      <w:pPr>
        <w:widowControl w:val="0"/>
        <w:rPr>
          <w:lang w:val="en-CA"/>
        </w:rPr>
      </w:pPr>
      <w:r>
        <w:rPr>
          <w:lang w:val="en-CA"/>
        </w:rPr>
        <w:t xml:space="preserve">Two Government-appointed AODA Independent Reviews scrutinized Ontario's standards development process. </w:t>
      </w:r>
      <w:r w:rsidR="004B4634" w:rsidRPr="002A198E">
        <w:rPr>
          <w:lang w:val="en-CA"/>
        </w:rPr>
        <w:t xml:space="preserve">The first, </w:t>
      </w:r>
      <w:r>
        <w:rPr>
          <w:lang w:val="en-CA"/>
        </w:rPr>
        <w:t xml:space="preserve">the 2010 Charles Beer Review, </w:t>
      </w:r>
      <w:r w:rsidR="004B4634" w:rsidRPr="002A198E">
        <w:rPr>
          <w:lang w:val="en-CA"/>
        </w:rPr>
        <w:t>, commendably recommended needed improvement</w:t>
      </w:r>
      <w:r w:rsidR="006641F3">
        <w:rPr>
          <w:lang w:val="en-CA"/>
        </w:rPr>
        <w:t>s</w:t>
      </w:r>
      <w:r w:rsidR="004B4634" w:rsidRPr="002A198E">
        <w:rPr>
          <w:lang w:val="en-CA"/>
        </w:rPr>
        <w:t xml:space="preserve">. Ontario experience since then </w:t>
      </w:r>
      <w:r w:rsidR="006641F3">
        <w:rPr>
          <w:lang w:val="en-CA"/>
        </w:rPr>
        <w:t>reaffirms the wisdom of Beer's advice.</w:t>
      </w:r>
    </w:p>
    <w:p w14:paraId="4D8962DC" w14:textId="77777777" w:rsidR="004B4634" w:rsidRPr="002A198E" w:rsidRDefault="004B4634" w:rsidP="002A198E">
      <w:pPr>
        <w:widowControl w:val="0"/>
        <w:rPr>
          <w:lang w:val="en-CA"/>
        </w:rPr>
      </w:pPr>
    </w:p>
    <w:p w14:paraId="2AA2828A" w14:textId="77777777" w:rsidR="00AA07F1" w:rsidRDefault="00BD7595" w:rsidP="002A198E">
      <w:pPr>
        <w:widowControl w:val="0"/>
        <w:rPr>
          <w:lang w:val="en-CA"/>
        </w:rPr>
      </w:pPr>
      <w:r>
        <w:rPr>
          <w:lang w:val="en-CA"/>
        </w:rPr>
        <w:t xml:space="preserve">Under the AODA, once the Ontario Government decides to develop an accessibility standard in an area, such as transportation, </w:t>
      </w:r>
      <w:r w:rsidR="001A414A">
        <w:rPr>
          <w:lang w:val="en-CA"/>
        </w:rPr>
        <w:t xml:space="preserve">it </w:t>
      </w:r>
      <w:r>
        <w:rPr>
          <w:lang w:val="en-CA"/>
        </w:rPr>
        <w:t xml:space="preserve">must </w:t>
      </w:r>
      <w:r w:rsidR="004B4634" w:rsidRPr="002A198E">
        <w:rPr>
          <w:lang w:val="en-CA"/>
        </w:rPr>
        <w:t xml:space="preserve">appoint a Standards Development Committee to develop </w:t>
      </w:r>
      <w:r w:rsidR="00E305BC">
        <w:rPr>
          <w:lang w:val="en-CA"/>
        </w:rPr>
        <w:t xml:space="preserve">non-binding </w:t>
      </w:r>
      <w:r w:rsidR="004B4634" w:rsidRPr="002A198E">
        <w:rPr>
          <w:lang w:val="en-CA"/>
        </w:rPr>
        <w:t xml:space="preserve">recommendations for </w:t>
      </w:r>
      <w:r>
        <w:rPr>
          <w:lang w:val="en-CA"/>
        </w:rPr>
        <w:t xml:space="preserve">that </w:t>
      </w:r>
      <w:r w:rsidR="004B4634" w:rsidRPr="002A198E">
        <w:rPr>
          <w:lang w:val="en-CA"/>
        </w:rPr>
        <w:t>accessibility standard</w:t>
      </w:r>
      <w:r w:rsidR="00E305BC">
        <w:rPr>
          <w:lang w:val="en-CA"/>
        </w:rPr>
        <w:t>'s contents</w:t>
      </w:r>
      <w:r w:rsidR="004B4634" w:rsidRPr="002A198E">
        <w:rPr>
          <w:lang w:val="en-CA"/>
        </w:rPr>
        <w:t xml:space="preserve">. That committee </w:t>
      </w:r>
      <w:r w:rsidR="00AA07F1">
        <w:rPr>
          <w:lang w:val="en-CA"/>
        </w:rPr>
        <w:t xml:space="preserve">must </w:t>
      </w:r>
      <w:r w:rsidR="004B4634" w:rsidRPr="002A198E">
        <w:rPr>
          <w:lang w:val="en-CA"/>
        </w:rPr>
        <w:t xml:space="preserve">include representatives from the broader public sector, the disability community, and the private sector. </w:t>
      </w:r>
    </w:p>
    <w:p w14:paraId="3776C233" w14:textId="77777777" w:rsidR="00AA07F1" w:rsidRDefault="00AA07F1" w:rsidP="002A198E">
      <w:pPr>
        <w:widowControl w:val="0"/>
        <w:rPr>
          <w:lang w:val="en-CA"/>
        </w:rPr>
      </w:pPr>
    </w:p>
    <w:p w14:paraId="6204DEBD" w14:textId="77777777" w:rsidR="004B4634" w:rsidRPr="002A198E" w:rsidRDefault="004B4634" w:rsidP="002A198E">
      <w:pPr>
        <w:widowControl w:val="0"/>
        <w:rPr>
          <w:lang w:val="en-CA"/>
        </w:rPr>
      </w:pPr>
      <w:r w:rsidRPr="002A198E">
        <w:rPr>
          <w:lang w:val="en-CA"/>
        </w:rPr>
        <w:t xml:space="preserve">The AODA </w:t>
      </w:r>
      <w:r w:rsidR="00AA07F1">
        <w:rPr>
          <w:lang w:val="en-CA"/>
        </w:rPr>
        <w:t xml:space="preserve">doesn't </w:t>
      </w:r>
      <w:r w:rsidRPr="002A198E">
        <w:rPr>
          <w:lang w:val="en-CA"/>
        </w:rPr>
        <w:t xml:space="preserve">require </w:t>
      </w:r>
      <w:r w:rsidR="00DF3DF6">
        <w:rPr>
          <w:lang w:val="en-CA"/>
        </w:rPr>
        <w:t xml:space="preserve">a </w:t>
      </w:r>
      <w:r w:rsidRPr="002A198E">
        <w:rPr>
          <w:lang w:val="en-CA"/>
        </w:rPr>
        <w:t xml:space="preserve">Standards Development Committee to have equal representation from the disability sector. However, </w:t>
      </w:r>
      <w:r w:rsidR="001A414A">
        <w:rPr>
          <w:lang w:val="en-CA"/>
        </w:rPr>
        <w:t xml:space="preserve">early </w:t>
      </w:r>
      <w:r w:rsidRPr="002A198E">
        <w:rPr>
          <w:lang w:val="en-CA"/>
        </w:rPr>
        <w:t>experience show</w:t>
      </w:r>
      <w:r w:rsidR="00DF3DF6">
        <w:rPr>
          <w:lang w:val="en-CA"/>
        </w:rPr>
        <w:t>ed</w:t>
      </w:r>
      <w:r w:rsidRPr="002A198E">
        <w:rPr>
          <w:lang w:val="en-CA"/>
        </w:rPr>
        <w:t xml:space="preserve"> </w:t>
      </w:r>
      <w:r w:rsidR="00DF3DF6">
        <w:rPr>
          <w:lang w:val="en-CA"/>
        </w:rPr>
        <w:t xml:space="preserve">a need for </w:t>
      </w:r>
      <w:r w:rsidRPr="002A198E">
        <w:rPr>
          <w:lang w:val="en-CA"/>
        </w:rPr>
        <w:t xml:space="preserve">equal disability sector representation. </w:t>
      </w:r>
      <w:r w:rsidR="0075110A">
        <w:rPr>
          <w:lang w:val="en-CA"/>
        </w:rPr>
        <w:t>I</w:t>
      </w:r>
      <w:r w:rsidRPr="002A198E">
        <w:rPr>
          <w:lang w:val="en-CA"/>
        </w:rPr>
        <w:t xml:space="preserve">n the 2007 Ontario election, Premier Dalton </w:t>
      </w:r>
      <w:r w:rsidR="00417CAF" w:rsidRPr="002A198E">
        <w:rPr>
          <w:lang w:val="en-CA"/>
        </w:rPr>
        <w:t>McGuinty</w:t>
      </w:r>
      <w:r w:rsidRPr="002A198E">
        <w:rPr>
          <w:lang w:val="en-CA"/>
        </w:rPr>
        <w:t xml:space="preserve"> promised to ensure equal disability sector representation on each Standards Develop</w:t>
      </w:r>
      <w:r w:rsidR="00645D38">
        <w:rPr>
          <w:lang w:val="en-CA"/>
        </w:rPr>
        <w:t xml:space="preserve">ment </w:t>
      </w:r>
      <w:r w:rsidRPr="002A198E">
        <w:rPr>
          <w:lang w:val="en-CA"/>
        </w:rPr>
        <w:t>Committee.</w:t>
      </w:r>
      <w:r w:rsidR="007B2DA6">
        <w:rPr>
          <w:rStyle w:val="EndnoteReference"/>
          <w:lang w:val="en-CA"/>
        </w:rPr>
        <w:endnoteReference w:id="44"/>
      </w:r>
      <w:r w:rsidR="007B2DA6">
        <w:rPr>
          <w:lang w:val="en-CA"/>
        </w:rPr>
        <w:t xml:space="preserve"> </w:t>
      </w:r>
      <w:r w:rsidRPr="002A198E">
        <w:rPr>
          <w:lang w:val="en-CA"/>
        </w:rPr>
        <w:t xml:space="preserve"> </w:t>
      </w:r>
    </w:p>
    <w:p w14:paraId="6FE1EC0C" w14:textId="77777777" w:rsidR="004B4634" w:rsidRPr="002A198E" w:rsidRDefault="004B4634" w:rsidP="002A198E">
      <w:pPr>
        <w:widowControl w:val="0"/>
        <w:rPr>
          <w:lang w:val="en-CA"/>
        </w:rPr>
      </w:pPr>
    </w:p>
    <w:p w14:paraId="49297E12" w14:textId="3CCD7C76" w:rsidR="0066612E" w:rsidRDefault="00522D28" w:rsidP="002A198E">
      <w:pPr>
        <w:widowControl w:val="0"/>
        <w:rPr>
          <w:lang w:val="en-CA"/>
        </w:rPr>
      </w:pPr>
      <w:r>
        <w:rPr>
          <w:lang w:val="en-CA"/>
        </w:rPr>
        <w:t xml:space="preserve">An </w:t>
      </w:r>
      <w:r w:rsidR="004B4634" w:rsidRPr="002A198E">
        <w:rPr>
          <w:lang w:val="en-CA"/>
        </w:rPr>
        <w:t>AODA standards development committee deal</w:t>
      </w:r>
      <w:r w:rsidR="00A966C3">
        <w:rPr>
          <w:lang w:val="en-CA"/>
        </w:rPr>
        <w:t>s</w:t>
      </w:r>
      <w:r w:rsidR="004B4634" w:rsidRPr="002A198E">
        <w:rPr>
          <w:lang w:val="en-CA"/>
        </w:rPr>
        <w:t xml:space="preserve"> with a specified area, either a</w:t>
      </w:r>
      <w:r w:rsidR="00642E55">
        <w:rPr>
          <w:lang w:val="en-CA"/>
        </w:rPr>
        <w:t xml:space="preserve">n economic </w:t>
      </w:r>
      <w:r w:rsidR="004B4634" w:rsidRPr="002A198E">
        <w:rPr>
          <w:lang w:val="en-CA"/>
        </w:rPr>
        <w:t xml:space="preserve">sector </w:t>
      </w:r>
      <w:r w:rsidR="00642E55">
        <w:rPr>
          <w:lang w:val="en-CA"/>
        </w:rPr>
        <w:t xml:space="preserve">like </w:t>
      </w:r>
      <w:r w:rsidR="00E453CB">
        <w:rPr>
          <w:lang w:val="en-CA"/>
        </w:rPr>
        <w:t xml:space="preserve">transportation; </w:t>
      </w:r>
      <w:r w:rsidR="004B4634" w:rsidRPr="002A198E">
        <w:rPr>
          <w:lang w:val="en-CA"/>
        </w:rPr>
        <w:t>or a field cu</w:t>
      </w:r>
      <w:r w:rsidR="00E02D22">
        <w:rPr>
          <w:lang w:val="en-CA"/>
        </w:rPr>
        <w:t>tting across the economy, like customer s</w:t>
      </w:r>
      <w:r w:rsidR="004B4634" w:rsidRPr="002A198E">
        <w:rPr>
          <w:lang w:val="en-CA"/>
        </w:rPr>
        <w:t>ervice</w:t>
      </w:r>
      <w:r w:rsidR="00E453CB">
        <w:rPr>
          <w:lang w:val="en-CA"/>
        </w:rPr>
        <w:t>, information and communication;</w:t>
      </w:r>
      <w:r w:rsidR="004B4634" w:rsidRPr="002A198E">
        <w:rPr>
          <w:lang w:val="en-CA"/>
        </w:rPr>
        <w:t xml:space="preserve"> </w:t>
      </w:r>
      <w:r>
        <w:rPr>
          <w:lang w:val="en-CA"/>
        </w:rPr>
        <w:t xml:space="preserve">or the </w:t>
      </w:r>
      <w:r w:rsidR="004B4634" w:rsidRPr="002A198E">
        <w:rPr>
          <w:lang w:val="en-CA"/>
        </w:rPr>
        <w:t xml:space="preserve">built environment. An AODA standards development committee </w:t>
      </w:r>
      <w:r>
        <w:rPr>
          <w:lang w:val="en-CA"/>
        </w:rPr>
        <w:t xml:space="preserve">must </w:t>
      </w:r>
      <w:r w:rsidR="004B4634" w:rsidRPr="002A198E">
        <w:rPr>
          <w:lang w:val="en-CA"/>
        </w:rPr>
        <w:t xml:space="preserve">develop an initial proposal for an accessibility standard’s contents. It </w:t>
      </w:r>
      <w:r w:rsidR="00233A1C">
        <w:rPr>
          <w:lang w:val="en-CA"/>
        </w:rPr>
        <w:t xml:space="preserve">should </w:t>
      </w:r>
      <w:r w:rsidR="0066612E">
        <w:rPr>
          <w:lang w:val="en-CA"/>
        </w:rPr>
        <w:t xml:space="preserve">list </w:t>
      </w:r>
      <w:r w:rsidR="004B4634" w:rsidRPr="002A198E">
        <w:rPr>
          <w:lang w:val="en-CA"/>
        </w:rPr>
        <w:t xml:space="preserve">barriers to be addressed, corrective measures </w:t>
      </w:r>
      <w:r w:rsidR="00E453CB">
        <w:rPr>
          <w:lang w:val="en-CA"/>
        </w:rPr>
        <w:t>required, and time</w:t>
      </w:r>
      <w:r w:rsidR="004B4634" w:rsidRPr="002A198E">
        <w:rPr>
          <w:lang w:val="en-CA"/>
        </w:rPr>
        <w:t xml:space="preserve">lines </w:t>
      </w:r>
      <w:r w:rsidR="00233A1C">
        <w:rPr>
          <w:lang w:val="en-CA"/>
        </w:rPr>
        <w:t>for action.</w:t>
      </w:r>
      <w:r w:rsidR="001314EA">
        <w:rPr>
          <w:rStyle w:val="EndnoteReference"/>
          <w:lang w:val="en-CA"/>
        </w:rPr>
        <w:endnoteReference w:id="45"/>
      </w:r>
      <w:r w:rsidR="00233A1C">
        <w:rPr>
          <w:lang w:val="en-CA"/>
        </w:rPr>
        <w:t xml:space="preserve"> </w:t>
      </w:r>
    </w:p>
    <w:p w14:paraId="57D6602A" w14:textId="77777777" w:rsidR="0066612E" w:rsidRDefault="0066612E" w:rsidP="002A198E">
      <w:pPr>
        <w:widowControl w:val="0"/>
        <w:rPr>
          <w:lang w:val="en-CA"/>
        </w:rPr>
      </w:pPr>
    </w:p>
    <w:p w14:paraId="56340D1D" w14:textId="049246F5" w:rsidR="004B4634" w:rsidRPr="002A198E" w:rsidRDefault="00E0606A" w:rsidP="002A198E">
      <w:pPr>
        <w:widowControl w:val="0"/>
        <w:rPr>
          <w:lang w:val="en-CA"/>
        </w:rPr>
      </w:pPr>
      <w:r>
        <w:rPr>
          <w:lang w:val="en-CA"/>
        </w:rPr>
        <w:t>The Standards Development Committee's</w:t>
      </w:r>
      <w:r w:rsidR="004B4634" w:rsidRPr="002A198E">
        <w:rPr>
          <w:lang w:val="en-CA"/>
        </w:rPr>
        <w:t xml:space="preserve"> initial recommendation is made public.</w:t>
      </w:r>
      <w:r w:rsidR="001314EA">
        <w:rPr>
          <w:rStyle w:val="EndnoteReference"/>
          <w:lang w:val="en-CA"/>
        </w:rPr>
        <w:endnoteReference w:id="46"/>
      </w:r>
      <w:r w:rsidR="004B4634" w:rsidRPr="002A198E">
        <w:rPr>
          <w:lang w:val="en-CA"/>
        </w:rPr>
        <w:t xml:space="preserve"> The public is </w:t>
      </w:r>
      <w:r w:rsidR="00E453CB">
        <w:rPr>
          <w:lang w:val="en-CA"/>
        </w:rPr>
        <w:t xml:space="preserve">then </w:t>
      </w:r>
      <w:r w:rsidR="004B4634" w:rsidRPr="002A198E">
        <w:rPr>
          <w:lang w:val="en-CA"/>
        </w:rPr>
        <w:t xml:space="preserve">invited to give the Committee feedback. The Committee </w:t>
      </w:r>
      <w:r w:rsidR="0066612E">
        <w:rPr>
          <w:lang w:val="en-CA"/>
        </w:rPr>
        <w:t xml:space="preserve">must </w:t>
      </w:r>
      <w:r w:rsidR="004B4634" w:rsidRPr="002A198E">
        <w:rPr>
          <w:lang w:val="en-CA"/>
        </w:rPr>
        <w:t>review that input</w:t>
      </w:r>
      <w:r w:rsidR="00E453CB">
        <w:rPr>
          <w:lang w:val="en-CA"/>
        </w:rPr>
        <w:t xml:space="preserve"> when formulating its</w:t>
      </w:r>
      <w:r w:rsidR="004B4634" w:rsidRPr="002A198E">
        <w:rPr>
          <w:lang w:val="en-CA"/>
        </w:rPr>
        <w:t xml:space="preserve"> </w:t>
      </w:r>
      <w:r>
        <w:rPr>
          <w:lang w:val="en-CA"/>
        </w:rPr>
        <w:t>f</w:t>
      </w:r>
      <w:r w:rsidR="004B4634" w:rsidRPr="002A198E">
        <w:rPr>
          <w:lang w:val="en-CA"/>
        </w:rPr>
        <w:t>inal recommendation</w:t>
      </w:r>
      <w:r w:rsidR="0066612E">
        <w:rPr>
          <w:lang w:val="en-CA"/>
        </w:rPr>
        <w:t>s</w:t>
      </w:r>
      <w:r w:rsidR="004B4634" w:rsidRPr="002A198E">
        <w:rPr>
          <w:lang w:val="en-CA"/>
        </w:rPr>
        <w:t xml:space="preserve"> </w:t>
      </w:r>
      <w:r w:rsidR="0066612E">
        <w:rPr>
          <w:lang w:val="en-CA"/>
        </w:rPr>
        <w:t xml:space="preserve">for </w:t>
      </w:r>
      <w:r w:rsidR="004B4634" w:rsidRPr="002A198E">
        <w:rPr>
          <w:lang w:val="en-CA"/>
        </w:rPr>
        <w:t>the Ontario Government.</w:t>
      </w:r>
      <w:r w:rsidR="001314EA">
        <w:rPr>
          <w:rStyle w:val="EndnoteReference"/>
          <w:lang w:val="en-CA"/>
        </w:rPr>
        <w:endnoteReference w:id="47"/>
      </w:r>
    </w:p>
    <w:p w14:paraId="25E7F3EB" w14:textId="77777777" w:rsidR="004B4634" w:rsidRPr="002A198E" w:rsidRDefault="004B4634" w:rsidP="002A198E">
      <w:pPr>
        <w:widowControl w:val="0"/>
        <w:rPr>
          <w:lang w:val="en-CA"/>
        </w:rPr>
      </w:pPr>
    </w:p>
    <w:p w14:paraId="4E8544CE" w14:textId="69BD9B9E" w:rsidR="004B4634" w:rsidRPr="002A198E" w:rsidRDefault="001314EA" w:rsidP="002A198E">
      <w:pPr>
        <w:widowControl w:val="0"/>
        <w:rPr>
          <w:lang w:val="en-CA"/>
        </w:rPr>
      </w:pPr>
      <w:r>
        <w:rPr>
          <w:lang w:val="en-CA"/>
        </w:rPr>
        <w:t>T</w:t>
      </w:r>
      <w:r w:rsidR="004B4634" w:rsidRPr="002A198E">
        <w:rPr>
          <w:lang w:val="en-CA"/>
        </w:rPr>
        <w:t xml:space="preserve">he Ontario Government </w:t>
      </w:r>
      <w:r>
        <w:rPr>
          <w:lang w:val="en-CA"/>
        </w:rPr>
        <w:t xml:space="preserve">must </w:t>
      </w:r>
      <w:r w:rsidR="004B4634" w:rsidRPr="002A198E">
        <w:rPr>
          <w:lang w:val="en-CA"/>
        </w:rPr>
        <w:t>post the Standards Development Committee’s final recommendation</w:t>
      </w:r>
      <w:r w:rsidR="00851B19">
        <w:rPr>
          <w:lang w:val="en-CA"/>
        </w:rPr>
        <w:t>s</w:t>
      </w:r>
      <w:r w:rsidR="004B4634" w:rsidRPr="002A198E">
        <w:rPr>
          <w:lang w:val="en-CA"/>
        </w:rPr>
        <w:t xml:space="preserve"> </w:t>
      </w:r>
      <w:r>
        <w:rPr>
          <w:lang w:val="en-CA"/>
        </w:rPr>
        <w:t xml:space="preserve">for 45 days, </w:t>
      </w:r>
      <w:r w:rsidR="004B4634" w:rsidRPr="002A198E">
        <w:rPr>
          <w:lang w:val="en-CA"/>
        </w:rPr>
        <w:t>for public comment.</w:t>
      </w:r>
      <w:r>
        <w:rPr>
          <w:rStyle w:val="EndnoteReference"/>
          <w:lang w:val="en-CA"/>
        </w:rPr>
        <w:endnoteReference w:id="48"/>
      </w:r>
      <w:r w:rsidR="004B4634" w:rsidRPr="002A198E">
        <w:rPr>
          <w:lang w:val="en-CA"/>
        </w:rPr>
        <w:t xml:space="preserve"> The government </w:t>
      </w:r>
      <w:r>
        <w:rPr>
          <w:lang w:val="en-CA"/>
        </w:rPr>
        <w:t xml:space="preserve">then </w:t>
      </w:r>
      <w:r w:rsidR="004B4634" w:rsidRPr="002A198E">
        <w:rPr>
          <w:lang w:val="en-CA"/>
        </w:rPr>
        <w:t>take</w:t>
      </w:r>
      <w:r w:rsidR="00F204D6">
        <w:rPr>
          <w:lang w:val="en-CA"/>
        </w:rPr>
        <w:t>s</w:t>
      </w:r>
      <w:r w:rsidR="004B4634" w:rsidRPr="002A198E">
        <w:rPr>
          <w:lang w:val="en-CA"/>
        </w:rPr>
        <w:t xml:space="preserve"> action. It can develop a </w:t>
      </w:r>
      <w:r>
        <w:rPr>
          <w:lang w:val="en-CA"/>
        </w:rPr>
        <w:t xml:space="preserve">draft </w:t>
      </w:r>
      <w:r w:rsidR="004B4634" w:rsidRPr="002A198E">
        <w:rPr>
          <w:lang w:val="en-CA"/>
        </w:rPr>
        <w:t>regulation. The regulation</w:t>
      </w:r>
      <w:r>
        <w:rPr>
          <w:lang w:val="en-CA"/>
        </w:rPr>
        <w:t>'s contents can differ from what the Standards Development Committee recommended.</w:t>
      </w:r>
      <w:r>
        <w:rPr>
          <w:rStyle w:val="EndnoteReference"/>
          <w:lang w:val="en-CA"/>
        </w:rPr>
        <w:endnoteReference w:id="49"/>
      </w:r>
      <w:r>
        <w:rPr>
          <w:lang w:val="en-CA"/>
        </w:rPr>
        <w:t xml:space="preserve"> </w:t>
      </w:r>
      <w:r w:rsidR="001661CB">
        <w:rPr>
          <w:lang w:val="en-CA"/>
        </w:rPr>
        <w:t xml:space="preserve">No </w:t>
      </w:r>
      <w:r w:rsidR="004B4634" w:rsidRPr="002A198E">
        <w:rPr>
          <w:lang w:val="en-CA"/>
        </w:rPr>
        <w:t xml:space="preserve">AODA accessibility standard enacted to date </w:t>
      </w:r>
      <w:r w:rsidR="001661CB">
        <w:rPr>
          <w:lang w:val="en-CA"/>
        </w:rPr>
        <w:t xml:space="preserve">has </w:t>
      </w:r>
      <w:r w:rsidR="004B4634" w:rsidRPr="002A198E">
        <w:rPr>
          <w:lang w:val="en-CA"/>
        </w:rPr>
        <w:t xml:space="preserve">included all actions </w:t>
      </w:r>
      <w:r w:rsidR="00F204D6">
        <w:rPr>
          <w:lang w:val="en-CA"/>
        </w:rPr>
        <w:t xml:space="preserve">that </w:t>
      </w:r>
      <w:r w:rsidR="004B4634" w:rsidRPr="002A198E">
        <w:rPr>
          <w:lang w:val="en-CA"/>
        </w:rPr>
        <w:t>the Standards Development Committee recommended.</w:t>
      </w:r>
    </w:p>
    <w:p w14:paraId="69AD62C8" w14:textId="77777777" w:rsidR="004B4634" w:rsidRPr="002A198E" w:rsidRDefault="004B4634" w:rsidP="002A198E">
      <w:pPr>
        <w:widowControl w:val="0"/>
        <w:rPr>
          <w:lang w:val="en-CA"/>
        </w:rPr>
      </w:pPr>
    </w:p>
    <w:p w14:paraId="3BB38B97" w14:textId="410177C9" w:rsidR="004B4634" w:rsidRPr="002A198E" w:rsidRDefault="001916A4" w:rsidP="002A198E">
      <w:pPr>
        <w:widowControl w:val="0"/>
        <w:rPr>
          <w:lang w:val="en-CA"/>
        </w:rPr>
      </w:pPr>
      <w:r>
        <w:rPr>
          <w:lang w:val="en-CA"/>
        </w:rPr>
        <w:t xml:space="preserve">The Ontario Government must then post its </w:t>
      </w:r>
      <w:r w:rsidR="00E40AE7">
        <w:rPr>
          <w:lang w:val="en-CA"/>
        </w:rPr>
        <w:t xml:space="preserve">proposed </w:t>
      </w:r>
      <w:r>
        <w:rPr>
          <w:lang w:val="en-CA"/>
        </w:rPr>
        <w:t>draft regulation for 45 days for public comment.</w:t>
      </w:r>
      <w:r>
        <w:rPr>
          <w:rStyle w:val="EndnoteReference"/>
          <w:lang w:val="en-CA"/>
        </w:rPr>
        <w:endnoteReference w:id="50"/>
      </w:r>
      <w:r>
        <w:rPr>
          <w:lang w:val="en-CA"/>
        </w:rPr>
        <w:t xml:space="preserve"> T</w:t>
      </w:r>
      <w:r w:rsidR="004B4634" w:rsidRPr="002A198E">
        <w:rPr>
          <w:lang w:val="en-CA"/>
        </w:rPr>
        <w:t xml:space="preserve">he Ontario Government is expected to review that input. After that, </w:t>
      </w:r>
      <w:r w:rsidR="00934618">
        <w:rPr>
          <w:lang w:val="en-CA"/>
        </w:rPr>
        <w:t xml:space="preserve">it </w:t>
      </w:r>
      <w:r w:rsidR="005B1FD4" w:rsidRPr="002A198E">
        <w:rPr>
          <w:lang w:val="en-CA"/>
        </w:rPr>
        <w:t>can</w:t>
      </w:r>
      <w:r w:rsidR="004B4634" w:rsidRPr="002A198E">
        <w:rPr>
          <w:lang w:val="en-CA"/>
        </w:rPr>
        <w:t xml:space="preserve"> enact a final regulation</w:t>
      </w:r>
      <w:r w:rsidR="00CC5B59">
        <w:rPr>
          <w:lang w:val="en-CA"/>
        </w:rPr>
        <w:t>, the draft posted as is, or with changes as a result of public input</w:t>
      </w:r>
      <w:r w:rsidR="004B4634" w:rsidRPr="002A198E">
        <w:rPr>
          <w:lang w:val="en-CA"/>
        </w:rPr>
        <w:t>.</w:t>
      </w:r>
      <w:r w:rsidR="00CC5B59">
        <w:rPr>
          <w:rStyle w:val="EndnoteReference"/>
          <w:lang w:val="en-CA"/>
        </w:rPr>
        <w:endnoteReference w:id="51"/>
      </w:r>
    </w:p>
    <w:p w14:paraId="71FF0023" w14:textId="77777777" w:rsidR="004B4634" w:rsidRPr="002A198E" w:rsidRDefault="004B4634" w:rsidP="002A198E">
      <w:pPr>
        <w:widowControl w:val="0"/>
        <w:rPr>
          <w:lang w:val="en-CA"/>
        </w:rPr>
      </w:pPr>
    </w:p>
    <w:p w14:paraId="5EB52836" w14:textId="1F2DA5AE" w:rsidR="004B4634" w:rsidRPr="002A198E" w:rsidRDefault="004B4634" w:rsidP="002A198E">
      <w:pPr>
        <w:widowControl w:val="0"/>
        <w:rPr>
          <w:lang w:val="en-CA"/>
        </w:rPr>
      </w:pPr>
      <w:r w:rsidRPr="002A198E">
        <w:rPr>
          <w:lang w:val="en-CA"/>
        </w:rPr>
        <w:t xml:space="preserve">Within five years after an accessibility standard is enacted, the Ontario Government must appoint a Standards Development </w:t>
      </w:r>
      <w:r w:rsidR="005B1FD4" w:rsidRPr="002A198E">
        <w:rPr>
          <w:lang w:val="en-CA"/>
        </w:rPr>
        <w:t>Committee to</w:t>
      </w:r>
      <w:r w:rsidRPr="002A198E">
        <w:rPr>
          <w:lang w:val="en-CA"/>
        </w:rPr>
        <w:t xml:space="preserve"> review it</w:t>
      </w:r>
      <w:r w:rsidR="001E27A2">
        <w:rPr>
          <w:lang w:val="en-CA"/>
        </w:rPr>
        <w:t>.</w:t>
      </w:r>
      <w:r w:rsidRPr="002A198E">
        <w:rPr>
          <w:lang w:val="en-CA"/>
        </w:rPr>
        <w:t xml:space="preserve"> </w:t>
      </w:r>
      <w:r w:rsidR="00E453CB">
        <w:rPr>
          <w:lang w:val="en-CA"/>
        </w:rPr>
        <w:t>The Committee</w:t>
      </w:r>
      <w:r w:rsidR="001E27A2">
        <w:rPr>
          <w:lang w:val="en-CA"/>
        </w:rPr>
        <w:t xml:space="preserve"> can </w:t>
      </w:r>
      <w:r w:rsidRPr="002A198E">
        <w:rPr>
          <w:lang w:val="en-CA"/>
        </w:rPr>
        <w:t xml:space="preserve">recommend any revisions needed to </w:t>
      </w:r>
      <w:r w:rsidR="001E27A2">
        <w:rPr>
          <w:lang w:val="en-CA"/>
        </w:rPr>
        <w:t xml:space="preserve">achieve the AODA's purposes. </w:t>
      </w:r>
      <w:r w:rsidR="00EB721A">
        <w:rPr>
          <w:lang w:val="en-CA"/>
        </w:rPr>
        <w:t xml:space="preserve">Its </w:t>
      </w:r>
      <w:r w:rsidR="001E27A2">
        <w:rPr>
          <w:lang w:val="en-CA"/>
        </w:rPr>
        <w:t xml:space="preserve">process tracks the initial standards development process, described above.  </w:t>
      </w:r>
    </w:p>
    <w:p w14:paraId="66D4963A" w14:textId="77777777" w:rsidR="004B4634" w:rsidRPr="002A198E" w:rsidRDefault="004B4634" w:rsidP="002A198E">
      <w:pPr>
        <w:widowControl w:val="0"/>
        <w:rPr>
          <w:lang w:val="en-CA"/>
        </w:rPr>
      </w:pPr>
    </w:p>
    <w:p w14:paraId="04941D85" w14:textId="2092D12D" w:rsidR="004B4634" w:rsidRPr="002A198E" w:rsidRDefault="004B4634" w:rsidP="002A198E">
      <w:pPr>
        <w:widowControl w:val="0"/>
        <w:rPr>
          <w:lang w:val="en-CA"/>
        </w:rPr>
      </w:pPr>
      <w:r w:rsidRPr="002A198E">
        <w:rPr>
          <w:lang w:val="en-CA"/>
        </w:rPr>
        <w:lastRenderedPageBreak/>
        <w:t xml:space="preserve">The 2010 </w:t>
      </w:r>
      <w:r w:rsidR="00E40AE7">
        <w:rPr>
          <w:lang w:val="en-CA"/>
        </w:rPr>
        <w:t xml:space="preserve">Charles </w:t>
      </w:r>
      <w:r w:rsidRPr="002A198E">
        <w:rPr>
          <w:lang w:val="en-CA"/>
        </w:rPr>
        <w:t xml:space="preserve">Beer AODA Independent Review Report identified significant </w:t>
      </w:r>
      <w:r w:rsidR="00DB044E">
        <w:rPr>
          <w:lang w:val="en-CA"/>
        </w:rPr>
        <w:t xml:space="preserve">early </w:t>
      </w:r>
      <w:r w:rsidRPr="002A198E">
        <w:rPr>
          <w:lang w:val="en-CA"/>
        </w:rPr>
        <w:t xml:space="preserve">problems </w:t>
      </w:r>
      <w:r w:rsidR="003F14E4">
        <w:rPr>
          <w:lang w:val="en-CA"/>
        </w:rPr>
        <w:t xml:space="preserve">in </w:t>
      </w:r>
      <w:r w:rsidRPr="002A198E">
        <w:rPr>
          <w:lang w:val="en-CA"/>
        </w:rPr>
        <w:t xml:space="preserve">the </w:t>
      </w:r>
      <w:r w:rsidR="001E27A2">
        <w:rPr>
          <w:lang w:val="en-CA"/>
        </w:rPr>
        <w:t xml:space="preserve">standards development </w:t>
      </w:r>
      <w:r w:rsidRPr="002A198E">
        <w:rPr>
          <w:lang w:val="en-CA"/>
        </w:rPr>
        <w:t>process</w:t>
      </w:r>
      <w:r w:rsidR="00A5067B">
        <w:rPr>
          <w:lang w:val="en-CA"/>
        </w:rPr>
        <w:t xml:space="preserve"> and recommended </w:t>
      </w:r>
      <w:r w:rsidR="003F14E4">
        <w:rPr>
          <w:lang w:val="en-CA"/>
        </w:rPr>
        <w:t xml:space="preserve">good </w:t>
      </w:r>
      <w:r w:rsidR="00A5067B">
        <w:rPr>
          <w:lang w:val="en-CA"/>
        </w:rPr>
        <w:t xml:space="preserve">reforms. </w:t>
      </w:r>
      <w:r w:rsidR="00E453CB">
        <w:rPr>
          <w:lang w:val="en-CA"/>
        </w:rPr>
        <w:t>However, th</w:t>
      </w:r>
      <w:r w:rsidRPr="002A198E">
        <w:rPr>
          <w:lang w:val="en-CA"/>
        </w:rPr>
        <w:t xml:space="preserve">e Beer report </w:t>
      </w:r>
      <w:r w:rsidR="00AA3CBE">
        <w:rPr>
          <w:lang w:val="en-CA"/>
        </w:rPr>
        <w:t xml:space="preserve">didn't </w:t>
      </w:r>
      <w:r w:rsidRPr="002A198E">
        <w:rPr>
          <w:lang w:val="en-CA"/>
        </w:rPr>
        <w:t xml:space="preserve">capture all problems </w:t>
      </w:r>
      <w:r w:rsidR="003F14E4">
        <w:rPr>
          <w:lang w:val="en-CA"/>
        </w:rPr>
        <w:t xml:space="preserve">in </w:t>
      </w:r>
      <w:r w:rsidRPr="002A198E">
        <w:rPr>
          <w:lang w:val="en-CA"/>
        </w:rPr>
        <w:t>the standards development process</w:t>
      </w:r>
      <w:r w:rsidR="00DB044E">
        <w:rPr>
          <w:lang w:val="en-CA"/>
        </w:rPr>
        <w:t>.</w:t>
      </w:r>
    </w:p>
    <w:p w14:paraId="413D20C1" w14:textId="77777777" w:rsidR="004B4634" w:rsidRPr="002A198E" w:rsidRDefault="004B4634" w:rsidP="002A198E">
      <w:pPr>
        <w:widowControl w:val="0"/>
        <w:rPr>
          <w:lang w:val="en-CA"/>
        </w:rPr>
      </w:pPr>
    </w:p>
    <w:p w14:paraId="611E50BF" w14:textId="6403DCA6" w:rsidR="004B4634" w:rsidRPr="002A198E" w:rsidRDefault="004B4634" w:rsidP="002A198E">
      <w:pPr>
        <w:widowControl w:val="0"/>
        <w:rPr>
          <w:lang w:val="en-CA"/>
        </w:rPr>
      </w:pPr>
      <w:r w:rsidRPr="002A198E">
        <w:rPr>
          <w:lang w:val="en-CA"/>
        </w:rPr>
        <w:t xml:space="preserve">Between 2006 and 2008, the Ontario government appointed five standards development committees, </w:t>
      </w:r>
      <w:r w:rsidR="006B5EA4">
        <w:rPr>
          <w:lang w:val="en-CA"/>
        </w:rPr>
        <w:t xml:space="preserve">for </w:t>
      </w:r>
      <w:r w:rsidRPr="002A198E">
        <w:rPr>
          <w:lang w:val="en-CA"/>
        </w:rPr>
        <w:t xml:space="preserve">customer service, employment, transportation, information and communication and the built environment. </w:t>
      </w:r>
      <w:r w:rsidR="006B5EA4">
        <w:rPr>
          <w:lang w:val="en-CA"/>
        </w:rPr>
        <w:t xml:space="preserve">The Beer Report recommended </w:t>
      </w:r>
      <w:r w:rsidRPr="002A198E">
        <w:rPr>
          <w:lang w:val="en-CA"/>
        </w:rPr>
        <w:t xml:space="preserve">that one </w:t>
      </w:r>
      <w:r w:rsidR="006B5EA4">
        <w:rPr>
          <w:lang w:val="en-CA"/>
        </w:rPr>
        <w:t xml:space="preserve">independent </w:t>
      </w:r>
      <w:r w:rsidRPr="002A198E">
        <w:rPr>
          <w:lang w:val="en-CA"/>
        </w:rPr>
        <w:t xml:space="preserve">body </w:t>
      </w:r>
      <w:r w:rsidR="006B5EA4">
        <w:rPr>
          <w:lang w:val="en-CA"/>
        </w:rPr>
        <w:t xml:space="preserve">should develop </w:t>
      </w:r>
      <w:r w:rsidRPr="002A198E">
        <w:rPr>
          <w:lang w:val="en-CA"/>
        </w:rPr>
        <w:t xml:space="preserve">recommendations for </w:t>
      </w:r>
      <w:r w:rsidR="006B5EA4">
        <w:rPr>
          <w:lang w:val="en-CA"/>
        </w:rPr>
        <w:t xml:space="preserve">the content of </w:t>
      </w:r>
      <w:r w:rsidRPr="002A198E">
        <w:rPr>
          <w:lang w:val="en-CA"/>
        </w:rPr>
        <w:t>all accessibility standards</w:t>
      </w:r>
      <w:r w:rsidR="006B5EA4">
        <w:rPr>
          <w:lang w:val="en-CA"/>
        </w:rPr>
        <w:t xml:space="preserve">, rather than </w:t>
      </w:r>
      <w:r w:rsidRPr="002A198E">
        <w:rPr>
          <w:lang w:val="en-CA"/>
        </w:rPr>
        <w:t>several Standards Development Committees</w:t>
      </w:r>
      <w:r w:rsidR="006B5EA4">
        <w:rPr>
          <w:lang w:val="en-CA"/>
        </w:rPr>
        <w:t>,</w:t>
      </w:r>
      <w:r w:rsidRPr="002A198E">
        <w:rPr>
          <w:lang w:val="en-CA"/>
        </w:rPr>
        <w:t xml:space="preserve"> </w:t>
      </w:r>
      <w:r w:rsidR="00E40AE7">
        <w:rPr>
          <w:lang w:val="en-CA"/>
        </w:rPr>
        <w:t xml:space="preserve">separately </w:t>
      </w:r>
      <w:r w:rsidRPr="002A198E">
        <w:rPr>
          <w:lang w:val="en-CA"/>
        </w:rPr>
        <w:t>working in silos</w:t>
      </w:r>
      <w:r w:rsidR="006B5EA4">
        <w:rPr>
          <w:lang w:val="en-CA"/>
        </w:rPr>
        <w:t>.</w:t>
      </w:r>
      <w:r w:rsidRPr="002A198E">
        <w:rPr>
          <w:lang w:val="en-CA"/>
        </w:rPr>
        <w:t xml:space="preserve"> </w:t>
      </w:r>
    </w:p>
    <w:p w14:paraId="630C97E9" w14:textId="77777777" w:rsidR="004B4634" w:rsidRPr="002A198E" w:rsidRDefault="004B4634" w:rsidP="002A198E">
      <w:pPr>
        <w:widowControl w:val="0"/>
        <w:rPr>
          <w:lang w:val="en-CA"/>
        </w:rPr>
      </w:pPr>
    </w:p>
    <w:p w14:paraId="752CAE64" w14:textId="77777777" w:rsidR="004B4634" w:rsidRPr="002A198E" w:rsidRDefault="006B5EA4" w:rsidP="006125F0">
      <w:pPr>
        <w:widowControl w:val="0"/>
        <w:rPr>
          <w:lang w:val="en-CA"/>
        </w:rPr>
      </w:pPr>
      <w:r>
        <w:rPr>
          <w:lang w:val="en-CA"/>
        </w:rPr>
        <w:t>T</w:t>
      </w:r>
      <w:r w:rsidR="004B4634" w:rsidRPr="002A198E">
        <w:rPr>
          <w:lang w:val="en-CA"/>
        </w:rPr>
        <w:t>he Ontario Government agreed to do this</w:t>
      </w:r>
      <w:r w:rsidR="00FD0A0D">
        <w:rPr>
          <w:lang w:val="en-CA"/>
        </w:rPr>
        <w:t xml:space="preserve"> </w:t>
      </w:r>
      <w:r w:rsidR="004B4634" w:rsidRPr="002A198E">
        <w:rPr>
          <w:lang w:val="en-CA"/>
        </w:rPr>
        <w:t>through the Accessibility Standards Advisory Council</w:t>
      </w:r>
      <w:r w:rsidR="00FD0A0D">
        <w:rPr>
          <w:lang w:val="en-CA"/>
        </w:rPr>
        <w:t xml:space="preserve"> ASAC. </w:t>
      </w:r>
      <w:r w:rsidR="006125F0">
        <w:rPr>
          <w:lang w:val="en-CA"/>
        </w:rPr>
        <w:t xml:space="preserve">That reform </w:t>
      </w:r>
      <w:r w:rsidR="00FE5B87">
        <w:rPr>
          <w:lang w:val="en-CA"/>
        </w:rPr>
        <w:t xml:space="preserve">was </w:t>
      </w:r>
      <w:r w:rsidR="006125F0">
        <w:rPr>
          <w:lang w:val="en-CA"/>
        </w:rPr>
        <w:t xml:space="preserve">a failure. The least effective standards development process under the AODA was ASAC's 2013-14 review of the 2007 Customer Service Accessibility Standard. </w:t>
      </w:r>
      <w:r w:rsidR="00FD0A0D">
        <w:rPr>
          <w:lang w:val="en-CA"/>
        </w:rPr>
        <w:t>ASAC</w:t>
      </w:r>
      <w:r w:rsidR="004B4634" w:rsidRPr="002A198E">
        <w:rPr>
          <w:lang w:val="en-CA"/>
        </w:rPr>
        <w:t xml:space="preserve"> </w:t>
      </w:r>
      <w:r w:rsidR="0009223B">
        <w:rPr>
          <w:lang w:val="en-CA"/>
        </w:rPr>
        <w:t xml:space="preserve">wasn't </w:t>
      </w:r>
      <w:r w:rsidR="004B4634" w:rsidRPr="002A198E">
        <w:rPr>
          <w:lang w:val="en-CA"/>
        </w:rPr>
        <w:t>resource</w:t>
      </w:r>
      <w:r w:rsidR="00E02D22">
        <w:rPr>
          <w:lang w:val="en-CA"/>
        </w:rPr>
        <w:t>d</w:t>
      </w:r>
      <w:r w:rsidR="004B4634" w:rsidRPr="002A198E">
        <w:rPr>
          <w:lang w:val="en-CA"/>
        </w:rPr>
        <w:t xml:space="preserve"> or structured to operate independent</w:t>
      </w:r>
      <w:r w:rsidR="00FD0A0D">
        <w:rPr>
          <w:lang w:val="en-CA"/>
        </w:rPr>
        <w:t>ly</w:t>
      </w:r>
      <w:r w:rsidR="004B4634" w:rsidRPr="002A198E">
        <w:rPr>
          <w:lang w:val="en-CA"/>
        </w:rPr>
        <w:t xml:space="preserve"> of the government.</w:t>
      </w:r>
    </w:p>
    <w:p w14:paraId="4E2B2FFB" w14:textId="77777777" w:rsidR="004B4634" w:rsidRPr="002A198E" w:rsidRDefault="004B4634" w:rsidP="002A198E">
      <w:pPr>
        <w:widowControl w:val="0"/>
        <w:rPr>
          <w:lang w:val="en-CA"/>
        </w:rPr>
      </w:pPr>
    </w:p>
    <w:p w14:paraId="69DCA18C" w14:textId="2092D3FF" w:rsidR="001530E4" w:rsidRDefault="004B4634" w:rsidP="001530E4">
      <w:pPr>
        <w:widowControl w:val="0"/>
        <w:rPr>
          <w:lang w:val="en-CA"/>
        </w:rPr>
      </w:pPr>
      <w:r w:rsidRPr="002A198E">
        <w:rPr>
          <w:lang w:val="en-CA"/>
        </w:rPr>
        <w:t xml:space="preserve">Ontario </w:t>
      </w:r>
      <w:r w:rsidR="005B1FD4" w:rsidRPr="002A198E">
        <w:rPr>
          <w:lang w:val="en-CA"/>
        </w:rPr>
        <w:t>experience shows</w:t>
      </w:r>
      <w:r w:rsidRPr="002A198E">
        <w:rPr>
          <w:lang w:val="en-CA"/>
        </w:rPr>
        <w:t xml:space="preserve"> that a Standards Development Committee must actively consult the public as it develops its proposals</w:t>
      </w:r>
      <w:r w:rsidR="006406F0">
        <w:rPr>
          <w:lang w:val="en-CA"/>
        </w:rPr>
        <w:t xml:space="preserve">. </w:t>
      </w:r>
      <w:bookmarkStart w:id="16" w:name="Start"/>
      <w:bookmarkStart w:id="17" w:name="Complete"/>
      <w:bookmarkEnd w:id="16"/>
      <w:bookmarkEnd w:id="17"/>
      <w:r w:rsidR="001530E4">
        <w:rPr>
          <w:lang w:val="en-CA"/>
        </w:rPr>
        <w:t xml:space="preserve">The CDA should require a Standards Development Committee to invite stakeholders to meet with it face-to-face, to discuss contentious issues. Written submissions from stakeholders may be sufficient for some issues. On more important and contentious issues, there is no substitute for frank face-to-face exchanges. </w:t>
      </w:r>
    </w:p>
    <w:p w14:paraId="502E713E" w14:textId="77777777" w:rsidR="001530E4" w:rsidRDefault="001530E4" w:rsidP="001530E4">
      <w:pPr>
        <w:widowControl w:val="0"/>
        <w:rPr>
          <w:lang w:val="en-CA"/>
        </w:rPr>
      </w:pPr>
    </w:p>
    <w:p w14:paraId="20BB3B41" w14:textId="48C64B00" w:rsidR="004B4634" w:rsidRPr="002A198E" w:rsidRDefault="004B4634" w:rsidP="001530E4">
      <w:pPr>
        <w:widowControl w:val="0"/>
        <w:rPr>
          <w:lang w:val="en-CA"/>
        </w:rPr>
      </w:pPr>
      <w:r w:rsidRPr="002A198E">
        <w:rPr>
          <w:lang w:val="en-CA"/>
        </w:rPr>
        <w:t xml:space="preserve">Ontario’s Standards Development Committees </w:t>
      </w:r>
      <w:r w:rsidR="005A7D09">
        <w:rPr>
          <w:lang w:val="en-CA"/>
        </w:rPr>
        <w:t>have rarely if ever</w:t>
      </w:r>
      <w:r w:rsidR="00FB5356">
        <w:rPr>
          <w:lang w:val="en-CA"/>
        </w:rPr>
        <w:t xml:space="preserve"> done this</w:t>
      </w:r>
      <w:r w:rsidR="005A7D09">
        <w:rPr>
          <w:lang w:val="en-CA"/>
        </w:rPr>
        <w:t xml:space="preserve">, </w:t>
      </w:r>
      <w:r w:rsidR="009477ED">
        <w:rPr>
          <w:lang w:val="en-CA"/>
        </w:rPr>
        <w:t>a</w:t>
      </w:r>
      <w:r w:rsidR="005B1FD4" w:rsidRPr="002A198E">
        <w:rPr>
          <w:lang w:val="en-CA"/>
        </w:rPr>
        <w:t>part</w:t>
      </w:r>
      <w:r w:rsidRPr="002A198E">
        <w:rPr>
          <w:lang w:val="en-CA"/>
        </w:rPr>
        <w:t xml:space="preserve"> from posting an initial recommendation and receiving written input. Ontario Standards Development Committee</w:t>
      </w:r>
      <w:r w:rsidR="005A7D09">
        <w:rPr>
          <w:lang w:val="en-CA"/>
        </w:rPr>
        <w:t>s</w:t>
      </w:r>
      <w:r w:rsidRPr="002A198E">
        <w:rPr>
          <w:lang w:val="en-CA"/>
        </w:rPr>
        <w:t xml:space="preserve"> </w:t>
      </w:r>
      <w:r w:rsidR="005A7D09">
        <w:rPr>
          <w:lang w:val="en-CA"/>
        </w:rPr>
        <w:t xml:space="preserve">at times only </w:t>
      </w:r>
      <w:r w:rsidR="00704967">
        <w:rPr>
          <w:lang w:val="en-CA"/>
        </w:rPr>
        <w:t xml:space="preserve">received </w:t>
      </w:r>
      <w:r w:rsidRPr="002A198E">
        <w:rPr>
          <w:lang w:val="en-CA"/>
        </w:rPr>
        <w:t>summar</w:t>
      </w:r>
      <w:r w:rsidR="00704967">
        <w:rPr>
          <w:lang w:val="en-CA"/>
        </w:rPr>
        <w:t>ies</w:t>
      </w:r>
      <w:r w:rsidRPr="002A198E">
        <w:rPr>
          <w:lang w:val="en-CA"/>
        </w:rPr>
        <w:t xml:space="preserve"> of </w:t>
      </w:r>
      <w:r w:rsidR="005A7D09">
        <w:rPr>
          <w:lang w:val="en-CA"/>
        </w:rPr>
        <w:t xml:space="preserve">the public's </w:t>
      </w:r>
      <w:r w:rsidRPr="002A198E">
        <w:rPr>
          <w:lang w:val="en-CA"/>
        </w:rPr>
        <w:t>input</w:t>
      </w:r>
      <w:r w:rsidR="00FB5356">
        <w:rPr>
          <w:lang w:val="en-CA"/>
        </w:rPr>
        <w:t>. That is</w:t>
      </w:r>
      <w:r w:rsidR="005A7D09">
        <w:rPr>
          <w:lang w:val="en-CA"/>
        </w:rPr>
        <w:t xml:space="preserve"> </w:t>
      </w:r>
      <w:r w:rsidRPr="002A198E">
        <w:rPr>
          <w:lang w:val="en-CA"/>
        </w:rPr>
        <w:t>too removed from hearing directly from stakeholders.</w:t>
      </w:r>
    </w:p>
    <w:p w14:paraId="49DCFD63" w14:textId="77777777" w:rsidR="004B4634" w:rsidRPr="002A198E" w:rsidRDefault="004B4634" w:rsidP="002A198E">
      <w:pPr>
        <w:widowControl w:val="0"/>
        <w:rPr>
          <w:lang w:val="en-CA"/>
        </w:rPr>
      </w:pPr>
    </w:p>
    <w:p w14:paraId="3DF19176" w14:textId="1BCC9159" w:rsidR="00776D12" w:rsidRDefault="00776D12" w:rsidP="00776D12">
      <w:pPr>
        <w:widowControl w:val="0"/>
        <w:rPr>
          <w:lang w:val="en-CA"/>
        </w:rPr>
      </w:pPr>
      <w:r>
        <w:rPr>
          <w:lang w:val="en-CA"/>
        </w:rPr>
        <w:t xml:space="preserve">The Canadian Human Rights Commission should be extensively involved in each </w:t>
      </w:r>
      <w:r w:rsidR="00DC631B">
        <w:rPr>
          <w:lang w:val="en-CA"/>
        </w:rPr>
        <w:t xml:space="preserve">CDA </w:t>
      </w:r>
      <w:r>
        <w:rPr>
          <w:lang w:val="en-CA"/>
        </w:rPr>
        <w:t xml:space="preserve">Standards Development Committee's work. This is especially important during review of public input and discussion on specific recommendations. </w:t>
      </w:r>
    </w:p>
    <w:p w14:paraId="7766352E" w14:textId="77777777" w:rsidR="00776D12" w:rsidRDefault="00776D12" w:rsidP="00776D12">
      <w:pPr>
        <w:widowControl w:val="0"/>
        <w:rPr>
          <w:lang w:val="en-CA"/>
        </w:rPr>
      </w:pPr>
    </w:p>
    <w:p w14:paraId="27131355" w14:textId="4DAFB538" w:rsidR="00BA67BB" w:rsidRDefault="00BA67BB" w:rsidP="002A198E">
      <w:pPr>
        <w:widowControl w:val="0"/>
        <w:rPr>
          <w:lang w:val="en-CA"/>
        </w:rPr>
      </w:pPr>
      <w:r>
        <w:rPr>
          <w:lang w:val="en-CA"/>
        </w:rPr>
        <w:t xml:space="preserve">Ontario's </w:t>
      </w:r>
      <w:r w:rsidR="004B4634" w:rsidRPr="002A198E">
        <w:rPr>
          <w:lang w:val="en-CA"/>
        </w:rPr>
        <w:t xml:space="preserve">standards development process </w:t>
      </w:r>
      <w:r w:rsidR="00DC631B">
        <w:rPr>
          <w:lang w:val="en-CA"/>
        </w:rPr>
        <w:t xml:space="preserve">has been </w:t>
      </w:r>
      <w:r>
        <w:rPr>
          <w:lang w:val="en-CA"/>
        </w:rPr>
        <w:t>painfully slow. The CDA should give enough time to get it right, while avoiding bogging down in bureaucracy.</w:t>
      </w:r>
    </w:p>
    <w:p w14:paraId="21D973D4" w14:textId="77777777" w:rsidR="00BA67BB" w:rsidRDefault="00BA67BB" w:rsidP="002A198E">
      <w:pPr>
        <w:widowControl w:val="0"/>
        <w:rPr>
          <w:lang w:val="en-CA"/>
        </w:rPr>
      </w:pPr>
    </w:p>
    <w:p w14:paraId="2E3D5E97" w14:textId="129AE708" w:rsidR="00BA67BB" w:rsidRDefault="00BA67BB" w:rsidP="002A198E">
      <w:pPr>
        <w:widowControl w:val="0"/>
        <w:rPr>
          <w:lang w:val="en-CA"/>
        </w:rPr>
      </w:pPr>
      <w:r>
        <w:rPr>
          <w:lang w:val="en-CA"/>
        </w:rPr>
        <w:t xml:space="preserve"> CDA </w:t>
      </w:r>
      <w:r w:rsidR="004B4634" w:rsidRPr="002A198E">
        <w:rPr>
          <w:lang w:val="en-CA"/>
        </w:rPr>
        <w:t xml:space="preserve">Standards Development Committees should </w:t>
      </w:r>
      <w:r>
        <w:rPr>
          <w:lang w:val="en-CA"/>
        </w:rPr>
        <w:t xml:space="preserve">work </w:t>
      </w:r>
      <w:r w:rsidR="004B4634" w:rsidRPr="002A198E">
        <w:rPr>
          <w:lang w:val="en-CA"/>
        </w:rPr>
        <w:t xml:space="preserve">under the </w:t>
      </w:r>
      <w:r>
        <w:rPr>
          <w:lang w:val="en-CA"/>
        </w:rPr>
        <w:t xml:space="preserve">proposed </w:t>
      </w:r>
      <w:r w:rsidR="004B4634" w:rsidRPr="002A198E">
        <w:rPr>
          <w:lang w:val="en-CA"/>
        </w:rPr>
        <w:t xml:space="preserve">new Canada Accessibility Commissioner. This can help avert problems </w:t>
      </w:r>
      <w:r w:rsidR="00DC631B">
        <w:rPr>
          <w:lang w:val="en-CA"/>
        </w:rPr>
        <w:t xml:space="preserve">that </w:t>
      </w:r>
      <w:r w:rsidR="00FC0DCD">
        <w:rPr>
          <w:lang w:val="en-CA"/>
        </w:rPr>
        <w:t xml:space="preserve">Ontario </w:t>
      </w:r>
      <w:r w:rsidR="004B4634" w:rsidRPr="002A198E">
        <w:rPr>
          <w:lang w:val="en-CA"/>
        </w:rPr>
        <w:t xml:space="preserve">experienced, where </w:t>
      </w:r>
      <w:r>
        <w:rPr>
          <w:lang w:val="en-CA"/>
        </w:rPr>
        <w:t>there is no such independent agency.</w:t>
      </w:r>
    </w:p>
    <w:p w14:paraId="036280C7" w14:textId="77777777" w:rsidR="000C3E91" w:rsidRPr="002A198E" w:rsidRDefault="000C3E91" w:rsidP="002A198E">
      <w:pPr>
        <w:widowControl w:val="0"/>
        <w:rPr>
          <w:lang w:val="en-CA"/>
        </w:rPr>
      </w:pPr>
    </w:p>
    <w:p w14:paraId="74F3156D" w14:textId="54F2BAB8" w:rsidR="000C3E91" w:rsidRPr="002A198E" w:rsidRDefault="000C3E91" w:rsidP="002A198E">
      <w:pPr>
        <w:widowControl w:val="0"/>
        <w:rPr>
          <w:lang w:val="en-CA"/>
        </w:rPr>
      </w:pPr>
      <w:r w:rsidRPr="002A198E">
        <w:rPr>
          <w:lang w:val="en-CA"/>
        </w:rPr>
        <w:t xml:space="preserve">It </w:t>
      </w:r>
      <w:r w:rsidR="00BA67BB">
        <w:rPr>
          <w:lang w:val="en-CA"/>
        </w:rPr>
        <w:t xml:space="preserve">is </w:t>
      </w:r>
      <w:r w:rsidRPr="002A198E">
        <w:rPr>
          <w:lang w:val="en-CA"/>
        </w:rPr>
        <w:t>counterproductive to expect the members of one council or board to develop recommendation</w:t>
      </w:r>
      <w:r w:rsidR="00BA67BB">
        <w:rPr>
          <w:lang w:val="en-CA"/>
        </w:rPr>
        <w:t>s</w:t>
      </w:r>
      <w:r w:rsidRPr="002A198E">
        <w:rPr>
          <w:lang w:val="en-CA"/>
        </w:rPr>
        <w:t xml:space="preserve"> for </w:t>
      </w:r>
      <w:r w:rsidR="00BA67BB">
        <w:rPr>
          <w:lang w:val="en-CA"/>
        </w:rPr>
        <w:t xml:space="preserve">each </w:t>
      </w:r>
      <w:r w:rsidRPr="002A198E">
        <w:rPr>
          <w:lang w:val="en-CA"/>
        </w:rPr>
        <w:t>new accessi</w:t>
      </w:r>
      <w:r w:rsidR="00E453CB">
        <w:rPr>
          <w:lang w:val="en-CA"/>
        </w:rPr>
        <w:t>bility standard. This will logj</w:t>
      </w:r>
      <w:r w:rsidRPr="002A198E">
        <w:rPr>
          <w:lang w:val="en-CA"/>
        </w:rPr>
        <w:t>am the process</w:t>
      </w:r>
      <w:r w:rsidR="00D1409D">
        <w:rPr>
          <w:lang w:val="en-CA"/>
        </w:rPr>
        <w:t>.</w:t>
      </w:r>
      <w:r w:rsidRPr="002A198E">
        <w:rPr>
          <w:lang w:val="en-CA"/>
        </w:rPr>
        <w:t xml:space="preserve"> </w:t>
      </w:r>
      <w:r w:rsidR="00D1409D">
        <w:rPr>
          <w:lang w:val="en-CA"/>
        </w:rPr>
        <w:t xml:space="preserve">Its members </w:t>
      </w:r>
      <w:r w:rsidRPr="002A198E">
        <w:rPr>
          <w:lang w:val="en-CA"/>
        </w:rPr>
        <w:t>may only be able to work on one accessibility standard at a time.</w:t>
      </w:r>
    </w:p>
    <w:p w14:paraId="2C89ED36" w14:textId="77777777" w:rsidR="000C3E91" w:rsidRPr="002A198E" w:rsidRDefault="000C3E91" w:rsidP="002A198E">
      <w:pPr>
        <w:widowControl w:val="0"/>
        <w:rPr>
          <w:lang w:val="en-CA"/>
        </w:rPr>
      </w:pPr>
    </w:p>
    <w:p w14:paraId="425DF8C6" w14:textId="77777777" w:rsidR="000C3E91" w:rsidRPr="002A198E" w:rsidRDefault="00FC0DCD" w:rsidP="002A198E">
      <w:pPr>
        <w:widowControl w:val="0"/>
        <w:rPr>
          <w:lang w:val="en-CA"/>
        </w:rPr>
      </w:pPr>
      <w:r>
        <w:rPr>
          <w:lang w:val="en-CA"/>
        </w:rPr>
        <w:t>Instead, o</w:t>
      </w:r>
      <w:r w:rsidR="00D1409D">
        <w:rPr>
          <w:lang w:val="en-CA"/>
        </w:rPr>
        <w:t xml:space="preserve">perating several CDA </w:t>
      </w:r>
      <w:r w:rsidR="000C3E91" w:rsidRPr="002A198E">
        <w:rPr>
          <w:lang w:val="en-CA"/>
        </w:rPr>
        <w:t xml:space="preserve">Standards Development Committees under the Canada Accessibility Commissioner would </w:t>
      </w:r>
      <w:r w:rsidR="00D9699D">
        <w:rPr>
          <w:lang w:val="en-CA"/>
        </w:rPr>
        <w:t xml:space="preserve">allow </w:t>
      </w:r>
      <w:r w:rsidR="000C3E91" w:rsidRPr="002A198E">
        <w:rPr>
          <w:lang w:val="en-CA"/>
        </w:rPr>
        <w:t xml:space="preserve">several accessibility standards </w:t>
      </w:r>
      <w:r w:rsidR="00D9699D">
        <w:rPr>
          <w:lang w:val="en-CA"/>
        </w:rPr>
        <w:t>to be simultaneously develop</w:t>
      </w:r>
      <w:r>
        <w:rPr>
          <w:lang w:val="en-CA"/>
        </w:rPr>
        <w:t>ed</w:t>
      </w:r>
      <w:r w:rsidR="00D9699D">
        <w:rPr>
          <w:lang w:val="en-CA"/>
        </w:rPr>
        <w:t xml:space="preserve">. Their work can </w:t>
      </w:r>
      <w:r w:rsidR="000C3E91" w:rsidRPr="002A198E">
        <w:rPr>
          <w:lang w:val="en-CA"/>
        </w:rPr>
        <w:t>be coordinated and harmonized</w:t>
      </w:r>
      <w:r w:rsidR="005C4268">
        <w:rPr>
          <w:lang w:val="en-CA"/>
        </w:rPr>
        <w:t xml:space="preserve">, while ensuring </w:t>
      </w:r>
      <w:r w:rsidR="009A617E">
        <w:rPr>
          <w:lang w:val="en-CA"/>
        </w:rPr>
        <w:t>their independence from Government.</w:t>
      </w:r>
    </w:p>
    <w:p w14:paraId="2A1D9AB3" w14:textId="77777777" w:rsidR="004B4634" w:rsidRPr="002A198E" w:rsidRDefault="004B4634" w:rsidP="002A198E">
      <w:pPr>
        <w:widowControl w:val="0"/>
        <w:rPr>
          <w:lang w:val="en-CA"/>
        </w:rPr>
      </w:pPr>
    </w:p>
    <w:p w14:paraId="4CC4858A" w14:textId="3CDEFBC0" w:rsidR="002F5FE1" w:rsidRDefault="00CE4AC2" w:rsidP="002F5FE1">
      <w:pPr>
        <w:widowControl w:val="0"/>
        <w:rPr>
          <w:lang w:val="en-CA"/>
        </w:rPr>
      </w:pPr>
      <w:r>
        <w:rPr>
          <w:lang w:val="en-CA"/>
        </w:rPr>
        <w:lastRenderedPageBreak/>
        <w:t xml:space="preserve">A Standards Development Committee should work in public. </w:t>
      </w:r>
      <w:r w:rsidR="004B4634" w:rsidRPr="002A198E">
        <w:rPr>
          <w:lang w:val="en-CA"/>
        </w:rPr>
        <w:t xml:space="preserve">The public should </w:t>
      </w:r>
      <w:r w:rsidR="004A16F8">
        <w:rPr>
          <w:lang w:val="en-CA"/>
        </w:rPr>
        <w:t>see what is debated</w:t>
      </w:r>
      <w:r w:rsidR="00924847">
        <w:rPr>
          <w:lang w:val="en-CA"/>
        </w:rPr>
        <w:t xml:space="preserve"> and</w:t>
      </w:r>
      <w:r w:rsidR="004A16F8">
        <w:rPr>
          <w:lang w:val="en-CA"/>
        </w:rPr>
        <w:t xml:space="preserve"> </w:t>
      </w:r>
      <w:r w:rsidR="00E453CB">
        <w:rPr>
          <w:lang w:val="en-CA"/>
        </w:rPr>
        <w:t xml:space="preserve">what </w:t>
      </w:r>
      <w:r w:rsidR="004B4634" w:rsidRPr="002A198E">
        <w:rPr>
          <w:lang w:val="en-CA"/>
        </w:rPr>
        <w:t>objections</w:t>
      </w:r>
      <w:r w:rsidR="00E453CB">
        <w:rPr>
          <w:lang w:val="en-CA"/>
        </w:rPr>
        <w:t xml:space="preserve"> are</w:t>
      </w:r>
      <w:r w:rsidR="004B4634" w:rsidRPr="002A198E">
        <w:rPr>
          <w:lang w:val="en-CA"/>
        </w:rPr>
        <w:t xml:space="preserve"> raised</w:t>
      </w:r>
      <w:r w:rsidR="004A16F8">
        <w:rPr>
          <w:lang w:val="en-CA"/>
        </w:rPr>
        <w:t>.</w:t>
      </w:r>
      <w:r w:rsidR="002F5FE1">
        <w:rPr>
          <w:lang w:val="en-CA"/>
        </w:rPr>
        <w:t xml:space="preserve"> Instead, the AODA </w:t>
      </w:r>
      <w:r w:rsidR="00D33FD8">
        <w:rPr>
          <w:lang w:val="en-CA"/>
        </w:rPr>
        <w:t xml:space="preserve">inadequately </w:t>
      </w:r>
      <w:r w:rsidR="002F5FE1">
        <w:rPr>
          <w:lang w:val="en-CA"/>
        </w:rPr>
        <w:t>only requires a Standards Development Committee's minutes to be made public.</w:t>
      </w:r>
      <w:r w:rsidR="002F5FE1">
        <w:rPr>
          <w:rStyle w:val="EndnoteReference"/>
          <w:lang w:val="en-CA"/>
        </w:rPr>
        <w:endnoteReference w:id="52"/>
      </w:r>
      <w:r w:rsidR="002F5FE1">
        <w:rPr>
          <w:lang w:val="en-CA"/>
        </w:rPr>
        <w:t xml:space="preserve"> This was insufficient. Moreover, at least some posted minutes </w:t>
      </w:r>
      <w:r w:rsidR="00AF5216">
        <w:rPr>
          <w:lang w:val="en-CA"/>
        </w:rPr>
        <w:t>a</w:t>
      </w:r>
      <w:r w:rsidR="002F5FE1">
        <w:rPr>
          <w:lang w:val="en-CA"/>
        </w:rPr>
        <w:t>re hard for the public to follow.</w:t>
      </w:r>
    </w:p>
    <w:p w14:paraId="2A43E809" w14:textId="77777777" w:rsidR="002F5FE1" w:rsidRDefault="002F5FE1" w:rsidP="002F5FE1">
      <w:pPr>
        <w:widowControl w:val="0"/>
        <w:rPr>
          <w:lang w:val="en-CA"/>
        </w:rPr>
      </w:pPr>
    </w:p>
    <w:p w14:paraId="0A296023" w14:textId="3B873038" w:rsidR="004B4634" w:rsidRPr="002A198E" w:rsidRDefault="00B42E5E" w:rsidP="002A198E">
      <w:pPr>
        <w:widowControl w:val="0"/>
        <w:rPr>
          <w:lang w:val="en-CA"/>
        </w:rPr>
      </w:pPr>
      <w:r>
        <w:rPr>
          <w:lang w:val="en-CA"/>
        </w:rPr>
        <w:t xml:space="preserve">The Disability community must be assured </w:t>
      </w:r>
      <w:r w:rsidR="004B4634" w:rsidRPr="002A198E">
        <w:rPr>
          <w:lang w:val="en-CA"/>
        </w:rPr>
        <w:t xml:space="preserve">an equal seat at the table. </w:t>
      </w:r>
      <w:r>
        <w:rPr>
          <w:lang w:val="en-CA"/>
        </w:rPr>
        <w:t xml:space="preserve">Obligated organizations should be assured </w:t>
      </w:r>
      <w:r w:rsidR="004B4634" w:rsidRPr="002A198E">
        <w:rPr>
          <w:lang w:val="en-CA"/>
        </w:rPr>
        <w:t xml:space="preserve">full opportunities to </w:t>
      </w:r>
      <w:r>
        <w:rPr>
          <w:lang w:val="en-CA"/>
        </w:rPr>
        <w:t>raise any concerns. T</w:t>
      </w:r>
      <w:r w:rsidR="004B4634" w:rsidRPr="002A198E">
        <w:rPr>
          <w:lang w:val="en-CA"/>
        </w:rPr>
        <w:t xml:space="preserve">he public </w:t>
      </w:r>
      <w:r>
        <w:rPr>
          <w:lang w:val="en-CA"/>
        </w:rPr>
        <w:t xml:space="preserve">should have </w:t>
      </w:r>
      <w:r w:rsidR="004B4634" w:rsidRPr="002A198E">
        <w:rPr>
          <w:lang w:val="en-CA"/>
        </w:rPr>
        <w:t xml:space="preserve">a fair opportunity to give input. The standards development process should not let the Federal Government impose arbitrary </w:t>
      </w:r>
      <w:r w:rsidR="007069D0">
        <w:rPr>
          <w:lang w:val="en-CA"/>
        </w:rPr>
        <w:t xml:space="preserve">prior </w:t>
      </w:r>
      <w:r w:rsidR="004B4634" w:rsidRPr="002A198E">
        <w:rPr>
          <w:lang w:val="en-CA"/>
        </w:rPr>
        <w:t xml:space="preserve">constraints on </w:t>
      </w:r>
      <w:r>
        <w:rPr>
          <w:lang w:val="en-CA"/>
        </w:rPr>
        <w:t xml:space="preserve">which </w:t>
      </w:r>
      <w:r w:rsidR="004B4634" w:rsidRPr="002A198E">
        <w:rPr>
          <w:lang w:val="en-CA"/>
        </w:rPr>
        <w:t>barriers and solutions a Standards Development Committee considers.</w:t>
      </w:r>
    </w:p>
    <w:p w14:paraId="7059E166" w14:textId="77777777" w:rsidR="004B4634" w:rsidRPr="002A198E" w:rsidRDefault="004B4634" w:rsidP="002A198E">
      <w:pPr>
        <w:widowControl w:val="0"/>
        <w:rPr>
          <w:lang w:val="en-CA"/>
        </w:rPr>
      </w:pPr>
    </w:p>
    <w:p w14:paraId="4328F938" w14:textId="5BF9EC83" w:rsidR="004B4634" w:rsidRPr="002A198E" w:rsidRDefault="004B4634" w:rsidP="002A198E">
      <w:pPr>
        <w:widowControl w:val="0"/>
        <w:rPr>
          <w:lang w:val="en-CA"/>
        </w:rPr>
      </w:pPr>
      <w:r w:rsidRPr="002A198E">
        <w:rPr>
          <w:lang w:val="en-CA"/>
        </w:rPr>
        <w:t xml:space="preserve">The Federal Government should ensure that a Standards Development Committee </w:t>
      </w:r>
      <w:r w:rsidR="00E7287C">
        <w:rPr>
          <w:lang w:val="en-CA"/>
        </w:rPr>
        <w:t xml:space="preserve">chair </w:t>
      </w:r>
      <w:r w:rsidRPr="002A198E">
        <w:rPr>
          <w:lang w:val="en-CA"/>
        </w:rPr>
        <w:t xml:space="preserve">is a </w:t>
      </w:r>
      <w:r w:rsidR="005C4268">
        <w:rPr>
          <w:lang w:val="en-CA"/>
        </w:rPr>
        <w:t xml:space="preserve">fair </w:t>
      </w:r>
      <w:r w:rsidRPr="002A198E">
        <w:rPr>
          <w:lang w:val="en-CA"/>
        </w:rPr>
        <w:t xml:space="preserve">neutral party. The </w:t>
      </w:r>
      <w:r w:rsidR="007069D0">
        <w:rPr>
          <w:lang w:val="en-CA"/>
        </w:rPr>
        <w:t xml:space="preserve">chair </w:t>
      </w:r>
      <w:r w:rsidRPr="002A198E">
        <w:rPr>
          <w:lang w:val="en-CA"/>
        </w:rPr>
        <w:t>should be</w:t>
      </w:r>
      <w:r w:rsidR="002A198E" w:rsidRPr="002A198E">
        <w:rPr>
          <w:lang w:val="en-CA"/>
        </w:rPr>
        <w:t xml:space="preserve"> </w:t>
      </w:r>
      <w:r w:rsidRPr="002A198E">
        <w:rPr>
          <w:lang w:val="en-CA"/>
        </w:rPr>
        <w:t xml:space="preserve">respected and skilled at mediating and </w:t>
      </w:r>
      <w:r w:rsidR="005B1FD4" w:rsidRPr="002A198E">
        <w:rPr>
          <w:lang w:val="en-CA"/>
        </w:rPr>
        <w:t>consensus</w:t>
      </w:r>
      <w:r w:rsidRPr="002A198E">
        <w:rPr>
          <w:lang w:val="en-CA"/>
        </w:rPr>
        <w:t xml:space="preserve"> building. </w:t>
      </w:r>
    </w:p>
    <w:p w14:paraId="15EDBA3B" w14:textId="77777777" w:rsidR="004B4634" w:rsidRPr="002A198E" w:rsidRDefault="004B4634" w:rsidP="002A198E">
      <w:pPr>
        <w:widowControl w:val="0"/>
        <w:rPr>
          <w:lang w:val="en-CA"/>
        </w:rPr>
      </w:pPr>
    </w:p>
    <w:p w14:paraId="5C0E1797" w14:textId="16237AE0" w:rsidR="004B4634" w:rsidRPr="002A198E" w:rsidRDefault="00E7287C" w:rsidP="002A198E">
      <w:pPr>
        <w:widowControl w:val="0"/>
        <w:rPr>
          <w:lang w:val="en-CA"/>
        </w:rPr>
      </w:pPr>
      <w:r>
        <w:rPr>
          <w:lang w:val="en-CA"/>
        </w:rPr>
        <w:t>D</w:t>
      </w:r>
      <w:r w:rsidR="004B4634" w:rsidRPr="002A198E">
        <w:rPr>
          <w:lang w:val="en-CA"/>
        </w:rPr>
        <w:t xml:space="preserve">isability sector representatives on a Standards Development Committee </w:t>
      </w:r>
      <w:r w:rsidR="00AF046A">
        <w:rPr>
          <w:lang w:val="en-CA"/>
        </w:rPr>
        <w:t xml:space="preserve">should be assured </w:t>
      </w:r>
      <w:r w:rsidR="004B4634" w:rsidRPr="002A198E">
        <w:rPr>
          <w:lang w:val="en-CA"/>
        </w:rPr>
        <w:t xml:space="preserve">research support so that they can </w:t>
      </w:r>
      <w:r w:rsidR="00AF046A">
        <w:rPr>
          <w:lang w:val="en-CA"/>
        </w:rPr>
        <w:t xml:space="preserve">effectively </w:t>
      </w:r>
      <w:r w:rsidR="004B4634" w:rsidRPr="002A198E">
        <w:rPr>
          <w:lang w:val="en-CA"/>
        </w:rPr>
        <w:t>exchange ideas with obligated organizations</w:t>
      </w:r>
      <w:r w:rsidR="00AF046A">
        <w:rPr>
          <w:lang w:val="en-CA"/>
        </w:rPr>
        <w:t xml:space="preserve">. </w:t>
      </w:r>
      <w:r w:rsidR="004B4634" w:rsidRPr="002A198E">
        <w:rPr>
          <w:lang w:val="en-CA"/>
        </w:rPr>
        <w:t>In Ontario, obligated organizations</w:t>
      </w:r>
      <w:r w:rsidR="006D35E1">
        <w:rPr>
          <w:lang w:val="en-CA"/>
        </w:rPr>
        <w:t xml:space="preserve">' representatives on Standards Development Committees </w:t>
      </w:r>
      <w:r w:rsidR="004B4634" w:rsidRPr="002A198E">
        <w:rPr>
          <w:lang w:val="en-CA"/>
        </w:rPr>
        <w:t xml:space="preserve">were </w:t>
      </w:r>
      <w:r w:rsidR="006D35E1">
        <w:rPr>
          <w:lang w:val="en-CA"/>
        </w:rPr>
        <w:t xml:space="preserve">better </w:t>
      </w:r>
      <w:r w:rsidR="00175F3A">
        <w:rPr>
          <w:lang w:val="en-CA"/>
        </w:rPr>
        <w:t xml:space="preserve">equipped </w:t>
      </w:r>
      <w:r w:rsidR="004B4634" w:rsidRPr="002A198E">
        <w:rPr>
          <w:lang w:val="en-CA"/>
        </w:rPr>
        <w:t xml:space="preserve">to advance their interests. </w:t>
      </w:r>
      <w:r w:rsidR="007F4633">
        <w:rPr>
          <w:lang w:val="en-CA"/>
        </w:rPr>
        <w:t>D</w:t>
      </w:r>
      <w:r w:rsidR="004B4634" w:rsidRPr="002A198E">
        <w:rPr>
          <w:lang w:val="en-CA"/>
        </w:rPr>
        <w:t xml:space="preserve">isability sector representatives, volunteers or employees of voluntary charitable organizations, </w:t>
      </w:r>
      <w:r w:rsidR="007F4633">
        <w:rPr>
          <w:lang w:val="en-CA"/>
        </w:rPr>
        <w:t xml:space="preserve">lacked those resources. </w:t>
      </w:r>
      <w:r w:rsidR="00790117">
        <w:rPr>
          <w:lang w:val="en-CA"/>
        </w:rPr>
        <w:t>Therefore, i</w:t>
      </w:r>
      <w:r w:rsidR="007F4633">
        <w:rPr>
          <w:lang w:val="en-CA"/>
        </w:rPr>
        <w:t>n 20</w:t>
      </w:r>
      <w:r w:rsidR="00790117">
        <w:rPr>
          <w:lang w:val="en-CA"/>
        </w:rPr>
        <w:t>0</w:t>
      </w:r>
      <w:r w:rsidR="007F4633">
        <w:rPr>
          <w:lang w:val="en-CA"/>
        </w:rPr>
        <w:t xml:space="preserve">7, </w:t>
      </w:r>
      <w:r w:rsidR="004B4634" w:rsidRPr="002A198E">
        <w:rPr>
          <w:lang w:val="en-CA"/>
        </w:rPr>
        <w:t xml:space="preserve">the Ontario government commendably committed to </w:t>
      </w:r>
      <w:r w:rsidR="00790117">
        <w:rPr>
          <w:lang w:val="en-CA"/>
        </w:rPr>
        <w:t xml:space="preserve">give </w:t>
      </w:r>
      <w:r w:rsidR="004B4634" w:rsidRPr="002A198E">
        <w:rPr>
          <w:lang w:val="en-CA"/>
        </w:rPr>
        <w:t>staff support to disability sector representatives on AODA standard development committees.</w:t>
      </w:r>
      <w:r w:rsidR="005C4268">
        <w:rPr>
          <w:rStyle w:val="EndnoteReference"/>
          <w:lang w:val="en-CA"/>
        </w:rPr>
        <w:endnoteReference w:id="53"/>
      </w:r>
      <w:r w:rsidR="005C4268">
        <w:rPr>
          <w:lang w:val="en-CA"/>
        </w:rPr>
        <w:t xml:space="preserve"> </w:t>
      </w:r>
    </w:p>
    <w:p w14:paraId="23ABD180" w14:textId="77777777" w:rsidR="004B4634" w:rsidRPr="002A198E" w:rsidRDefault="004B4634" w:rsidP="002A198E">
      <w:pPr>
        <w:widowControl w:val="0"/>
        <w:rPr>
          <w:lang w:val="en-CA"/>
        </w:rPr>
      </w:pPr>
    </w:p>
    <w:p w14:paraId="1190E695" w14:textId="6EEF9956" w:rsidR="004B4634" w:rsidRPr="002A198E" w:rsidRDefault="004B4634" w:rsidP="002A198E">
      <w:pPr>
        <w:widowControl w:val="0"/>
        <w:rPr>
          <w:lang w:val="en-CA"/>
        </w:rPr>
      </w:pPr>
      <w:r w:rsidRPr="002A198E">
        <w:rPr>
          <w:lang w:val="en-CA"/>
        </w:rPr>
        <w:t xml:space="preserve">A </w:t>
      </w:r>
      <w:r w:rsidR="00BA4172">
        <w:rPr>
          <w:lang w:val="en-CA"/>
        </w:rPr>
        <w:t xml:space="preserve">CDA </w:t>
      </w:r>
      <w:r w:rsidRPr="002A198E">
        <w:rPr>
          <w:lang w:val="en-CA"/>
        </w:rPr>
        <w:t xml:space="preserve">Standards Development Committee should </w:t>
      </w:r>
      <w:r w:rsidR="00D8645D">
        <w:rPr>
          <w:lang w:val="en-CA"/>
        </w:rPr>
        <w:t xml:space="preserve">do its </w:t>
      </w:r>
      <w:r w:rsidRPr="002A198E">
        <w:rPr>
          <w:lang w:val="en-CA"/>
        </w:rPr>
        <w:t xml:space="preserve">work in three phases. First, it should identify recurring barriers in the </w:t>
      </w:r>
      <w:r w:rsidR="00BA4172">
        <w:rPr>
          <w:lang w:val="en-CA"/>
        </w:rPr>
        <w:t xml:space="preserve">area </w:t>
      </w:r>
      <w:r w:rsidRPr="002A198E">
        <w:rPr>
          <w:lang w:val="en-CA"/>
        </w:rPr>
        <w:t>it explor</w:t>
      </w:r>
      <w:r w:rsidR="00955F2C">
        <w:rPr>
          <w:lang w:val="en-CA"/>
        </w:rPr>
        <w:t>es</w:t>
      </w:r>
      <w:r w:rsidR="00BA4172">
        <w:rPr>
          <w:lang w:val="en-CA"/>
        </w:rPr>
        <w:t xml:space="preserve">, e.g. </w:t>
      </w:r>
      <w:r w:rsidRPr="002A198E">
        <w:rPr>
          <w:lang w:val="en-CA"/>
        </w:rPr>
        <w:t>by broadly canvassing people with disabilities</w:t>
      </w:r>
      <w:r w:rsidR="00E453CB">
        <w:rPr>
          <w:lang w:val="en-CA"/>
        </w:rPr>
        <w:t xml:space="preserve"> and</w:t>
      </w:r>
      <w:r w:rsidR="00955F2C">
        <w:rPr>
          <w:lang w:val="en-CA"/>
        </w:rPr>
        <w:t xml:space="preserve"> obligated organizations</w:t>
      </w:r>
      <w:r w:rsidRPr="002A198E">
        <w:rPr>
          <w:lang w:val="en-CA"/>
        </w:rPr>
        <w:t>.</w:t>
      </w:r>
    </w:p>
    <w:p w14:paraId="7EEA95C0" w14:textId="77777777" w:rsidR="004B4634" w:rsidRPr="002A198E" w:rsidRDefault="004B4634" w:rsidP="002A198E">
      <w:pPr>
        <w:widowControl w:val="0"/>
        <w:rPr>
          <w:lang w:val="en-CA"/>
        </w:rPr>
      </w:pPr>
    </w:p>
    <w:p w14:paraId="087FECBA" w14:textId="7082E5D4" w:rsidR="004B4634" w:rsidRPr="002A198E" w:rsidRDefault="004B4634" w:rsidP="002A198E">
      <w:pPr>
        <w:widowControl w:val="0"/>
        <w:rPr>
          <w:lang w:val="en-CA"/>
        </w:rPr>
      </w:pPr>
      <w:r w:rsidRPr="002A198E">
        <w:rPr>
          <w:lang w:val="en-CA"/>
        </w:rPr>
        <w:t xml:space="preserve">Second, </w:t>
      </w:r>
      <w:r w:rsidR="00BA4172">
        <w:rPr>
          <w:lang w:val="en-CA"/>
        </w:rPr>
        <w:t xml:space="preserve">it </w:t>
      </w:r>
      <w:r w:rsidRPr="002A198E">
        <w:rPr>
          <w:lang w:val="en-CA"/>
        </w:rPr>
        <w:t xml:space="preserve">should list </w:t>
      </w:r>
      <w:r w:rsidR="00CE50FC">
        <w:rPr>
          <w:lang w:val="en-CA"/>
        </w:rPr>
        <w:t xml:space="preserve">measures to require </w:t>
      </w:r>
      <w:r w:rsidR="00F77825">
        <w:rPr>
          <w:lang w:val="en-CA"/>
        </w:rPr>
        <w:t xml:space="preserve">for addressing </w:t>
      </w:r>
      <w:r w:rsidRPr="002A198E">
        <w:rPr>
          <w:lang w:val="en-CA"/>
        </w:rPr>
        <w:t xml:space="preserve">these barriers. </w:t>
      </w:r>
      <w:r w:rsidR="00955F2C">
        <w:rPr>
          <w:lang w:val="en-CA"/>
        </w:rPr>
        <w:t>T</w:t>
      </w:r>
      <w:r w:rsidRPr="002A198E">
        <w:rPr>
          <w:lang w:val="en-CA"/>
        </w:rPr>
        <w:t xml:space="preserve">he Standards Development Committee can </w:t>
      </w:r>
      <w:r w:rsidR="00F77825">
        <w:rPr>
          <w:lang w:val="en-CA"/>
        </w:rPr>
        <w:t xml:space="preserve">research </w:t>
      </w:r>
      <w:r w:rsidRPr="002A198E">
        <w:rPr>
          <w:lang w:val="en-CA"/>
        </w:rPr>
        <w:t xml:space="preserve">practices by </w:t>
      </w:r>
      <w:r w:rsidR="00F77825">
        <w:rPr>
          <w:lang w:val="en-CA"/>
        </w:rPr>
        <w:t xml:space="preserve">Canadian </w:t>
      </w:r>
      <w:r w:rsidRPr="002A198E">
        <w:rPr>
          <w:lang w:val="en-CA"/>
        </w:rPr>
        <w:t>obligated organizations</w:t>
      </w:r>
      <w:r w:rsidR="00F77825">
        <w:rPr>
          <w:lang w:val="en-CA"/>
        </w:rPr>
        <w:t xml:space="preserve"> and </w:t>
      </w:r>
      <w:r w:rsidR="003A0186">
        <w:rPr>
          <w:lang w:val="en-CA"/>
        </w:rPr>
        <w:t xml:space="preserve">others </w:t>
      </w:r>
      <w:r w:rsidR="00F77825">
        <w:rPr>
          <w:lang w:val="en-CA"/>
        </w:rPr>
        <w:t xml:space="preserve">legislated, practiced or recommended anywhere around the world. </w:t>
      </w:r>
      <w:r w:rsidRPr="002A198E">
        <w:rPr>
          <w:lang w:val="en-CA"/>
        </w:rPr>
        <w:t>Charter and human rights</w:t>
      </w:r>
      <w:r w:rsidR="002A198E" w:rsidRPr="002A198E">
        <w:rPr>
          <w:lang w:val="en-CA"/>
        </w:rPr>
        <w:t xml:space="preserve"> </w:t>
      </w:r>
      <w:r w:rsidRPr="002A198E">
        <w:rPr>
          <w:lang w:val="en-CA"/>
        </w:rPr>
        <w:t xml:space="preserve">case law </w:t>
      </w:r>
      <w:r w:rsidR="00F77825">
        <w:rPr>
          <w:lang w:val="en-CA"/>
        </w:rPr>
        <w:t xml:space="preserve">should be canvassed. </w:t>
      </w:r>
    </w:p>
    <w:p w14:paraId="2EA9465B" w14:textId="77777777" w:rsidR="004B4634" w:rsidRPr="002A198E" w:rsidRDefault="004B4634" w:rsidP="002A198E">
      <w:pPr>
        <w:widowControl w:val="0"/>
        <w:rPr>
          <w:lang w:val="en-CA"/>
        </w:rPr>
      </w:pPr>
    </w:p>
    <w:p w14:paraId="2EFCE009" w14:textId="77777777" w:rsidR="004B4634" w:rsidRPr="002A198E" w:rsidRDefault="004B4634" w:rsidP="002A198E">
      <w:pPr>
        <w:widowControl w:val="0"/>
        <w:rPr>
          <w:lang w:val="en-CA"/>
        </w:rPr>
      </w:pPr>
      <w:r w:rsidRPr="002A198E">
        <w:rPr>
          <w:lang w:val="en-CA"/>
        </w:rPr>
        <w:t xml:space="preserve">Third, the Standards Development Committee should </w:t>
      </w:r>
      <w:r w:rsidR="002D4CC9">
        <w:rPr>
          <w:lang w:val="en-CA"/>
        </w:rPr>
        <w:t xml:space="preserve">then </w:t>
      </w:r>
      <w:r w:rsidRPr="002A198E">
        <w:rPr>
          <w:lang w:val="en-CA"/>
        </w:rPr>
        <w:t>develop proposals on timelines to be required for these actions, geared to obligated organizations’ size and capacity.</w:t>
      </w:r>
    </w:p>
    <w:p w14:paraId="362B7DFB" w14:textId="77777777" w:rsidR="004B4634" w:rsidRPr="002A198E" w:rsidRDefault="004B4634" w:rsidP="002A198E">
      <w:pPr>
        <w:widowControl w:val="0"/>
        <w:rPr>
          <w:lang w:val="en-CA"/>
        </w:rPr>
      </w:pPr>
    </w:p>
    <w:p w14:paraId="3D8CCF50" w14:textId="77777777" w:rsidR="00A15E7F" w:rsidRPr="002A198E" w:rsidRDefault="00AB19DF" w:rsidP="002A198E">
      <w:pPr>
        <w:widowControl w:val="0"/>
        <w:rPr>
          <w:lang w:val="en-CA"/>
        </w:rPr>
      </w:pPr>
      <w:r>
        <w:rPr>
          <w:lang w:val="en-CA"/>
        </w:rPr>
        <w:t>A</w:t>
      </w:r>
      <w:r w:rsidR="00A15E7F" w:rsidRPr="002A198E">
        <w:rPr>
          <w:lang w:val="en-CA"/>
        </w:rPr>
        <w:t xml:space="preserve"> Standards Development Committee </w:t>
      </w:r>
      <w:r>
        <w:rPr>
          <w:lang w:val="en-CA"/>
        </w:rPr>
        <w:t xml:space="preserve">should vote on recommendations </w:t>
      </w:r>
      <w:r w:rsidR="00A15E7F" w:rsidRPr="002A198E">
        <w:rPr>
          <w:lang w:val="en-CA"/>
        </w:rPr>
        <w:t xml:space="preserve">clause by clause. </w:t>
      </w:r>
      <w:r>
        <w:rPr>
          <w:lang w:val="en-CA"/>
        </w:rPr>
        <w:t xml:space="preserve">Ontario experience shows that </w:t>
      </w:r>
      <w:r w:rsidR="00F1244E">
        <w:rPr>
          <w:lang w:val="en-CA"/>
        </w:rPr>
        <w:t>one</w:t>
      </w:r>
      <w:r w:rsidR="00A15E7F" w:rsidRPr="002A198E">
        <w:rPr>
          <w:lang w:val="en-CA"/>
        </w:rPr>
        <w:t xml:space="preserve"> </w:t>
      </w:r>
      <w:r>
        <w:rPr>
          <w:lang w:val="en-CA"/>
        </w:rPr>
        <w:t xml:space="preserve">unfair </w:t>
      </w:r>
      <w:r w:rsidR="00A15E7F" w:rsidRPr="002A198E">
        <w:rPr>
          <w:lang w:val="en-CA"/>
        </w:rPr>
        <w:t xml:space="preserve">“all or nothing” </w:t>
      </w:r>
      <w:r w:rsidR="005B1FD4" w:rsidRPr="002A198E">
        <w:rPr>
          <w:lang w:val="en-CA"/>
        </w:rPr>
        <w:t>vote</w:t>
      </w:r>
      <w:r>
        <w:rPr>
          <w:lang w:val="en-CA"/>
        </w:rPr>
        <w:t xml:space="preserve"> </w:t>
      </w:r>
      <w:r w:rsidR="00A05503">
        <w:rPr>
          <w:lang w:val="en-CA"/>
        </w:rPr>
        <w:t xml:space="preserve">forces </w:t>
      </w:r>
      <w:r w:rsidR="00A15E7F" w:rsidRPr="002A198E">
        <w:rPr>
          <w:lang w:val="en-CA"/>
        </w:rPr>
        <w:t xml:space="preserve">the substantial weakening of </w:t>
      </w:r>
      <w:r w:rsidR="00A05503">
        <w:rPr>
          <w:lang w:val="en-CA"/>
        </w:rPr>
        <w:t>the recommendations</w:t>
      </w:r>
      <w:r>
        <w:rPr>
          <w:lang w:val="en-CA"/>
        </w:rPr>
        <w:t xml:space="preserve">. </w:t>
      </w:r>
    </w:p>
    <w:p w14:paraId="5DFA14B1" w14:textId="77777777" w:rsidR="00A15E7F" w:rsidRPr="002A198E" w:rsidRDefault="00A15E7F" w:rsidP="002A198E">
      <w:pPr>
        <w:widowControl w:val="0"/>
        <w:rPr>
          <w:lang w:val="en-CA"/>
        </w:rPr>
      </w:pPr>
    </w:p>
    <w:p w14:paraId="5DF8A1F7" w14:textId="51DF4D3D" w:rsidR="00A15E7F" w:rsidRPr="002A198E" w:rsidRDefault="0043557F" w:rsidP="002A198E">
      <w:pPr>
        <w:widowControl w:val="0"/>
        <w:rPr>
          <w:lang w:val="en-CA"/>
        </w:rPr>
      </w:pPr>
      <w:r>
        <w:rPr>
          <w:lang w:val="en-CA"/>
        </w:rPr>
        <w:t xml:space="preserve">A </w:t>
      </w:r>
      <w:r w:rsidR="00A15E7F" w:rsidRPr="002A198E">
        <w:rPr>
          <w:lang w:val="en-CA"/>
        </w:rPr>
        <w:t>Standards Development Committee</w:t>
      </w:r>
      <w:r>
        <w:rPr>
          <w:lang w:val="en-CA"/>
        </w:rPr>
        <w:t xml:space="preserve">'s members </w:t>
      </w:r>
      <w:r w:rsidR="00E453CB">
        <w:rPr>
          <w:lang w:val="en-CA"/>
        </w:rPr>
        <w:t>s</w:t>
      </w:r>
      <w:r w:rsidR="00A15E7F" w:rsidRPr="002A198E">
        <w:rPr>
          <w:lang w:val="en-CA"/>
        </w:rPr>
        <w:t>hould be able to dissent</w:t>
      </w:r>
      <w:r w:rsidR="00CE50FC">
        <w:rPr>
          <w:lang w:val="en-CA"/>
        </w:rPr>
        <w:t>,</w:t>
      </w:r>
      <w:r>
        <w:rPr>
          <w:lang w:val="en-CA"/>
        </w:rPr>
        <w:t xml:space="preserve"> </w:t>
      </w:r>
      <w:r w:rsidR="00A17F4A">
        <w:rPr>
          <w:lang w:val="en-CA"/>
        </w:rPr>
        <w:t xml:space="preserve">in </w:t>
      </w:r>
      <w:r>
        <w:rPr>
          <w:lang w:val="en-CA"/>
        </w:rPr>
        <w:t xml:space="preserve">a </w:t>
      </w:r>
      <w:r w:rsidR="00A15E7F" w:rsidRPr="002A198E">
        <w:rPr>
          <w:lang w:val="en-CA"/>
        </w:rPr>
        <w:t xml:space="preserve">minority report to the Federal Government. </w:t>
      </w:r>
      <w:r w:rsidR="00E453CB">
        <w:rPr>
          <w:lang w:val="en-CA"/>
        </w:rPr>
        <w:t>The F</w:t>
      </w:r>
      <w:r w:rsidR="004175D8">
        <w:rPr>
          <w:lang w:val="en-CA"/>
        </w:rPr>
        <w:t xml:space="preserve">ederal Government and public </w:t>
      </w:r>
      <w:r w:rsidR="007A13BC">
        <w:rPr>
          <w:lang w:val="en-CA"/>
        </w:rPr>
        <w:t xml:space="preserve">can </w:t>
      </w:r>
      <w:r w:rsidR="004175D8">
        <w:rPr>
          <w:lang w:val="en-CA"/>
        </w:rPr>
        <w:t>benefit fro</w:t>
      </w:r>
      <w:r w:rsidR="00495109">
        <w:rPr>
          <w:lang w:val="en-CA"/>
        </w:rPr>
        <w:t>m</w:t>
      </w:r>
      <w:r w:rsidR="004175D8">
        <w:rPr>
          <w:lang w:val="en-CA"/>
        </w:rPr>
        <w:t xml:space="preserve"> receiving diverse views</w:t>
      </w:r>
      <w:r w:rsidR="007A13BC">
        <w:rPr>
          <w:lang w:val="en-CA"/>
        </w:rPr>
        <w:t>.</w:t>
      </w:r>
      <w:r w:rsidR="004175D8">
        <w:rPr>
          <w:lang w:val="en-CA"/>
        </w:rPr>
        <w:t xml:space="preserve"> </w:t>
      </w:r>
    </w:p>
    <w:p w14:paraId="266A6E81" w14:textId="77777777" w:rsidR="00A15E7F" w:rsidRPr="002A198E" w:rsidRDefault="00A15E7F" w:rsidP="002A198E">
      <w:pPr>
        <w:widowControl w:val="0"/>
        <w:rPr>
          <w:lang w:val="en-CA"/>
        </w:rPr>
      </w:pPr>
    </w:p>
    <w:p w14:paraId="5C1E024F" w14:textId="77777777" w:rsidR="004B4634" w:rsidRPr="002A198E" w:rsidRDefault="00BE104A" w:rsidP="002A198E">
      <w:pPr>
        <w:widowControl w:val="0"/>
        <w:rPr>
          <w:lang w:val="en-CA"/>
        </w:rPr>
      </w:pPr>
      <w:r>
        <w:rPr>
          <w:lang w:val="en-CA"/>
        </w:rPr>
        <w:t xml:space="preserve">It is essential for Standards Development Committees to work </w:t>
      </w:r>
      <w:r w:rsidR="00FF7EEC">
        <w:rPr>
          <w:lang w:val="en-CA"/>
        </w:rPr>
        <w:t xml:space="preserve">independently </w:t>
      </w:r>
      <w:r>
        <w:rPr>
          <w:lang w:val="en-CA"/>
        </w:rPr>
        <w:t xml:space="preserve">of the Federal Public Service. </w:t>
      </w:r>
      <w:r w:rsidR="004B4634" w:rsidRPr="002A198E">
        <w:rPr>
          <w:lang w:val="en-CA"/>
        </w:rPr>
        <w:t xml:space="preserve">The federal public service </w:t>
      </w:r>
      <w:r w:rsidR="00106B30">
        <w:rPr>
          <w:lang w:val="en-CA"/>
        </w:rPr>
        <w:t xml:space="preserve">is </w:t>
      </w:r>
      <w:r w:rsidR="004B4634" w:rsidRPr="002A198E">
        <w:rPr>
          <w:lang w:val="en-CA"/>
        </w:rPr>
        <w:t xml:space="preserve">the </w:t>
      </w:r>
      <w:r w:rsidR="00106B30">
        <w:rPr>
          <w:lang w:val="en-CA"/>
        </w:rPr>
        <w:t xml:space="preserve">biggest </w:t>
      </w:r>
      <w:r w:rsidR="004B4634" w:rsidRPr="002A198E">
        <w:rPr>
          <w:lang w:val="en-CA"/>
        </w:rPr>
        <w:t xml:space="preserve">organization that will </w:t>
      </w:r>
      <w:r w:rsidR="00FF7EEC">
        <w:rPr>
          <w:lang w:val="en-CA"/>
        </w:rPr>
        <w:t xml:space="preserve">have to </w:t>
      </w:r>
      <w:r w:rsidR="004B4634" w:rsidRPr="002A198E">
        <w:rPr>
          <w:lang w:val="en-CA"/>
        </w:rPr>
        <w:t xml:space="preserve">comply with </w:t>
      </w:r>
      <w:r w:rsidR="00776D12">
        <w:rPr>
          <w:lang w:val="en-CA"/>
        </w:rPr>
        <w:t xml:space="preserve">CDA </w:t>
      </w:r>
      <w:r w:rsidR="004B4634" w:rsidRPr="002A198E">
        <w:rPr>
          <w:lang w:val="en-CA"/>
        </w:rPr>
        <w:t xml:space="preserve">accessibility standards. It </w:t>
      </w:r>
      <w:r w:rsidR="00E5498B">
        <w:rPr>
          <w:lang w:val="en-CA"/>
        </w:rPr>
        <w:t xml:space="preserve">has </w:t>
      </w:r>
      <w:r w:rsidR="004B4634" w:rsidRPr="002A198E">
        <w:rPr>
          <w:lang w:val="en-CA"/>
        </w:rPr>
        <w:t xml:space="preserve">a strong interest in watering </w:t>
      </w:r>
      <w:r w:rsidR="00D42B75">
        <w:rPr>
          <w:lang w:val="en-CA"/>
        </w:rPr>
        <w:t xml:space="preserve">these </w:t>
      </w:r>
      <w:r w:rsidR="004B4634" w:rsidRPr="002A198E">
        <w:rPr>
          <w:lang w:val="en-CA"/>
        </w:rPr>
        <w:t>down</w:t>
      </w:r>
      <w:r w:rsidR="00D42B75">
        <w:rPr>
          <w:lang w:val="en-CA"/>
        </w:rPr>
        <w:t xml:space="preserve">. </w:t>
      </w:r>
      <w:r w:rsidR="00CB4C58" w:rsidRPr="002A198E">
        <w:rPr>
          <w:lang w:val="en-CA"/>
        </w:rPr>
        <w:t>At</w:t>
      </w:r>
      <w:r w:rsidR="004B4634" w:rsidRPr="002A198E">
        <w:rPr>
          <w:lang w:val="en-CA"/>
        </w:rPr>
        <w:t xml:space="preserve"> times the Ontario Public Service </w:t>
      </w:r>
      <w:r w:rsidR="008E37A5">
        <w:rPr>
          <w:lang w:val="en-CA"/>
        </w:rPr>
        <w:t xml:space="preserve">acted like this. </w:t>
      </w:r>
    </w:p>
    <w:p w14:paraId="064B7A6D" w14:textId="77777777" w:rsidR="004B4634" w:rsidRPr="002A198E" w:rsidRDefault="004B4634" w:rsidP="002A198E">
      <w:pPr>
        <w:widowControl w:val="0"/>
        <w:rPr>
          <w:lang w:val="en-CA"/>
        </w:rPr>
      </w:pPr>
    </w:p>
    <w:p w14:paraId="18A46664" w14:textId="320BDF58" w:rsidR="004B4634" w:rsidRPr="002A198E" w:rsidRDefault="00E453CB" w:rsidP="002A198E">
      <w:pPr>
        <w:widowControl w:val="0"/>
        <w:rPr>
          <w:lang w:val="en-CA"/>
        </w:rPr>
      </w:pPr>
      <w:r>
        <w:rPr>
          <w:lang w:val="en-CA"/>
        </w:rPr>
        <w:t>The Federal G</w:t>
      </w:r>
      <w:r w:rsidR="004B4634" w:rsidRPr="002A198E">
        <w:rPr>
          <w:lang w:val="en-CA"/>
        </w:rPr>
        <w:t xml:space="preserve">overnment will </w:t>
      </w:r>
      <w:r w:rsidR="00CB4C58" w:rsidRPr="002A198E">
        <w:rPr>
          <w:lang w:val="en-CA"/>
        </w:rPr>
        <w:t>understandably</w:t>
      </w:r>
      <w:r w:rsidR="004B4634" w:rsidRPr="002A198E">
        <w:rPr>
          <w:lang w:val="en-CA"/>
        </w:rPr>
        <w:t xml:space="preserve"> want the Federal Public Service’s input</w:t>
      </w:r>
      <w:r w:rsidR="00B34F01">
        <w:rPr>
          <w:lang w:val="en-CA"/>
        </w:rPr>
        <w:t xml:space="preserve">. </w:t>
      </w:r>
      <w:r w:rsidR="00D42B75">
        <w:rPr>
          <w:lang w:val="en-CA"/>
        </w:rPr>
        <w:t>A</w:t>
      </w:r>
      <w:r w:rsidR="00CB4C58" w:rsidRPr="002A198E">
        <w:rPr>
          <w:lang w:val="en-CA"/>
        </w:rPr>
        <w:t>ny</w:t>
      </w:r>
      <w:r w:rsidR="004B4634" w:rsidRPr="002A198E">
        <w:rPr>
          <w:lang w:val="en-CA"/>
        </w:rPr>
        <w:t xml:space="preserve"> federal public service input, either to the Standards Development Committee during its development of recommen</w:t>
      </w:r>
      <w:r>
        <w:rPr>
          <w:lang w:val="en-CA"/>
        </w:rPr>
        <w:t>dations, or to the Federal G</w:t>
      </w:r>
      <w:r w:rsidR="004B4634" w:rsidRPr="002A198E">
        <w:rPr>
          <w:lang w:val="en-CA"/>
        </w:rPr>
        <w:t xml:space="preserve">overnment after the standards development committee </w:t>
      </w:r>
      <w:r w:rsidR="00B34F01">
        <w:rPr>
          <w:lang w:val="en-CA"/>
        </w:rPr>
        <w:t xml:space="preserve">has </w:t>
      </w:r>
      <w:r>
        <w:rPr>
          <w:lang w:val="en-CA"/>
        </w:rPr>
        <w:t>rendered it</w:t>
      </w:r>
      <w:r w:rsidR="004B4634" w:rsidRPr="002A198E">
        <w:rPr>
          <w:lang w:val="en-CA"/>
        </w:rPr>
        <w:t xml:space="preserve">s recommendations, should immediately be made public. The public has a right to know what the Federal Public Service </w:t>
      </w:r>
      <w:r w:rsidR="00B34F01">
        <w:rPr>
          <w:lang w:val="en-CA"/>
        </w:rPr>
        <w:t>says</w:t>
      </w:r>
      <w:r w:rsidR="004B4634" w:rsidRPr="002A198E">
        <w:rPr>
          <w:lang w:val="en-CA"/>
        </w:rPr>
        <w:t xml:space="preserve">. </w:t>
      </w:r>
    </w:p>
    <w:p w14:paraId="75F8C60B" w14:textId="77777777" w:rsidR="004B4634" w:rsidRPr="002A198E" w:rsidRDefault="004B4634" w:rsidP="002A198E">
      <w:pPr>
        <w:widowControl w:val="0"/>
        <w:rPr>
          <w:lang w:val="en-CA"/>
        </w:rPr>
      </w:pPr>
    </w:p>
    <w:p w14:paraId="63D28B48" w14:textId="072DC993" w:rsidR="004B4634" w:rsidRPr="002A198E" w:rsidRDefault="004B4634" w:rsidP="002A198E">
      <w:pPr>
        <w:widowControl w:val="0"/>
        <w:rPr>
          <w:lang w:val="en-CA"/>
        </w:rPr>
      </w:pPr>
      <w:r w:rsidRPr="002A198E">
        <w:rPr>
          <w:lang w:val="en-CA"/>
        </w:rPr>
        <w:t>The Standards Development Committee</w:t>
      </w:r>
      <w:r w:rsidR="00CE4FEB">
        <w:rPr>
          <w:lang w:val="en-CA"/>
        </w:rPr>
        <w:t xml:space="preserve">'s recommendations for </w:t>
      </w:r>
      <w:r w:rsidR="007740B7">
        <w:rPr>
          <w:lang w:val="en-CA"/>
        </w:rPr>
        <w:t xml:space="preserve">the content of </w:t>
      </w:r>
      <w:r w:rsidR="00CE4FEB">
        <w:rPr>
          <w:lang w:val="en-CA"/>
        </w:rPr>
        <w:t xml:space="preserve">any accessibility standard </w:t>
      </w:r>
      <w:r w:rsidRPr="002A198E">
        <w:rPr>
          <w:lang w:val="en-CA"/>
        </w:rPr>
        <w:t xml:space="preserve">should </w:t>
      </w:r>
      <w:r w:rsidR="007740B7">
        <w:rPr>
          <w:lang w:val="en-CA"/>
        </w:rPr>
        <w:t xml:space="preserve">also </w:t>
      </w:r>
      <w:r w:rsidR="00CE4FEB">
        <w:rPr>
          <w:lang w:val="en-CA"/>
        </w:rPr>
        <w:t xml:space="preserve">immediately </w:t>
      </w:r>
      <w:r w:rsidRPr="002A198E">
        <w:rPr>
          <w:lang w:val="en-CA"/>
        </w:rPr>
        <w:t>be made public</w:t>
      </w:r>
      <w:r w:rsidR="006D1B84">
        <w:rPr>
          <w:lang w:val="en-CA"/>
        </w:rPr>
        <w:t xml:space="preserve">. </w:t>
      </w:r>
      <w:r w:rsidR="00CE4FEB">
        <w:rPr>
          <w:lang w:val="en-CA"/>
        </w:rPr>
        <w:t xml:space="preserve">The public should be given an opportunity to give </w:t>
      </w:r>
      <w:r w:rsidR="009020BF">
        <w:rPr>
          <w:lang w:val="en-CA"/>
        </w:rPr>
        <w:t xml:space="preserve">the Government </w:t>
      </w:r>
      <w:r w:rsidR="00CE4FEB">
        <w:rPr>
          <w:lang w:val="en-CA"/>
        </w:rPr>
        <w:t>input on the Standards Development Committee’s recommendations.</w:t>
      </w:r>
      <w:r w:rsidRPr="002A198E">
        <w:rPr>
          <w:lang w:val="en-CA"/>
        </w:rPr>
        <w:t xml:space="preserve"> </w:t>
      </w:r>
    </w:p>
    <w:p w14:paraId="1F362997" w14:textId="77777777" w:rsidR="004B4634" w:rsidRPr="002A198E" w:rsidRDefault="004B4634" w:rsidP="002A198E">
      <w:pPr>
        <w:widowControl w:val="0"/>
        <w:rPr>
          <w:lang w:val="en-CA"/>
        </w:rPr>
      </w:pPr>
    </w:p>
    <w:p w14:paraId="7BE656ED" w14:textId="75B4630E" w:rsidR="004B4634" w:rsidRPr="002A198E" w:rsidRDefault="001D0428" w:rsidP="002A198E">
      <w:pPr>
        <w:widowControl w:val="0"/>
        <w:rPr>
          <w:lang w:val="en-CA"/>
        </w:rPr>
      </w:pPr>
      <w:r>
        <w:rPr>
          <w:lang w:val="en-CA"/>
        </w:rPr>
        <w:t xml:space="preserve">Within </w:t>
      </w:r>
      <w:r w:rsidR="00AD5F8A">
        <w:rPr>
          <w:lang w:val="en-CA"/>
        </w:rPr>
        <w:t>four years</w:t>
      </w:r>
      <w:r w:rsidR="00E453CB">
        <w:rPr>
          <w:lang w:val="en-CA"/>
        </w:rPr>
        <w:t xml:space="preserve"> after a CDA </w:t>
      </w:r>
      <w:r>
        <w:rPr>
          <w:lang w:val="en-CA"/>
        </w:rPr>
        <w:t xml:space="preserve">accessibility Standard is enacted, the </w:t>
      </w:r>
      <w:r w:rsidR="004B4634" w:rsidRPr="002A198E">
        <w:rPr>
          <w:lang w:val="en-CA"/>
        </w:rPr>
        <w:t xml:space="preserve">Federal Government should be required to appoint a Standards Development Committee to review </w:t>
      </w:r>
      <w:r w:rsidR="00E453CB">
        <w:rPr>
          <w:lang w:val="en-CA"/>
        </w:rPr>
        <w:t xml:space="preserve">it </w:t>
      </w:r>
      <w:r w:rsidR="004B4634" w:rsidRPr="002A198E">
        <w:rPr>
          <w:lang w:val="en-CA"/>
        </w:rPr>
        <w:t xml:space="preserve">and to recommend revisions. </w:t>
      </w:r>
      <w:r w:rsidR="007740B7">
        <w:rPr>
          <w:lang w:val="en-CA"/>
        </w:rPr>
        <w:t xml:space="preserve">Ontario's five-year interval has proven to be too long. </w:t>
      </w:r>
      <w:r w:rsidR="000403A7">
        <w:rPr>
          <w:lang w:val="en-CA"/>
        </w:rPr>
        <w:t>R</w:t>
      </w:r>
      <w:r>
        <w:rPr>
          <w:lang w:val="en-CA"/>
        </w:rPr>
        <w:t xml:space="preserve">evisions </w:t>
      </w:r>
      <w:r w:rsidR="004B4634" w:rsidRPr="002A198E">
        <w:rPr>
          <w:lang w:val="en-CA"/>
        </w:rPr>
        <w:t xml:space="preserve">should ensure that the accessibility standard better ensures that </w:t>
      </w:r>
      <w:r>
        <w:rPr>
          <w:lang w:val="en-CA"/>
        </w:rPr>
        <w:t xml:space="preserve">full accessibility is reached by the CDA's deadline. </w:t>
      </w:r>
      <w:r w:rsidR="00A65A4C">
        <w:rPr>
          <w:lang w:val="en-CA"/>
        </w:rPr>
        <w:t xml:space="preserve">Revisions should not weaken an accessibility standard. </w:t>
      </w:r>
      <w:r>
        <w:rPr>
          <w:lang w:val="en-CA"/>
        </w:rPr>
        <w:t xml:space="preserve">The CDA should make it clear </w:t>
      </w:r>
      <w:r w:rsidR="004B4634" w:rsidRPr="002A198E">
        <w:rPr>
          <w:lang w:val="en-CA"/>
        </w:rPr>
        <w:t>that the Fede</w:t>
      </w:r>
      <w:r w:rsidR="000413FE">
        <w:rPr>
          <w:lang w:val="en-CA"/>
        </w:rPr>
        <w:t xml:space="preserve">ral Government cannot revise an </w:t>
      </w:r>
      <w:r w:rsidR="004B4634" w:rsidRPr="002A198E">
        <w:rPr>
          <w:lang w:val="en-CA"/>
        </w:rPr>
        <w:t xml:space="preserve">accessibility standard without complying with this review process. </w:t>
      </w:r>
    </w:p>
    <w:p w14:paraId="4EA1B077" w14:textId="77777777" w:rsidR="004B4634" w:rsidRPr="002A198E" w:rsidRDefault="004B4634" w:rsidP="002A198E">
      <w:pPr>
        <w:widowControl w:val="0"/>
        <w:rPr>
          <w:lang w:val="en-CA"/>
        </w:rPr>
      </w:pPr>
    </w:p>
    <w:p w14:paraId="2BFBB480" w14:textId="77777777" w:rsidR="004B4634" w:rsidRPr="002A198E" w:rsidRDefault="004D58FA" w:rsidP="002A198E">
      <w:pPr>
        <w:pStyle w:val="Heading2"/>
        <w:keepNext w:val="0"/>
        <w:keepLines w:val="0"/>
        <w:widowControl w:val="0"/>
        <w:spacing w:before="0"/>
        <w:rPr>
          <w:lang w:val="en-CA"/>
        </w:rPr>
      </w:pPr>
      <w:bookmarkStart w:id="18" w:name="_Toc319660886"/>
      <w:r>
        <w:rPr>
          <w:lang w:val="en-CA"/>
        </w:rPr>
        <w:t>h</w:t>
      </w:r>
      <w:r w:rsidR="00D82198" w:rsidRPr="002A198E">
        <w:rPr>
          <w:lang w:val="en-CA"/>
        </w:rPr>
        <w:t xml:space="preserve">) </w:t>
      </w:r>
      <w:r w:rsidR="004B4634" w:rsidRPr="002A198E">
        <w:rPr>
          <w:lang w:val="en-CA"/>
        </w:rPr>
        <w:t xml:space="preserve">Ensuring </w:t>
      </w:r>
      <w:r w:rsidR="00262883">
        <w:rPr>
          <w:lang w:val="en-CA"/>
        </w:rPr>
        <w:t xml:space="preserve">The CDA's </w:t>
      </w:r>
      <w:r w:rsidR="004B4634" w:rsidRPr="002A198E">
        <w:rPr>
          <w:lang w:val="en-CA"/>
        </w:rPr>
        <w:t xml:space="preserve">Effective Enforcement </w:t>
      </w:r>
      <w:bookmarkEnd w:id="18"/>
      <w:r w:rsidR="004B4634" w:rsidRPr="002A198E">
        <w:rPr>
          <w:lang w:val="en-CA"/>
        </w:rPr>
        <w:t xml:space="preserve"> </w:t>
      </w:r>
    </w:p>
    <w:p w14:paraId="72486239" w14:textId="77777777" w:rsidR="004B4634" w:rsidRPr="002A198E" w:rsidRDefault="004B4634" w:rsidP="002A198E">
      <w:pPr>
        <w:widowControl w:val="0"/>
        <w:rPr>
          <w:lang w:val="en-CA"/>
        </w:rPr>
      </w:pPr>
    </w:p>
    <w:p w14:paraId="5DED08BC" w14:textId="77777777" w:rsidR="004B4634" w:rsidRPr="002A198E" w:rsidRDefault="00DB7321" w:rsidP="002A198E">
      <w:pPr>
        <w:widowControl w:val="0"/>
        <w:rPr>
          <w:lang w:val="en-CA"/>
        </w:rPr>
      </w:pPr>
      <w:r>
        <w:rPr>
          <w:lang w:val="en-CA"/>
        </w:rPr>
        <w:t xml:space="preserve">The </w:t>
      </w:r>
      <w:r w:rsidR="00AD2409">
        <w:rPr>
          <w:lang w:val="en-CA"/>
        </w:rPr>
        <w:t xml:space="preserve">CDA should </w:t>
      </w:r>
      <w:r w:rsidR="009E46AC">
        <w:rPr>
          <w:lang w:val="en-CA"/>
        </w:rPr>
        <w:t xml:space="preserve">create </w:t>
      </w:r>
      <w:r w:rsidR="004B4634" w:rsidRPr="002A198E">
        <w:rPr>
          <w:lang w:val="en-CA"/>
        </w:rPr>
        <w:t xml:space="preserve">effective enforcement powers, impose effective enforcement duties, and ensure timely, effective public reporting and accountability </w:t>
      </w:r>
      <w:r w:rsidR="00BF11C8">
        <w:rPr>
          <w:lang w:val="en-CA"/>
        </w:rPr>
        <w:t xml:space="preserve">of the Government's </w:t>
      </w:r>
      <w:r w:rsidR="004B4634" w:rsidRPr="002A198E">
        <w:rPr>
          <w:lang w:val="en-CA"/>
        </w:rPr>
        <w:t xml:space="preserve">enforcement efforts. </w:t>
      </w:r>
    </w:p>
    <w:p w14:paraId="69750104" w14:textId="77777777" w:rsidR="004B4634" w:rsidRPr="002A198E" w:rsidRDefault="004B4634" w:rsidP="002A198E">
      <w:pPr>
        <w:widowControl w:val="0"/>
        <w:rPr>
          <w:lang w:val="en-CA"/>
        </w:rPr>
      </w:pPr>
    </w:p>
    <w:p w14:paraId="48B4E5CC" w14:textId="77777777" w:rsidR="004B4634" w:rsidRPr="002A198E" w:rsidRDefault="004B4634" w:rsidP="002A198E">
      <w:pPr>
        <w:widowControl w:val="0"/>
        <w:rPr>
          <w:lang w:val="en-CA"/>
        </w:rPr>
      </w:pPr>
      <w:r w:rsidRPr="002A198E">
        <w:rPr>
          <w:lang w:val="en-CA"/>
        </w:rPr>
        <w:t xml:space="preserve">It is not enough for the </w:t>
      </w:r>
      <w:r w:rsidR="009E46AC">
        <w:rPr>
          <w:lang w:val="en-CA"/>
        </w:rPr>
        <w:t xml:space="preserve">CDA </w:t>
      </w:r>
      <w:r w:rsidRPr="002A198E">
        <w:rPr>
          <w:lang w:val="en-CA"/>
        </w:rPr>
        <w:t xml:space="preserve">to designate public officials who are permitted to enforce </w:t>
      </w:r>
      <w:r w:rsidR="00FF443B">
        <w:rPr>
          <w:lang w:val="en-CA"/>
        </w:rPr>
        <w:t>it</w:t>
      </w:r>
      <w:r w:rsidRPr="002A198E">
        <w:rPr>
          <w:lang w:val="en-CA"/>
        </w:rPr>
        <w:t xml:space="preserve">. </w:t>
      </w:r>
      <w:r w:rsidR="00E840B4">
        <w:rPr>
          <w:lang w:val="en-CA"/>
        </w:rPr>
        <w:t xml:space="preserve">The Act must </w:t>
      </w:r>
      <w:r w:rsidRPr="002A198E">
        <w:rPr>
          <w:lang w:val="en-CA"/>
        </w:rPr>
        <w:t xml:space="preserve">require designated federal officials to take specified steps to ensure its ongoing effective enforcement. Barrier-Free Canada’s 14 Principles for the </w:t>
      </w:r>
      <w:r w:rsidR="00E840B4">
        <w:rPr>
          <w:lang w:val="en-CA"/>
        </w:rPr>
        <w:t xml:space="preserve">CDA </w:t>
      </w:r>
      <w:r w:rsidRPr="002A198E">
        <w:rPr>
          <w:lang w:val="en-CA"/>
        </w:rPr>
        <w:t>include:</w:t>
      </w:r>
    </w:p>
    <w:p w14:paraId="5EE099CD" w14:textId="77777777" w:rsidR="004B4634" w:rsidRPr="002A198E" w:rsidRDefault="004B4634" w:rsidP="002A198E">
      <w:pPr>
        <w:widowControl w:val="0"/>
        <w:rPr>
          <w:lang w:val="en-CA"/>
        </w:rPr>
      </w:pPr>
    </w:p>
    <w:p w14:paraId="69792D61" w14:textId="77777777" w:rsidR="004B4634" w:rsidRPr="002A198E" w:rsidRDefault="004B4634" w:rsidP="00717433">
      <w:pPr>
        <w:widowControl w:val="0"/>
        <w:ind w:left="720"/>
        <w:rPr>
          <w:lang w:val="en-CA"/>
        </w:rPr>
      </w:pPr>
      <w:r w:rsidRPr="002A198E">
        <w:rPr>
          <w:lang w:val="en-CA"/>
        </w:rPr>
        <w:t xml:space="preserve">“8. The Canadians with Disabilities Act should provide for a prompt, </w:t>
      </w:r>
      <w:r w:rsidR="00F3280B" w:rsidRPr="002A198E">
        <w:rPr>
          <w:lang w:val="en-CA"/>
        </w:rPr>
        <w:t>independent and</w:t>
      </w:r>
      <w:r w:rsidRPr="002A198E">
        <w:rPr>
          <w:lang w:val="en-CA"/>
        </w:rPr>
        <w:t xml:space="preserve"> effective process for enforcement, and should require that the Act be effectively enforced. This should include, among other things, an effective avenue for persons with disabilities to raise with enforcement officials violations of the Act that they have encountered. It should not simply incorporate the existing procedures for filing discrimination complaints with the Canadian Human Rights Commission or under the Canadian Charter of Rights and Freedoms, as these are too slow and cumbersome, an</w:t>
      </w:r>
      <w:r w:rsidR="00717433">
        <w:rPr>
          <w:lang w:val="en-CA"/>
        </w:rPr>
        <w:t>d can yield inadequate remedies.</w:t>
      </w:r>
      <w:r w:rsidRPr="002A198E">
        <w:rPr>
          <w:lang w:val="en-CA"/>
        </w:rPr>
        <w:t>”</w:t>
      </w:r>
    </w:p>
    <w:p w14:paraId="68CECF42" w14:textId="77777777" w:rsidR="004B4634" w:rsidRPr="002A198E" w:rsidRDefault="004B4634" w:rsidP="002A198E">
      <w:pPr>
        <w:widowControl w:val="0"/>
        <w:rPr>
          <w:lang w:val="en-CA"/>
        </w:rPr>
      </w:pPr>
    </w:p>
    <w:p w14:paraId="43E82CF6" w14:textId="77777777" w:rsidR="00B14288" w:rsidRPr="002A198E" w:rsidRDefault="00B14288" w:rsidP="00B14288">
      <w:pPr>
        <w:widowControl w:val="0"/>
        <w:rPr>
          <w:lang w:val="en-CA"/>
        </w:rPr>
      </w:pPr>
      <w:r>
        <w:rPr>
          <w:lang w:val="en-CA"/>
        </w:rPr>
        <w:t xml:space="preserve">Effective enforcement of strong accessibility laws is needed to get obligated organizations to resist the powerful impulse to keep doing business exactly as they always have. </w:t>
      </w:r>
      <w:r w:rsidRPr="002A198E">
        <w:rPr>
          <w:lang w:val="en-CA"/>
        </w:rPr>
        <w:t xml:space="preserve">It is wrong to assume that obligated organizations </w:t>
      </w:r>
      <w:r>
        <w:rPr>
          <w:lang w:val="en-CA"/>
        </w:rPr>
        <w:t xml:space="preserve">just </w:t>
      </w:r>
      <w:r w:rsidRPr="002A198E">
        <w:rPr>
          <w:lang w:val="en-CA"/>
        </w:rPr>
        <w:t xml:space="preserve">need to be educated on </w:t>
      </w:r>
      <w:r>
        <w:rPr>
          <w:lang w:val="en-CA"/>
        </w:rPr>
        <w:t xml:space="preserve">accessibility's </w:t>
      </w:r>
      <w:r w:rsidRPr="002A198E">
        <w:rPr>
          <w:lang w:val="en-CA"/>
        </w:rPr>
        <w:t>benefit</w:t>
      </w:r>
      <w:r>
        <w:rPr>
          <w:lang w:val="en-CA"/>
        </w:rPr>
        <w:t>s</w:t>
      </w:r>
      <w:r w:rsidRPr="002A198E">
        <w:rPr>
          <w:lang w:val="en-CA"/>
        </w:rPr>
        <w:t xml:space="preserve">, and then they will comply, driven by self-interest. </w:t>
      </w:r>
      <w:r>
        <w:rPr>
          <w:lang w:val="en-CA"/>
        </w:rPr>
        <w:t xml:space="preserve">Ontario experience </w:t>
      </w:r>
      <w:r w:rsidRPr="002A198E">
        <w:rPr>
          <w:lang w:val="en-CA"/>
        </w:rPr>
        <w:t>show</w:t>
      </w:r>
      <w:r>
        <w:rPr>
          <w:lang w:val="en-CA"/>
        </w:rPr>
        <w:t>s</w:t>
      </w:r>
      <w:r w:rsidRPr="002A198E">
        <w:rPr>
          <w:lang w:val="en-CA"/>
        </w:rPr>
        <w:t xml:space="preserve"> </w:t>
      </w:r>
      <w:r>
        <w:rPr>
          <w:lang w:val="en-CA"/>
        </w:rPr>
        <w:t xml:space="preserve">that </w:t>
      </w:r>
      <w:r w:rsidRPr="002A198E">
        <w:rPr>
          <w:lang w:val="en-CA"/>
        </w:rPr>
        <w:t xml:space="preserve">approach failed. </w:t>
      </w:r>
    </w:p>
    <w:p w14:paraId="2536D723" w14:textId="77777777" w:rsidR="00B14288" w:rsidRDefault="00B14288" w:rsidP="002A198E">
      <w:pPr>
        <w:widowControl w:val="0"/>
        <w:rPr>
          <w:lang w:val="en-CA"/>
        </w:rPr>
      </w:pPr>
    </w:p>
    <w:p w14:paraId="60F1FBD4" w14:textId="77777777" w:rsidR="004B4634" w:rsidRPr="002A198E" w:rsidRDefault="004B4634" w:rsidP="002A198E">
      <w:pPr>
        <w:widowControl w:val="0"/>
        <w:rPr>
          <w:lang w:val="en-CA"/>
        </w:rPr>
      </w:pPr>
      <w:r w:rsidRPr="002A198E">
        <w:rPr>
          <w:lang w:val="en-CA"/>
        </w:rPr>
        <w:t xml:space="preserve">Enforcement is pivotal to the Act’s success. </w:t>
      </w:r>
      <w:r w:rsidR="00E840B4">
        <w:rPr>
          <w:lang w:val="en-CA"/>
        </w:rPr>
        <w:t>O</w:t>
      </w:r>
      <w:r w:rsidRPr="002A198E">
        <w:rPr>
          <w:lang w:val="en-CA"/>
        </w:rPr>
        <w:t xml:space="preserve">bligated organizations </w:t>
      </w:r>
      <w:r w:rsidR="00E840B4">
        <w:rPr>
          <w:lang w:val="en-CA"/>
        </w:rPr>
        <w:t xml:space="preserve">are far less likely to comply if they don't </w:t>
      </w:r>
      <w:r w:rsidR="00724A60">
        <w:rPr>
          <w:lang w:val="en-CA"/>
        </w:rPr>
        <w:t>think</w:t>
      </w:r>
      <w:r w:rsidRPr="002A198E">
        <w:rPr>
          <w:lang w:val="en-CA"/>
        </w:rPr>
        <w:t xml:space="preserve"> they </w:t>
      </w:r>
      <w:r w:rsidR="00E840B4">
        <w:rPr>
          <w:lang w:val="en-CA"/>
        </w:rPr>
        <w:t xml:space="preserve">will </w:t>
      </w:r>
      <w:r w:rsidRPr="002A198E">
        <w:rPr>
          <w:lang w:val="en-CA"/>
        </w:rPr>
        <w:t>face significant legal consequences</w:t>
      </w:r>
      <w:r w:rsidR="00E840B4">
        <w:rPr>
          <w:lang w:val="en-CA"/>
        </w:rPr>
        <w:t xml:space="preserve">. </w:t>
      </w:r>
      <w:r w:rsidRPr="002A198E">
        <w:rPr>
          <w:lang w:val="en-CA"/>
        </w:rPr>
        <w:t xml:space="preserve">Drivers are far more likely to obey speed limits when they see </w:t>
      </w:r>
      <w:r w:rsidR="00F3280B" w:rsidRPr="002A198E">
        <w:rPr>
          <w:lang w:val="en-CA"/>
        </w:rPr>
        <w:t>police,</w:t>
      </w:r>
      <w:r w:rsidRPr="002A198E">
        <w:rPr>
          <w:lang w:val="en-CA"/>
        </w:rPr>
        <w:t xml:space="preserve"> speed traps, or photo radar.</w:t>
      </w:r>
      <w:r w:rsidR="00F3280B" w:rsidRPr="002A198E">
        <w:rPr>
          <w:lang w:val="en-CA"/>
        </w:rPr>
        <w:t xml:space="preserve"> </w:t>
      </w:r>
    </w:p>
    <w:p w14:paraId="3E56E096" w14:textId="77777777" w:rsidR="004B4634" w:rsidRPr="002A198E" w:rsidRDefault="004B4634" w:rsidP="002A198E">
      <w:pPr>
        <w:widowControl w:val="0"/>
        <w:rPr>
          <w:lang w:val="en-CA"/>
        </w:rPr>
      </w:pPr>
    </w:p>
    <w:p w14:paraId="25F2BBE7" w14:textId="77777777" w:rsidR="004B4634" w:rsidRPr="002A198E" w:rsidRDefault="00A22673" w:rsidP="002A198E">
      <w:pPr>
        <w:widowControl w:val="0"/>
        <w:rPr>
          <w:lang w:val="en-CA"/>
        </w:rPr>
      </w:pPr>
      <w:r>
        <w:rPr>
          <w:lang w:val="en-CA"/>
        </w:rPr>
        <w:t xml:space="preserve">Accessibility laws require organizations to break deeply-rooted habits. </w:t>
      </w:r>
      <w:r w:rsidR="00125D85">
        <w:rPr>
          <w:lang w:val="en-CA"/>
        </w:rPr>
        <w:t xml:space="preserve">People </w:t>
      </w:r>
      <w:r w:rsidR="004B4634" w:rsidRPr="002A198E">
        <w:rPr>
          <w:lang w:val="en-CA"/>
        </w:rPr>
        <w:t xml:space="preserve">are creatures of habit. </w:t>
      </w:r>
      <w:r w:rsidR="00F862E7">
        <w:rPr>
          <w:lang w:val="en-CA"/>
        </w:rPr>
        <w:t>A</w:t>
      </w:r>
      <w:r>
        <w:rPr>
          <w:lang w:val="en-CA"/>
        </w:rPr>
        <w:t xml:space="preserve">ccessibility's </w:t>
      </w:r>
      <w:r w:rsidR="004B4634" w:rsidRPr="002A198E">
        <w:rPr>
          <w:lang w:val="en-CA"/>
        </w:rPr>
        <w:t xml:space="preserve">powerful economic benefits have not gotten many obligated organizations to break bad habits </w:t>
      </w:r>
      <w:r>
        <w:rPr>
          <w:lang w:val="en-CA"/>
        </w:rPr>
        <w:t xml:space="preserve">against </w:t>
      </w:r>
      <w:r w:rsidR="004B4634" w:rsidRPr="002A198E">
        <w:rPr>
          <w:lang w:val="en-CA"/>
        </w:rPr>
        <w:t xml:space="preserve">disability accessibility. </w:t>
      </w:r>
    </w:p>
    <w:p w14:paraId="6C1F457D" w14:textId="77777777" w:rsidR="004B4634" w:rsidRPr="002A198E" w:rsidRDefault="004B4634" w:rsidP="002A198E">
      <w:pPr>
        <w:widowControl w:val="0"/>
        <w:rPr>
          <w:lang w:val="en-CA"/>
        </w:rPr>
      </w:pPr>
    </w:p>
    <w:p w14:paraId="0CA2731B" w14:textId="15CB9B88" w:rsidR="004B4634" w:rsidRPr="002A198E" w:rsidRDefault="004B4634" w:rsidP="008914DD">
      <w:pPr>
        <w:rPr>
          <w:lang w:val="en-CA"/>
        </w:rPr>
      </w:pPr>
      <w:r w:rsidRPr="002A198E">
        <w:rPr>
          <w:lang w:val="en-CA"/>
        </w:rPr>
        <w:t xml:space="preserve">The AODA </w:t>
      </w:r>
      <w:r w:rsidR="00B14288">
        <w:rPr>
          <w:lang w:val="en-CA"/>
        </w:rPr>
        <w:t xml:space="preserve">creates </w:t>
      </w:r>
      <w:r w:rsidRPr="002A198E">
        <w:rPr>
          <w:lang w:val="en-CA"/>
        </w:rPr>
        <w:t xml:space="preserve">effective </w:t>
      </w:r>
      <w:r w:rsidR="00FA1299">
        <w:rPr>
          <w:lang w:val="en-CA"/>
        </w:rPr>
        <w:t xml:space="preserve">enforcement </w:t>
      </w:r>
      <w:r w:rsidRPr="002A198E">
        <w:rPr>
          <w:lang w:val="en-CA"/>
        </w:rPr>
        <w:t>tools.</w:t>
      </w:r>
      <w:r w:rsidR="00FA1299">
        <w:rPr>
          <w:rStyle w:val="EndnoteReference"/>
          <w:lang w:val="en-CA"/>
        </w:rPr>
        <w:endnoteReference w:id="54"/>
      </w:r>
      <w:r w:rsidRPr="002A198E">
        <w:rPr>
          <w:lang w:val="en-CA"/>
        </w:rPr>
        <w:t xml:space="preserve"> </w:t>
      </w:r>
      <w:r w:rsidR="009728AA">
        <w:rPr>
          <w:lang w:val="en-CA"/>
        </w:rPr>
        <w:t>The Ontario government promised</w:t>
      </w:r>
      <w:r w:rsidRPr="002A198E">
        <w:rPr>
          <w:lang w:val="en-CA"/>
        </w:rPr>
        <w:t xml:space="preserve"> effective </w:t>
      </w:r>
      <w:r w:rsidR="003119C9">
        <w:rPr>
          <w:lang w:val="en-CA"/>
        </w:rPr>
        <w:t xml:space="preserve">AODA </w:t>
      </w:r>
      <w:r w:rsidRPr="002A198E">
        <w:rPr>
          <w:lang w:val="en-CA"/>
        </w:rPr>
        <w:t>enforcement.</w:t>
      </w:r>
      <w:r w:rsidR="004A7AED">
        <w:rPr>
          <w:rStyle w:val="EndnoteReference"/>
          <w:lang w:val="en-CA"/>
        </w:rPr>
        <w:endnoteReference w:id="55"/>
      </w:r>
      <w:r w:rsidRPr="002A198E">
        <w:rPr>
          <w:lang w:val="en-CA"/>
        </w:rPr>
        <w:t xml:space="preserve"> However, it has a record</w:t>
      </w:r>
      <w:r w:rsidR="00352E24">
        <w:rPr>
          <w:lang w:val="en-CA"/>
        </w:rPr>
        <w:t xml:space="preserve"> </w:t>
      </w:r>
      <w:r w:rsidR="00724A60">
        <w:rPr>
          <w:lang w:val="en-CA"/>
        </w:rPr>
        <w:t>from 2013 to 2016</w:t>
      </w:r>
      <w:r w:rsidR="00352E24">
        <w:rPr>
          <w:lang w:val="en-CA"/>
        </w:rPr>
        <w:t xml:space="preserve"> </w:t>
      </w:r>
      <w:r w:rsidRPr="002A198E">
        <w:rPr>
          <w:lang w:val="en-CA"/>
        </w:rPr>
        <w:t>of not doing so</w:t>
      </w:r>
      <w:r w:rsidR="00724A60">
        <w:rPr>
          <w:lang w:val="en-CA"/>
        </w:rPr>
        <w:t xml:space="preserve">. This </w:t>
      </w:r>
      <w:r w:rsidR="00B04AD3">
        <w:rPr>
          <w:lang w:val="en-CA"/>
        </w:rPr>
        <w:t xml:space="preserve">was so </w:t>
      </w:r>
      <w:r w:rsidRPr="002A198E">
        <w:rPr>
          <w:lang w:val="en-CA"/>
        </w:rPr>
        <w:t xml:space="preserve">even though </w:t>
      </w:r>
      <w:r w:rsidR="00B04AD3">
        <w:rPr>
          <w:lang w:val="en-CA"/>
        </w:rPr>
        <w:t xml:space="preserve">the </w:t>
      </w:r>
      <w:r w:rsidR="00B04AD3" w:rsidRPr="00B04AD3">
        <w:rPr>
          <w:lang w:val="en-CA"/>
        </w:rPr>
        <w:t xml:space="preserve">Government </w:t>
      </w:r>
      <w:r w:rsidR="00B04AD3">
        <w:rPr>
          <w:lang w:val="en-CA"/>
        </w:rPr>
        <w:t xml:space="preserve">knew </w:t>
      </w:r>
      <w:r w:rsidRPr="002A198E">
        <w:rPr>
          <w:lang w:val="en-CA"/>
        </w:rPr>
        <w:t xml:space="preserve">throughout </w:t>
      </w:r>
      <w:r w:rsidR="00B04AD3">
        <w:rPr>
          <w:lang w:val="en-CA"/>
        </w:rPr>
        <w:t xml:space="preserve">about </w:t>
      </w:r>
      <w:r w:rsidRPr="002A198E">
        <w:rPr>
          <w:lang w:val="en-CA"/>
        </w:rPr>
        <w:t>rampant violations, ha</w:t>
      </w:r>
      <w:r w:rsidR="00B04AD3">
        <w:rPr>
          <w:lang w:val="en-CA"/>
        </w:rPr>
        <w:t>d</w:t>
      </w:r>
      <w:r w:rsidRPr="002A198E">
        <w:rPr>
          <w:lang w:val="en-CA"/>
        </w:rPr>
        <w:t xml:space="preserve"> power to act, and had unused funds appropriated for AODA implementation.</w:t>
      </w:r>
      <w:r w:rsidR="008914DD">
        <w:rPr>
          <w:rStyle w:val="EndnoteReference"/>
          <w:lang w:val="en-CA"/>
        </w:rPr>
        <w:endnoteReference w:id="56"/>
      </w:r>
    </w:p>
    <w:p w14:paraId="4F268D07" w14:textId="77777777" w:rsidR="004B4634" w:rsidRPr="002A198E" w:rsidRDefault="004B4634" w:rsidP="002A198E">
      <w:pPr>
        <w:widowControl w:val="0"/>
        <w:rPr>
          <w:lang w:val="en-CA"/>
        </w:rPr>
      </w:pPr>
    </w:p>
    <w:p w14:paraId="14FD248E" w14:textId="65C3D4B6" w:rsidR="00513223" w:rsidRPr="002A198E" w:rsidRDefault="004B4634" w:rsidP="002A198E">
      <w:pPr>
        <w:widowControl w:val="0"/>
        <w:rPr>
          <w:lang w:val="en-CA"/>
        </w:rPr>
      </w:pPr>
      <w:r w:rsidRPr="002A198E">
        <w:rPr>
          <w:lang w:val="en-CA"/>
        </w:rPr>
        <w:t>The AODA establishes a regime of inspections and inspectors</w:t>
      </w:r>
      <w:r w:rsidR="00E84439">
        <w:rPr>
          <w:lang w:val="en-CA"/>
        </w:rPr>
        <w:t xml:space="preserve">, and </w:t>
      </w:r>
      <w:r w:rsidR="003A2369" w:rsidRPr="002A198E">
        <w:rPr>
          <w:lang w:val="en-CA"/>
        </w:rPr>
        <w:t>directors</w:t>
      </w:r>
      <w:r w:rsidRPr="002A198E">
        <w:rPr>
          <w:lang w:val="en-CA"/>
        </w:rPr>
        <w:t xml:space="preserve"> with power to issue compliance orders and monetary penalties.</w:t>
      </w:r>
      <w:r w:rsidR="00E84439">
        <w:rPr>
          <w:rStyle w:val="EndnoteReference"/>
          <w:lang w:val="en-CA"/>
        </w:rPr>
        <w:endnoteReference w:id="57"/>
      </w:r>
      <w:r w:rsidRPr="002A198E">
        <w:rPr>
          <w:lang w:val="en-CA"/>
        </w:rPr>
        <w:t xml:space="preserve"> An obligated organization can appeal orders to a tribunal.</w:t>
      </w:r>
      <w:r w:rsidR="00E84439">
        <w:rPr>
          <w:rStyle w:val="EndnoteReference"/>
          <w:lang w:val="en-CA"/>
        </w:rPr>
        <w:endnoteReference w:id="58"/>
      </w:r>
      <w:r w:rsidR="00E84439">
        <w:rPr>
          <w:lang w:val="en-CA"/>
        </w:rPr>
        <w:t xml:space="preserve"> </w:t>
      </w:r>
      <w:r w:rsidR="00804C65">
        <w:rPr>
          <w:lang w:val="en-CA"/>
        </w:rPr>
        <w:t xml:space="preserve">Yet </w:t>
      </w:r>
      <w:r w:rsidRPr="002A198E">
        <w:rPr>
          <w:lang w:val="en-CA"/>
        </w:rPr>
        <w:t>Ontario has only appointed a tiny number of officials to condu</w:t>
      </w:r>
      <w:r w:rsidR="00074B81">
        <w:rPr>
          <w:lang w:val="en-CA"/>
        </w:rPr>
        <w:t>ct AODA inspections and audits: p</w:t>
      </w:r>
      <w:r w:rsidR="00513223" w:rsidRPr="002A198E">
        <w:rPr>
          <w:lang w:val="en-CA"/>
        </w:rPr>
        <w:t xml:space="preserve">artway through 2015, the Government only appointed </w:t>
      </w:r>
      <w:r w:rsidR="005F4D45">
        <w:rPr>
          <w:lang w:val="en-CA"/>
        </w:rPr>
        <w:t xml:space="preserve">a mere </w:t>
      </w:r>
      <w:r w:rsidR="00513223" w:rsidRPr="002A198E">
        <w:rPr>
          <w:lang w:val="en-CA"/>
        </w:rPr>
        <w:t xml:space="preserve">three directors and one inspector </w:t>
      </w:r>
      <w:r w:rsidRPr="002A198E">
        <w:rPr>
          <w:lang w:val="en-CA"/>
        </w:rPr>
        <w:t xml:space="preserve">to enforce the AODA across Ontario. </w:t>
      </w:r>
    </w:p>
    <w:p w14:paraId="4E701B59" w14:textId="77777777" w:rsidR="00513223" w:rsidRPr="002A198E" w:rsidRDefault="00513223" w:rsidP="002A198E">
      <w:pPr>
        <w:widowControl w:val="0"/>
        <w:rPr>
          <w:lang w:val="en-CA"/>
        </w:rPr>
      </w:pPr>
    </w:p>
    <w:p w14:paraId="3DD61546" w14:textId="77777777" w:rsidR="004B4634" w:rsidRPr="002A198E" w:rsidRDefault="00513223" w:rsidP="002A198E">
      <w:pPr>
        <w:widowControl w:val="0"/>
        <w:rPr>
          <w:lang w:val="en-CA"/>
        </w:rPr>
      </w:pPr>
      <w:r w:rsidRPr="002A198E">
        <w:rPr>
          <w:lang w:val="en-CA"/>
        </w:rPr>
        <w:t xml:space="preserve">Ontario Government </w:t>
      </w:r>
      <w:r w:rsidR="004B4634" w:rsidRPr="002A198E">
        <w:rPr>
          <w:lang w:val="en-CA"/>
        </w:rPr>
        <w:t>audit</w:t>
      </w:r>
      <w:r w:rsidR="00274BCE">
        <w:rPr>
          <w:lang w:val="en-CA"/>
        </w:rPr>
        <w:t>s</w:t>
      </w:r>
      <w:r w:rsidR="004B4634" w:rsidRPr="002A198E">
        <w:rPr>
          <w:lang w:val="en-CA"/>
        </w:rPr>
        <w:t xml:space="preserve"> and inspection</w:t>
      </w:r>
      <w:r w:rsidR="00274BCE">
        <w:rPr>
          <w:lang w:val="en-CA"/>
        </w:rPr>
        <w:t>s</w:t>
      </w:r>
      <w:r w:rsidR="004B4634" w:rsidRPr="002A198E">
        <w:rPr>
          <w:lang w:val="en-CA"/>
        </w:rPr>
        <w:t xml:space="preserve"> appear limited to paper audit of an obligated organization’s compliance records, rather than visiting </w:t>
      </w:r>
      <w:r w:rsidR="00274BCE">
        <w:rPr>
          <w:lang w:val="en-CA"/>
        </w:rPr>
        <w:t xml:space="preserve">the </w:t>
      </w:r>
      <w:r w:rsidR="004B4634" w:rsidRPr="002A198E">
        <w:rPr>
          <w:lang w:val="en-CA"/>
        </w:rPr>
        <w:t xml:space="preserve">organization’s </w:t>
      </w:r>
      <w:r w:rsidR="003A2369" w:rsidRPr="002A198E">
        <w:rPr>
          <w:lang w:val="en-CA"/>
        </w:rPr>
        <w:t>premises to</w:t>
      </w:r>
      <w:r w:rsidR="004B4634" w:rsidRPr="002A198E">
        <w:rPr>
          <w:lang w:val="en-CA"/>
        </w:rPr>
        <w:t xml:space="preserve"> see what is </w:t>
      </w:r>
      <w:r w:rsidR="009A09F4">
        <w:rPr>
          <w:lang w:val="en-CA"/>
        </w:rPr>
        <w:t xml:space="preserve">actually </w:t>
      </w:r>
      <w:r w:rsidR="004B4634" w:rsidRPr="002A198E">
        <w:rPr>
          <w:lang w:val="en-CA"/>
        </w:rPr>
        <w:t xml:space="preserve">happening. </w:t>
      </w:r>
      <w:r w:rsidR="00274BCE">
        <w:rPr>
          <w:lang w:val="en-CA"/>
        </w:rPr>
        <w:t xml:space="preserve">If </w:t>
      </w:r>
      <w:r w:rsidR="004B4634" w:rsidRPr="002A198E">
        <w:rPr>
          <w:lang w:val="en-CA"/>
        </w:rPr>
        <w:t>an organization send</w:t>
      </w:r>
      <w:r w:rsidR="00A02240">
        <w:rPr>
          <w:lang w:val="en-CA"/>
        </w:rPr>
        <w:t>s</w:t>
      </w:r>
      <w:r w:rsidR="004B4634" w:rsidRPr="002A198E">
        <w:rPr>
          <w:lang w:val="en-CA"/>
        </w:rPr>
        <w:t xml:space="preserve"> the Ontario Government the right paperwork, they are </w:t>
      </w:r>
      <w:r w:rsidR="00A02240">
        <w:rPr>
          <w:lang w:val="en-CA"/>
        </w:rPr>
        <w:t xml:space="preserve">doing fine, </w:t>
      </w:r>
      <w:r w:rsidR="004B4634" w:rsidRPr="002A198E">
        <w:rPr>
          <w:lang w:val="en-CA"/>
        </w:rPr>
        <w:t xml:space="preserve">no matter how little accessibility </w:t>
      </w:r>
      <w:r w:rsidR="00E23F7E">
        <w:rPr>
          <w:lang w:val="en-CA"/>
        </w:rPr>
        <w:t xml:space="preserve">it </w:t>
      </w:r>
      <w:r w:rsidR="00A02240">
        <w:rPr>
          <w:lang w:val="en-CA"/>
        </w:rPr>
        <w:t>offers</w:t>
      </w:r>
      <w:r w:rsidR="004B4634" w:rsidRPr="002A198E">
        <w:rPr>
          <w:lang w:val="en-CA"/>
        </w:rPr>
        <w:t xml:space="preserve">. </w:t>
      </w:r>
      <w:r w:rsidR="00A971CB">
        <w:rPr>
          <w:lang w:val="en-CA"/>
        </w:rPr>
        <w:t xml:space="preserve">This is </w:t>
      </w:r>
      <w:r w:rsidR="004B4634" w:rsidRPr="002A198E">
        <w:rPr>
          <w:lang w:val="en-CA"/>
        </w:rPr>
        <w:t>an impoverished approach.</w:t>
      </w:r>
    </w:p>
    <w:p w14:paraId="58FB0681" w14:textId="77777777" w:rsidR="004B4634" w:rsidRPr="002A198E" w:rsidRDefault="004B4634" w:rsidP="002A198E">
      <w:pPr>
        <w:widowControl w:val="0"/>
        <w:rPr>
          <w:lang w:val="en-CA"/>
        </w:rPr>
      </w:pPr>
    </w:p>
    <w:p w14:paraId="3135682B" w14:textId="77777777" w:rsidR="00BD6604" w:rsidRDefault="004B4634" w:rsidP="002A198E">
      <w:pPr>
        <w:widowControl w:val="0"/>
        <w:rPr>
          <w:lang w:val="en-CA"/>
        </w:rPr>
      </w:pPr>
      <w:r w:rsidRPr="002A198E">
        <w:rPr>
          <w:lang w:val="en-CA"/>
        </w:rPr>
        <w:t xml:space="preserve">In 2004, the Ontarians with Disabilities Act Committee, the predecessor to the Accessibility for Ontarians with Disabilities Act Alliance, made public a comprehensive Discussion Paper on options for an </w:t>
      </w:r>
      <w:r w:rsidR="00C96329">
        <w:rPr>
          <w:lang w:val="en-CA"/>
        </w:rPr>
        <w:t xml:space="preserve">Ontario accessibility law's </w:t>
      </w:r>
      <w:r w:rsidRPr="002A198E">
        <w:rPr>
          <w:lang w:val="en-CA"/>
        </w:rPr>
        <w:t>enforcement/ compliance regime</w:t>
      </w:r>
      <w:r w:rsidR="00C96329">
        <w:rPr>
          <w:lang w:val="en-CA"/>
        </w:rPr>
        <w:t>.</w:t>
      </w:r>
      <w:r w:rsidR="00C96329">
        <w:rPr>
          <w:rStyle w:val="EndnoteReference"/>
          <w:lang w:val="en-CA"/>
        </w:rPr>
        <w:endnoteReference w:id="59"/>
      </w:r>
      <w:r w:rsidR="00C96329">
        <w:rPr>
          <w:lang w:val="en-CA"/>
        </w:rPr>
        <w:t xml:space="preserve"> </w:t>
      </w:r>
      <w:r w:rsidRPr="002A198E">
        <w:rPr>
          <w:lang w:val="en-CA"/>
        </w:rPr>
        <w:t xml:space="preserve">Drawing on </w:t>
      </w:r>
      <w:r w:rsidR="00BD6604">
        <w:rPr>
          <w:lang w:val="en-CA"/>
        </w:rPr>
        <w:t>it</w:t>
      </w:r>
      <w:r w:rsidRPr="002A198E">
        <w:rPr>
          <w:lang w:val="en-CA"/>
        </w:rPr>
        <w:t xml:space="preserve"> and on experience over the decade since, the </w:t>
      </w:r>
      <w:r w:rsidR="00BD6604">
        <w:rPr>
          <w:lang w:val="en-CA"/>
        </w:rPr>
        <w:t>CDA's compliance and enforcement regime should include these key ingredients:</w:t>
      </w:r>
    </w:p>
    <w:p w14:paraId="68EA0346" w14:textId="77777777" w:rsidR="004B4634" w:rsidRPr="002A198E" w:rsidRDefault="004B4634" w:rsidP="002A198E">
      <w:pPr>
        <w:widowControl w:val="0"/>
        <w:rPr>
          <w:lang w:val="en-CA"/>
        </w:rPr>
      </w:pPr>
    </w:p>
    <w:p w14:paraId="748C8378" w14:textId="77777777" w:rsidR="004B4634" w:rsidRPr="002A198E" w:rsidRDefault="004B4634" w:rsidP="002A198E">
      <w:pPr>
        <w:widowControl w:val="0"/>
        <w:rPr>
          <w:lang w:val="en-CA"/>
        </w:rPr>
      </w:pPr>
      <w:r w:rsidRPr="002A198E">
        <w:rPr>
          <w:lang w:val="en-CA"/>
        </w:rPr>
        <w:t>It should ensure strong and effective remedies for non-compliance</w:t>
      </w:r>
      <w:r w:rsidR="00551AA0">
        <w:rPr>
          <w:lang w:val="en-CA"/>
        </w:rPr>
        <w:t xml:space="preserve">, sufficient to </w:t>
      </w:r>
      <w:r w:rsidRPr="002A198E">
        <w:rPr>
          <w:lang w:val="en-CA"/>
        </w:rPr>
        <w:t xml:space="preserve">incentivize organizations to comply. Non-compliance should </w:t>
      </w:r>
      <w:r w:rsidR="00AA7B22">
        <w:rPr>
          <w:lang w:val="en-CA"/>
        </w:rPr>
        <w:t xml:space="preserve">clearly </w:t>
      </w:r>
      <w:r w:rsidRPr="002A198E">
        <w:rPr>
          <w:lang w:val="en-CA"/>
        </w:rPr>
        <w:t xml:space="preserve">be more costly than compliance. </w:t>
      </w:r>
    </w:p>
    <w:p w14:paraId="4D9C9A23" w14:textId="77777777" w:rsidR="004B4634" w:rsidRPr="002A198E" w:rsidRDefault="004B4634" w:rsidP="002A198E">
      <w:pPr>
        <w:widowControl w:val="0"/>
        <w:rPr>
          <w:lang w:val="en-CA"/>
        </w:rPr>
      </w:pPr>
    </w:p>
    <w:p w14:paraId="0BD22130" w14:textId="77777777" w:rsidR="004B4634" w:rsidRPr="002A198E" w:rsidRDefault="004B4634" w:rsidP="002A198E">
      <w:pPr>
        <w:widowControl w:val="0"/>
        <w:rPr>
          <w:lang w:val="en-CA"/>
        </w:rPr>
      </w:pPr>
      <w:r w:rsidRPr="002A198E">
        <w:rPr>
          <w:lang w:val="en-CA"/>
        </w:rPr>
        <w:t xml:space="preserve">Remedies should also include orders requiring sufficient specific action to bring an organization into compliance, and to ensure future compliance. </w:t>
      </w:r>
      <w:r w:rsidR="00551AA0">
        <w:rPr>
          <w:lang w:val="en-CA"/>
        </w:rPr>
        <w:t xml:space="preserve">If </w:t>
      </w:r>
      <w:r w:rsidRPr="002A198E">
        <w:rPr>
          <w:lang w:val="en-CA"/>
        </w:rPr>
        <w:t>there is protracted or systemic non-compliance, more extensive remedies should be available</w:t>
      </w:r>
      <w:r w:rsidR="00551AA0">
        <w:rPr>
          <w:lang w:val="en-CA"/>
        </w:rPr>
        <w:t>,</w:t>
      </w:r>
      <w:r w:rsidRPr="002A198E">
        <w:rPr>
          <w:lang w:val="en-CA"/>
        </w:rPr>
        <w:t xml:space="preserve"> e.g.</w:t>
      </w:r>
      <w:r w:rsidR="002A198E" w:rsidRPr="002A198E">
        <w:rPr>
          <w:lang w:val="en-CA"/>
        </w:rPr>
        <w:t xml:space="preserve"> </w:t>
      </w:r>
      <w:r w:rsidRPr="002A198E">
        <w:rPr>
          <w:lang w:val="en-CA"/>
        </w:rPr>
        <w:t>independent monitoring.</w:t>
      </w:r>
    </w:p>
    <w:p w14:paraId="174FD434" w14:textId="77777777" w:rsidR="004B4634" w:rsidRPr="002A198E" w:rsidRDefault="004B4634" w:rsidP="002A198E">
      <w:pPr>
        <w:widowControl w:val="0"/>
        <w:rPr>
          <w:lang w:val="en-CA"/>
        </w:rPr>
      </w:pPr>
    </w:p>
    <w:p w14:paraId="6C8C9758" w14:textId="77777777" w:rsidR="004B4634" w:rsidRPr="002A198E" w:rsidRDefault="001F6390" w:rsidP="002A198E">
      <w:pPr>
        <w:widowControl w:val="0"/>
        <w:rPr>
          <w:lang w:val="en-CA"/>
        </w:rPr>
      </w:pPr>
      <w:r>
        <w:rPr>
          <w:lang w:val="en-CA"/>
        </w:rPr>
        <w:t>E</w:t>
      </w:r>
      <w:r w:rsidR="004B4634" w:rsidRPr="002A198E">
        <w:rPr>
          <w:lang w:val="en-CA"/>
        </w:rPr>
        <w:t xml:space="preserve">nforcement should be </w:t>
      </w:r>
      <w:r>
        <w:rPr>
          <w:lang w:val="en-CA"/>
        </w:rPr>
        <w:t xml:space="preserve">assigned to </w:t>
      </w:r>
      <w:r w:rsidR="004B4634" w:rsidRPr="002A198E">
        <w:rPr>
          <w:lang w:val="en-CA"/>
        </w:rPr>
        <w:t xml:space="preserve">an independent </w:t>
      </w:r>
      <w:r>
        <w:rPr>
          <w:lang w:val="en-CA"/>
        </w:rPr>
        <w:t xml:space="preserve">armslength </w:t>
      </w:r>
      <w:r w:rsidR="004B4634" w:rsidRPr="002A198E">
        <w:rPr>
          <w:lang w:val="en-CA"/>
        </w:rPr>
        <w:t>agency</w:t>
      </w:r>
      <w:r>
        <w:rPr>
          <w:lang w:val="en-CA"/>
        </w:rPr>
        <w:t>.</w:t>
      </w:r>
      <w:r w:rsidR="004B4634" w:rsidRPr="002A198E">
        <w:rPr>
          <w:lang w:val="en-CA"/>
        </w:rPr>
        <w:t xml:space="preserve"> The Canada Accessibility Commissioner, </w:t>
      </w:r>
      <w:r>
        <w:rPr>
          <w:lang w:val="en-CA"/>
        </w:rPr>
        <w:t xml:space="preserve">proposed </w:t>
      </w:r>
      <w:r w:rsidR="004B4634" w:rsidRPr="002A198E">
        <w:rPr>
          <w:lang w:val="en-CA"/>
        </w:rPr>
        <w:t xml:space="preserve">above, </w:t>
      </w:r>
      <w:r>
        <w:rPr>
          <w:lang w:val="en-CA"/>
        </w:rPr>
        <w:t>is the best choice.</w:t>
      </w:r>
    </w:p>
    <w:p w14:paraId="6896FD9B" w14:textId="77777777" w:rsidR="004B4634" w:rsidRPr="002A198E" w:rsidRDefault="004B4634" w:rsidP="002A198E">
      <w:pPr>
        <w:widowControl w:val="0"/>
        <w:rPr>
          <w:lang w:val="en-CA"/>
        </w:rPr>
      </w:pPr>
    </w:p>
    <w:p w14:paraId="038C2038" w14:textId="6E4A5F84" w:rsidR="004B4634" w:rsidRPr="002A198E" w:rsidRDefault="00671683" w:rsidP="002A198E">
      <w:pPr>
        <w:widowControl w:val="0"/>
        <w:rPr>
          <w:lang w:val="en-CA"/>
        </w:rPr>
      </w:pPr>
      <w:r>
        <w:rPr>
          <w:lang w:val="en-CA"/>
        </w:rPr>
        <w:t>T</w:t>
      </w:r>
      <w:r w:rsidR="004B4634" w:rsidRPr="002A198E">
        <w:rPr>
          <w:lang w:val="en-CA"/>
        </w:rPr>
        <w:t xml:space="preserve">he </w:t>
      </w:r>
      <w:r w:rsidR="00624C58">
        <w:rPr>
          <w:lang w:val="en-CA"/>
        </w:rPr>
        <w:t xml:space="preserve">Federal </w:t>
      </w:r>
      <w:r w:rsidR="004B4634" w:rsidRPr="002A198E">
        <w:rPr>
          <w:lang w:val="en-CA"/>
        </w:rPr>
        <w:t xml:space="preserve">government </w:t>
      </w:r>
      <w:r>
        <w:rPr>
          <w:lang w:val="en-CA"/>
        </w:rPr>
        <w:t xml:space="preserve">shouldn't </w:t>
      </w:r>
      <w:r w:rsidR="004B4634" w:rsidRPr="002A198E">
        <w:rPr>
          <w:lang w:val="en-CA"/>
        </w:rPr>
        <w:t xml:space="preserve">investigate and enforce this law against itself. Experience with the Ontario government’s perennial lax </w:t>
      </w:r>
      <w:r w:rsidR="002F78A7">
        <w:rPr>
          <w:lang w:val="en-CA"/>
        </w:rPr>
        <w:t xml:space="preserve">AODA </w:t>
      </w:r>
      <w:r w:rsidR="004B4634" w:rsidRPr="002A198E">
        <w:rPr>
          <w:lang w:val="en-CA"/>
        </w:rPr>
        <w:t xml:space="preserve">enforcement </w:t>
      </w:r>
      <w:r w:rsidR="002D2F03">
        <w:rPr>
          <w:lang w:val="en-CA"/>
        </w:rPr>
        <w:t xml:space="preserve">reinforces </w:t>
      </w:r>
      <w:r>
        <w:rPr>
          <w:lang w:val="en-CA"/>
        </w:rPr>
        <w:t>this</w:t>
      </w:r>
      <w:r w:rsidR="00B61DCE">
        <w:rPr>
          <w:lang w:val="en-CA"/>
        </w:rPr>
        <w:t xml:space="preserve"> concern</w:t>
      </w:r>
      <w:r>
        <w:rPr>
          <w:lang w:val="en-CA"/>
        </w:rPr>
        <w:t>. D</w:t>
      </w:r>
      <w:r w:rsidR="004B4634" w:rsidRPr="002A198E">
        <w:rPr>
          <w:lang w:val="en-CA"/>
        </w:rPr>
        <w:t xml:space="preserve">isability advocates </w:t>
      </w:r>
      <w:r w:rsidR="002D2F03">
        <w:rPr>
          <w:lang w:val="en-CA"/>
        </w:rPr>
        <w:t xml:space="preserve">urged </w:t>
      </w:r>
      <w:r w:rsidR="004B4634" w:rsidRPr="002A198E">
        <w:rPr>
          <w:lang w:val="en-CA"/>
        </w:rPr>
        <w:t xml:space="preserve">from 2001 to 2005 that </w:t>
      </w:r>
      <w:r w:rsidR="002D2F03">
        <w:rPr>
          <w:lang w:val="en-CA"/>
        </w:rPr>
        <w:t xml:space="preserve">AODA </w:t>
      </w:r>
      <w:r w:rsidR="004B4634" w:rsidRPr="002A198E">
        <w:rPr>
          <w:lang w:val="en-CA"/>
        </w:rPr>
        <w:t xml:space="preserve">enforcement powers </w:t>
      </w:r>
      <w:r w:rsidR="002D2F03">
        <w:rPr>
          <w:lang w:val="en-CA"/>
        </w:rPr>
        <w:t xml:space="preserve">should be </w:t>
      </w:r>
      <w:r w:rsidR="004B4634" w:rsidRPr="002A198E">
        <w:rPr>
          <w:lang w:val="en-CA"/>
        </w:rPr>
        <w:t xml:space="preserve">vested in an </w:t>
      </w:r>
      <w:r w:rsidR="002D2F03">
        <w:rPr>
          <w:lang w:val="en-CA"/>
        </w:rPr>
        <w:t xml:space="preserve">accountable, </w:t>
      </w:r>
      <w:r w:rsidR="004B4634" w:rsidRPr="002A198E">
        <w:rPr>
          <w:lang w:val="en-CA"/>
        </w:rPr>
        <w:t xml:space="preserve">independent arm’s-length </w:t>
      </w:r>
      <w:r w:rsidR="002D2F03">
        <w:rPr>
          <w:lang w:val="en-CA"/>
        </w:rPr>
        <w:t>public agency.</w:t>
      </w:r>
    </w:p>
    <w:p w14:paraId="31BCAFF4" w14:textId="77777777" w:rsidR="004B4634" w:rsidRPr="002A198E" w:rsidRDefault="004B4634" w:rsidP="002A198E">
      <w:pPr>
        <w:widowControl w:val="0"/>
        <w:rPr>
          <w:lang w:val="en-CA"/>
        </w:rPr>
      </w:pPr>
    </w:p>
    <w:p w14:paraId="2EB6F28B" w14:textId="6E845CE3" w:rsidR="004B4634" w:rsidRPr="002A198E" w:rsidRDefault="004B4634" w:rsidP="002A198E">
      <w:pPr>
        <w:widowControl w:val="0"/>
        <w:rPr>
          <w:lang w:val="en-CA"/>
        </w:rPr>
      </w:pPr>
      <w:r w:rsidRPr="002A198E">
        <w:rPr>
          <w:lang w:val="en-CA"/>
        </w:rPr>
        <w:t xml:space="preserve">Whoever is responsible for the </w:t>
      </w:r>
      <w:r w:rsidR="00B72579">
        <w:rPr>
          <w:lang w:val="en-CA"/>
        </w:rPr>
        <w:t xml:space="preserve">CDA's </w:t>
      </w:r>
      <w:r w:rsidRPr="002A198E">
        <w:rPr>
          <w:lang w:val="en-CA"/>
        </w:rPr>
        <w:t xml:space="preserve">enforcement should be required to regularly </w:t>
      </w:r>
      <w:r w:rsidR="001B3C46">
        <w:rPr>
          <w:lang w:val="en-CA"/>
        </w:rPr>
        <w:t xml:space="preserve">and promptly </w:t>
      </w:r>
      <w:r w:rsidRPr="002A198E">
        <w:rPr>
          <w:lang w:val="en-CA"/>
        </w:rPr>
        <w:t xml:space="preserve">report to the public on </w:t>
      </w:r>
      <w:r w:rsidR="00920156">
        <w:rPr>
          <w:lang w:val="en-CA"/>
        </w:rPr>
        <w:t xml:space="preserve">details of </w:t>
      </w:r>
      <w:r w:rsidR="00F967A3">
        <w:rPr>
          <w:lang w:val="en-CA"/>
        </w:rPr>
        <w:t xml:space="preserve">its </w:t>
      </w:r>
      <w:r w:rsidRPr="002A198E">
        <w:rPr>
          <w:lang w:val="en-CA"/>
        </w:rPr>
        <w:t xml:space="preserve">enforcement activities, and on the results yielded. </w:t>
      </w:r>
      <w:r w:rsidR="00D925EC">
        <w:rPr>
          <w:lang w:val="en-CA"/>
        </w:rPr>
        <w:t>In contrast, i</w:t>
      </w:r>
      <w:r w:rsidRPr="002A198E">
        <w:rPr>
          <w:lang w:val="en-CA"/>
        </w:rPr>
        <w:t xml:space="preserve">n Ontario, it was necessary to resort to freedom of information applications to reveal the extent to which the Ontario government </w:t>
      </w:r>
      <w:r w:rsidR="00317713">
        <w:rPr>
          <w:lang w:val="en-CA"/>
        </w:rPr>
        <w:t xml:space="preserve">wasn't </w:t>
      </w:r>
      <w:r w:rsidR="00920156">
        <w:rPr>
          <w:lang w:val="en-CA"/>
        </w:rPr>
        <w:t xml:space="preserve">effectively </w:t>
      </w:r>
      <w:r w:rsidRPr="002A198E">
        <w:rPr>
          <w:lang w:val="en-CA"/>
        </w:rPr>
        <w:t>enforcing the AODA</w:t>
      </w:r>
      <w:r w:rsidR="00920156">
        <w:rPr>
          <w:lang w:val="en-CA"/>
        </w:rPr>
        <w:t>.</w:t>
      </w:r>
      <w:r w:rsidR="00056AFA">
        <w:rPr>
          <w:rStyle w:val="EndnoteReference"/>
          <w:lang w:val="en-CA"/>
        </w:rPr>
        <w:endnoteReference w:id="60"/>
      </w:r>
      <w:r w:rsidR="00920156">
        <w:rPr>
          <w:lang w:val="en-CA"/>
        </w:rPr>
        <w:t xml:space="preserve"> </w:t>
      </w:r>
    </w:p>
    <w:p w14:paraId="3B837C3D" w14:textId="77777777" w:rsidR="004B4634" w:rsidRPr="002A198E" w:rsidRDefault="004B4634" w:rsidP="002A198E">
      <w:pPr>
        <w:widowControl w:val="0"/>
        <w:rPr>
          <w:lang w:val="en-CA"/>
        </w:rPr>
      </w:pPr>
    </w:p>
    <w:p w14:paraId="3E41FD69" w14:textId="590CD01A" w:rsidR="004B4634" w:rsidRPr="002A198E" w:rsidRDefault="004B4634" w:rsidP="002A198E">
      <w:pPr>
        <w:widowControl w:val="0"/>
        <w:rPr>
          <w:lang w:val="en-CA"/>
        </w:rPr>
      </w:pPr>
      <w:r w:rsidRPr="002A198E">
        <w:rPr>
          <w:lang w:val="en-CA"/>
        </w:rPr>
        <w:t xml:space="preserve">The </w:t>
      </w:r>
      <w:r w:rsidR="00090693">
        <w:rPr>
          <w:lang w:val="en-CA"/>
        </w:rPr>
        <w:t xml:space="preserve">2014 </w:t>
      </w:r>
      <w:r w:rsidRPr="002A198E">
        <w:rPr>
          <w:lang w:val="en-CA"/>
        </w:rPr>
        <w:t>Mayo Moran AODA Independent Review</w:t>
      </w:r>
      <w:r w:rsidR="00074B81">
        <w:rPr>
          <w:lang w:val="en-CA"/>
        </w:rPr>
        <w:t xml:space="preserve"> Report</w:t>
      </w:r>
      <w:r w:rsidRPr="002A198E">
        <w:rPr>
          <w:lang w:val="en-CA"/>
        </w:rPr>
        <w:t xml:space="preserve"> </w:t>
      </w:r>
      <w:r w:rsidR="00317713">
        <w:rPr>
          <w:lang w:val="en-CA"/>
        </w:rPr>
        <w:t xml:space="preserve">found that the Ontario Government's AODA enforcement was too weak, and was much less open and transparent than its enforcement of several other laws. It </w:t>
      </w:r>
      <w:r w:rsidRPr="002A198E">
        <w:rPr>
          <w:lang w:val="en-CA"/>
        </w:rPr>
        <w:t xml:space="preserve">made important recommendations </w:t>
      </w:r>
      <w:r w:rsidR="00D44C1A">
        <w:rPr>
          <w:lang w:val="en-CA"/>
        </w:rPr>
        <w:t>to substantially increase AODA enforcement</w:t>
      </w:r>
      <w:r w:rsidR="00317713">
        <w:rPr>
          <w:lang w:val="en-CA"/>
        </w:rPr>
        <w:t xml:space="preserve"> and it</w:t>
      </w:r>
      <w:r w:rsidR="00D44C1A">
        <w:rPr>
          <w:lang w:val="en-CA"/>
        </w:rPr>
        <w:t xml:space="preserve">s </w:t>
      </w:r>
      <w:r w:rsidRPr="002A198E">
        <w:rPr>
          <w:lang w:val="en-CA"/>
        </w:rPr>
        <w:t>openness and transparency</w:t>
      </w:r>
      <w:r w:rsidR="00C45D3A">
        <w:rPr>
          <w:lang w:val="en-CA"/>
        </w:rPr>
        <w:t xml:space="preserve">. </w:t>
      </w:r>
      <w:r w:rsidR="00F02B4C">
        <w:rPr>
          <w:lang w:val="en-CA"/>
        </w:rPr>
        <w:t xml:space="preserve">It urged the Ontario Government to issue prompt quarterly reports on such things as </w:t>
      </w:r>
      <w:r w:rsidR="008663B6">
        <w:rPr>
          <w:lang w:val="en-CA"/>
        </w:rPr>
        <w:t xml:space="preserve">AODA </w:t>
      </w:r>
      <w:r w:rsidR="00F02B4C">
        <w:rPr>
          <w:lang w:val="en-CA"/>
        </w:rPr>
        <w:t>orders issued, penalties imposed, appeals launched and their results</w:t>
      </w:r>
      <w:r w:rsidR="00DE687F">
        <w:rPr>
          <w:lang w:val="en-CA"/>
        </w:rPr>
        <w:t xml:space="preserve">, to </w:t>
      </w:r>
      <w:r w:rsidR="00317713">
        <w:rPr>
          <w:lang w:val="en-CA"/>
        </w:rPr>
        <w:t xml:space="preserve">increase compliance and let consumers direct their businesses to accessible organizations. </w:t>
      </w:r>
      <w:r w:rsidR="00F02B4C">
        <w:rPr>
          <w:lang w:val="en-CA"/>
        </w:rPr>
        <w:t xml:space="preserve">  </w:t>
      </w:r>
      <w:r w:rsidR="00C45D3A">
        <w:rPr>
          <w:lang w:val="en-CA"/>
        </w:rPr>
        <w:t xml:space="preserve"> </w:t>
      </w:r>
    </w:p>
    <w:p w14:paraId="04A38967" w14:textId="77777777" w:rsidR="004B4634" w:rsidRPr="002A198E" w:rsidRDefault="004B4634" w:rsidP="002A198E">
      <w:pPr>
        <w:widowControl w:val="0"/>
        <w:rPr>
          <w:lang w:val="en-CA"/>
        </w:rPr>
      </w:pPr>
    </w:p>
    <w:p w14:paraId="10DAE93F" w14:textId="77777777" w:rsidR="004B4634" w:rsidRPr="002A198E" w:rsidRDefault="002C5454" w:rsidP="002A198E">
      <w:pPr>
        <w:widowControl w:val="0"/>
        <w:rPr>
          <w:lang w:val="en-CA"/>
        </w:rPr>
      </w:pPr>
      <w:r>
        <w:rPr>
          <w:lang w:val="en-CA"/>
        </w:rPr>
        <w:t xml:space="preserve">CDA enforcement should include an in-built </w:t>
      </w:r>
      <w:r w:rsidR="004B4634" w:rsidRPr="002A198E">
        <w:rPr>
          <w:lang w:val="en-CA"/>
        </w:rPr>
        <w:t xml:space="preserve">educational </w:t>
      </w:r>
      <w:r w:rsidR="00F8216B" w:rsidRPr="002A198E">
        <w:rPr>
          <w:lang w:val="en-CA"/>
        </w:rPr>
        <w:t>feature</w:t>
      </w:r>
      <w:r w:rsidR="00F8216B">
        <w:rPr>
          <w:lang w:val="en-CA"/>
        </w:rPr>
        <w:t xml:space="preserve">. </w:t>
      </w:r>
      <w:r w:rsidR="00F8216B" w:rsidRPr="002A198E">
        <w:rPr>
          <w:lang w:val="en-CA"/>
        </w:rPr>
        <w:t>The</w:t>
      </w:r>
      <w:r w:rsidR="004B4634" w:rsidRPr="002A198E">
        <w:rPr>
          <w:lang w:val="en-CA"/>
        </w:rPr>
        <w:t xml:space="preserve"> initial enforcement </w:t>
      </w:r>
      <w:r w:rsidR="002E66E6">
        <w:rPr>
          <w:lang w:val="en-CA"/>
        </w:rPr>
        <w:t xml:space="preserve">step </w:t>
      </w:r>
      <w:r w:rsidR="004B4634" w:rsidRPr="002A198E">
        <w:rPr>
          <w:lang w:val="en-CA"/>
        </w:rPr>
        <w:t>should be a compliance order</w:t>
      </w:r>
      <w:r w:rsidR="002E66E6">
        <w:rPr>
          <w:lang w:val="en-CA"/>
        </w:rPr>
        <w:t xml:space="preserve">, giving </w:t>
      </w:r>
      <w:r w:rsidR="004B4634" w:rsidRPr="002A198E">
        <w:rPr>
          <w:lang w:val="en-CA"/>
        </w:rPr>
        <w:t xml:space="preserve">an organization a short time to bring itself into compliance. </w:t>
      </w:r>
      <w:r w:rsidR="002E66E6">
        <w:rPr>
          <w:lang w:val="en-CA"/>
        </w:rPr>
        <w:t>M</w:t>
      </w:r>
      <w:r w:rsidR="004B4634" w:rsidRPr="002A198E">
        <w:rPr>
          <w:lang w:val="en-CA"/>
        </w:rPr>
        <w:t>onetary penalt</w:t>
      </w:r>
      <w:r w:rsidR="002E66E6">
        <w:rPr>
          <w:lang w:val="en-CA"/>
        </w:rPr>
        <w:t>ies</w:t>
      </w:r>
      <w:r w:rsidR="004B4634" w:rsidRPr="002A198E">
        <w:rPr>
          <w:lang w:val="en-CA"/>
        </w:rPr>
        <w:t xml:space="preserve"> and </w:t>
      </w:r>
      <w:r w:rsidR="002E66E6">
        <w:rPr>
          <w:lang w:val="en-CA"/>
        </w:rPr>
        <w:t xml:space="preserve">other </w:t>
      </w:r>
      <w:r w:rsidR="004B4634" w:rsidRPr="002A198E">
        <w:rPr>
          <w:lang w:val="en-CA"/>
        </w:rPr>
        <w:t>order</w:t>
      </w:r>
      <w:r w:rsidR="002E66E6">
        <w:rPr>
          <w:lang w:val="en-CA"/>
        </w:rPr>
        <w:t>s</w:t>
      </w:r>
      <w:r w:rsidR="004B4634" w:rsidRPr="002A198E">
        <w:rPr>
          <w:lang w:val="en-CA"/>
        </w:rPr>
        <w:t xml:space="preserve"> should </w:t>
      </w:r>
      <w:r w:rsidR="004F2F34">
        <w:rPr>
          <w:lang w:val="en-CA"/>
        </w:rPr>
        <w:t xml:space="preserve">quickly </w:t>
      </w:r>
      <w:r w:rsidR="004B4634" w:rsidRPr="002A198E">
        <w:rPr>
          <w:lang w:val="en-CA"/>
        </w:rPr>
        <w:t xml:space="preserve">follow if that compliance order is violated. </w:t>
      </w:r>
    </w:p>
    <w:p w14:paraId="3932CB89" w14:textId="77777777" w:rsidR="004B4634" w:rsidRPr="002A198E" w:rsidRDefault="004B4634" w:rsidP="002A198E">
      <w:pPr>
        <w:widowControl w:val="0"/>
        <w:rPr>
          <w:lang w:val="en-CA"/>
        </w:rPr>
      </w:pPr>
    </w:p>
    <w:p w14:paraId="6CB722B4" w14:textId="624F486D" w:rsidR="003C70BA" w:rsidRDefault="004B4634" w:rsidP="002A198E">
      <w:pPr>
        <w:widowControl w:val="0"/>
        <w:rPr>
          <w:lang w:val="en-CA"/>
        </w:rPr>
      </w:pPr>
      <w:r w:rsidRPr="002A198E">
        <w:rPr>
          <w:lang w:val="en-CA"/>
        </w:rPr>
        <w:t xml:space="preserve">The </w:t>
      </w:r>
      <w:r w:rsidR="00215D2A">
        <w:rPr>
          <w:lang w:val="en-CA"/>
        </w:rPr>
        <w:t xml:space="preserve">CDA </w:t>
      </w:r>
      <w:r w:rsidRPr="002A198E">
        <w:rPr>
          <w:lang w:val="en-CA"/>
        </w:rPr>
        <w:t xml:space="preserve">should </w:t>
      </w:r>
      <w:r w:rsidR="000F4B34">
        <w:rPr>
          <w:lang w:val="en-CA"/>
        </w:rPr>
        <w:t xml:space="preserve">give the public </w:t>
      </w:r>
      <w:r w:rsidRPr="002A198E">
        <w:rPr>
          <w:lang w:val="en-CA"/>
        </w:rPr>
        <w:t xml:space="preserve">a clear, open and accessible way to lodge complaints </w:t>
      </w:r>
      <w:r w:rsidR="00074B81">
        <w:rPr>
          <w:lang w:val="en-CA"/>
        </w:rPr>
        <w:t xml:space="preserve">and seek enforcement </w:t>
      </w:r>
      <w:r w:rsidRPr="002A198E">
        <w:rPr>
          <w:lang w:val="en-CA"/>
        </w:rPr>
        <w:t xml:space="preserve">with the </w:t>
      </w:r>
      <w:r w:rsidR="000F4B34">
        <w:rPr>
          <w:lang w:val="en-CA"/>
        </w:rPr>
        <w:t xml:space="preserve">CDA </w:t>
      </w:r>
      <w:r w:rsidRPr="002A198E">
        <w:rPr>
          <w:lang w:val="en-CA"/>
        </w:rPr>
        <w:t xml:space="preserve">enforcement agency. The Federal Government should not simply tell </w:t>
      </w:r>
      <w:r w:rsidR="00E46146">
        <w:rPr>
          <w:lang w:val="en-CA"/>
        </w:rPr>
        <w:t xml:space="preserve">members of </w:t>
      </w:r>
      <w:r w:rsidRPr="002A198E">
        <w:rPr>
          <w:lang w:val="en-CA"/>
        </w:rPr>
        <w:t xml:space="preserve">the public </w:t>
      </w:r>
      <w:r w:rsidR="00317713">
        <w:rPr>
          <w:lang w:val="en-CA"/>
        </w:rPr>
        <w:t xml:space="preserve">to </w:t>
      </w:r>
      <w:r w:rsidR="001333F3">
        <w:rPr>
          <w:lang w:val="en-CA"/>
        </w:rPr>
        <w:t xml:space="preserve">privately launch </w:t>
      </w:r>
      <w:r w:rsidR="00CC07E9">
        <w:rPr>
          <w:lang w:val="en-CA"/>
        </w:rPr>
        <w:t xml:space="preserve">a </w:t>
      </w:r>
      <w:r w:rsidRPr="002A198E">
        <w:rPr>
          <w:lang w:val="en-CA"/>
        </w:rPr>
        <w:t xml:space="preserve">human rights or </w:t>
      </w:r>
      <w:r w:rsidRPr="008A1818">
        <w:rPr>
          <w:i/>
          <w:lang w:val="en-CA"/>
        </w:rPr>
        <w:t>Charter</w:t>
      </w:r>
      <w:r w:rsidRPr="002A198E">
        <w:rPr>
          <w:lang w:val="en-CA"/>
        </w:rPr>
        <w:t xml:space="preserve"> complaint. </w:t>
      </w:r>
      <w:r w:rsidR="00CC07E9">
        <w:rPr>
          <w:lang w:val="en-CA"/>
        </w:rPr>
        <w:t>The CDA aim</w:t>
      </w:r>
      <w:r w:rsidR="003771F6">
        <w:rPr>
          <w:lang w:val="en-CA"/>
        </w:rPr>
        <w:t>s</w:t>
      </w:r>
      <w:r w:rsidR="00CC07E9">
        <w:rPr>
          <w:lang w:val="en-CA"/>
        </w:rPr>
        <w:t xml:space="preserve"> </w:t>
      </w:r>
      <w:r w:rsidRPr="002A198E">
        <w:rPr>
          <w:lang w:val="en-CA"/>
        </w:rPr>
        <w:t xml:space="preserve">to dramatically reduce the need for individuals to </w:t>
      </w:r>
      <w:r w:rsidR="00535D7F">
        <w:rPr>
          <w:lang w:val="en-CA"/>
        </w:rPr>
        <w:t xml:space="preserve">have to undertake that hardship. </w:t>
      </w:r>
    </w:p>
    <w:p w14:paraId="48BB4EB9" w14:textId="77777777" w:rsidR="003C70BA" w:rsidRDefault="003C70BA" w:rsidP="002A198E">
      <w:pPr>
        <w:widowControl w:val="0"/>
        <w:rPr>
          <w:lang w:val="en-CA"/>
        </w:rPr>
      </w:pPr>
    </w:p>
    <w:p w14:paraId="54C7E872" w14:textId="070B0E49" w:rsidR="003C70BA" w:rsidRDefault="00747545" w:rsidP="002A198E">
      <w:pPr>
        <w:widowControl w:val="0"/>
        <w:rPr>
          <w:lang w:val="en-CA"/>
        </w:rPr>
      </w:pPr>
      <w:r>
        <w:rPr>
          <w:lang w:val="en-CA"/>
        </w:rPr>
        <w:t xml:space="preserve">The CDA enforcement agency can't </w:t>
      </w:r>
      <w:r w:rsidR="004B4634" w:rsidRPr="002A198E">
        <w:rPr>
          <w:lang w:val="en-CA"/>
        </w:rPr>
        <w:t xml:space="preserve">ensure a federal investigation of every </w:t>
      </w:r>
      <w:r>
        <w:rPr>
          <w:lang w:val="en-CA"/>
        </w:rPr>
        <w:t xml:space="preserve">CDA </w:t>
      </w:r>
      <w:r w:rsidR="00BE7259">
        <w:rPr>
          <w:lang w:val="en-CA"/>
        </w:rPr>
        <w:t xml:space="preserve">complaint. Like a police force and other law enforcers, the CDA enforcement agency </w:t>
      </w:r>
      <w:r w:rsidR="004B4634" w:rsidRPr="002A198E">
        <w:rPr>
          <w:lang w:val="en-CA"/>
        </w:rPr>
        <w:t xml:space="preserve">will </w:t>
      </w:r>
      <w:r w:rsidR="00BE7259">
        <w:rPr>
          <w:lang w:val="en-CA"/>
        </w:rPr>
        <w:t xml:space="preserve">need </w:t>
      </w:r>
      <w:r w:rsidR="004B4634" w:rsidRPr="002A198E">
        <w:rPr>
          <w:lang w:val="en-CA"/>
        </w:rPr>
        <w:t xml:space="preserve">discretion to set enforcement priorities. </w:t>
      </w:r>
      <w:r w:rsidR="00966CB9" w:rsidRPr="002A198E">
        <w:rPr>
          <w:lang w:val="en-CA"/>
        </w:rPr>
        <w:t>However</w:t>
      </w:r>
      <w:r w:rsidR="000916B7">
        <w:rPr>
          <w:lang w:val="en-CA"/>
        </w:rPr>
        <w:t>, w</w:t>
      </w:r>
      <w:r w:rsidR="004B4634" w:rsidRPr="002A198E">
        <w:rPr>
          <w:lang w:val="en-CA"/>
        </w:rPr>
        <w:t xml:space="preserve">here a </w:t>
      </w:r>
      <w:r w:rsidR="000916B7">
        <w:rPr>
          <w:lang w:val="en-CA"/>
        </w:rPr>
        <w:t xml:space="preserve">CDA </w:t>
      </w:r>
      <w:r w:rsidR="004B4634" w:rsidRPr="002A198E">
        <w:rPr>
          <w:lang w:val="en-CA"/>
        </w:rPr>
        <w:t xml:space="preserve">complaint warrants enforcement action, the enforcement agency should act on it. </w:t>
      </w:r>
      <w:r w:rsidR="000916B7">
        <w:rPr>
          <w:lang w:val="en-CA"/>
        </w:rPr>
        <w:t xml:space="preserve">CDA </w:t>
      </w:r>
      <w:r w:rsidR="004B4634" w:rsidRPr="002A198E">
        <w:rPr>
          <w:lang w:val="en-CA"/>
        </w:rPr>
        <w:t xml:space="preserve">complaints </w:t>
      </w:r>
      <w:r w:rsidR="00074B81">
        <w:rPr>
          <w:lang w:val="en-CA"/>
        </w:rPr>
        <w:t xml:space="preserve">cannot </w:t>
      </w:r>
      <w:r w:rsidR="000916B7">
        <w:rPr>
          <w:lang w:val="en-CA"/>
        </w:rPr>
        <w:t>just</w:t>
      </w:r>
      <w:r w:rsidR="00074B81">
        <w:rPr>
          <w:lang w:val="en-CA"/>
        </w:rPr>
        <w:t xml:space="preserve"> be</w:t>
      </w:r>
      <w:r w:rsidR="000916B7">
        <w:rPr>
          <w:lang w:val="en-CA"/>
        </w:rPr>
        <w:t xml:space="preserve"> </w:t>
      </w:r>
      <w:r w:rsidR="00074B81">
        <w:rPr>
          <w:lang w:val="en-CA"/>
        </w:rPr>
        <w:t xml:space="preserve">used as </w:t>
      </w:r>
      <w:r w:rsidR="000916B7">
        <w:rPr>
          <w:lang w:val="en-CA"/>
        </w:rPr>
        <w:t xml:space="preserve">a data source </w:t>
      </w:r>
      <w:r w:rsidR="004B4634" w:rsidRPr="002A198E">
        <w:rPr>
          <w:lang w:val="en-CA"/>
        </w:rPr>
        <w:t>to track trends.</w:t>
      </w:r>
      <w:r w:rsidR="00BF69E7">
        <w:rPr>
          <w:lang w:val="en-CA"/>
        </w:rPr>
        <w:t xml:space="preserve"> </w:t>
      </w:r>
    </w:p>
    <w:p w14:paraId="142D4412" w14:textId="77777777" w:rsidR="003C70BA" w:rsidRDefault="003C70BA" w:rsidP="002A198E">
      <w:pPr>
        <w:widowControl w:val="0"/>
        <w:rPr>
          <w:lang w:val="en-CA"/>
        </w:rPr>
      </w:pPr>
    </w:p>
    <w:p w14:paraId="2799142C" w14:textId="1855796E" w:rsidR="004B4634" w:rsidRPr="002A198E" w:rsidRDefault="00BF69E7" w:rsidP="00D1409F">
      <w:pPr>
        <w:rPr>
          <w:lang w:val="en-CA"/>
        </w:rPr>
      </w:pPr>
      <w:r>
        <w:rPr>
          <w:lang w:val="en-CA"/>
        </w:rPr>
        <w:t>The AODA falls short on this score.</w:t>
      </w:r>
      <w:r w:rsidR="003C70BA">
        <w:rPr>
          <w:lang w:val="en-CA"/>
        </w:rPr>
        <w:t xml:space="preserve"> </w:t>
      </w:r>
      <w:r w:rsidR="004B4634" w:rsidRPr="002A198E">
        <w:rPr>
          <w:lang w:val="en-CA"/>
        </w:rPr>
        <w:t xml:space="preserve">Ontario commendably set up a toll-free number for the public to report AODA violations. It took months of delay and community pressure to get the Ontario Government to act on </w:t>
      </w:r>
      <w:r w:rsidR="009E6ADC">
        <w:rPr>
          <w:lang w:val="en-CA"/>
        </w:rPr>
        <w:t xml:space="preserve">its promise to do so. </w:t>
      </w:r>
      <w:r w:rsidR="00317713">
        <w:rPr>
          <w:lang w:val="en-CA"/>
        </w:rPr>
        <w:t>Yet t</w:t>
      </w:r>
      <w:r w:rsidR="009E6ADC">
        <w:rPr>
          <w:lang w:val="en-CA"/>
        </w:rPr>
        <w:t xml:space="preserve">he Ontario Government </w:t>
      </w:r>
      <w:r w:rsidR="004B4634" w:rsidRPr="002A198E">
        <w:rPr>
          <w:lang w:val="en-CA"/>
        </w:rPr>
        <w:t>has not kept its promise to publicize that phone number for AODA complaints.</w:t>
      </w:r>
      <w:r w:rsidR="00D1409F">
        <w:rPr>
          <w:rStyle w:val="EndnoteReference"/>
          <w:lang w:val="en-CA"/>
        </w:rPr>
        <w:endnoteReference w:id="61"/>
      </w:r>
      <w:r w:rsidR="00074B81">
        <w:rPr>
          <w:lang w:val="en-CA"/>
        </w:rPr>
        <w:t xml:space="preserve"> Further, t</w:t>
      </w:r>
      <w:r w:rsidR="004B4634" w:rsidRPr="002A198E">
        <w:rPr>
          <w:lang w:val="en-CA"/>
        </w:rPr>
        <w:t xml:space="preserve">here is no public indication that the Ontario Government has used </w:t>
      </w:r>
      <w:r w:rsidR="00FE47F3">
        <w:rPr>
          <w:lang w:val="en-CA"/>
        </w:rPr>
        <w:t xml:space="preserve">any </w:t>
      </w:r>
      <w:r w:rsidR="00317713">
        <w:rPr>
          <w:lang w:val="en-CA"/>
        </w:rPr>
        <w:t xml:space="preserve">specific </w:t>
      </w:r>
      <w:r w:rsidR="004B4634" w:rsidRPr="002A198E">
        <w:rPr>
          <w:lang w:val="en-CA"/>
        </w:rPr>
        <w:t>complaints to initiate AODA enforcemen</w:t>
      </w:r>
      <w:r w:rsidR="00FE47F3">
        <w:rPr>
          <w:lang w:val="en-CA"/>
        </w:rPr>
        <w:t>t</w:t>
      </w:r>
      <w:r w:rsidR="004B4634" w:rsidRPr="002A198E">
        <w:rPr>
          <w:lang w:val="en-CA"/>
        </w:rPr>
        <w:t>.</w:t>
      </w:r>
    </w:p>
    <w:p w14:paraId="36A7A737" w14:textId="77777777" w:rsidR="004B4634" w:rsidRPr="002A198E" w:rsidRDefault="004B4634" w:rsidP="002A198E">
      <w:pPr>
        <w:widowControl w:val="0"/>
        <w:rPr>
          <w:lang w:val="en-CA"/>
        </w:rPr>
      </w:pPr>
    </w:p>
    <w:p w14:paraId="58C6AA8B" w14:textId="4A897BAA" w:rsidR="004B4634" w:rsidRPr="002A198E" w:rsidRDefault="00074B81" w:rsidP="002A198E">
      <w:pPr>
        <w:widowControl w:val="0"/>
        <w:rPr>
          <w:lang w:val="en-CA"/>
        </w:rPr>
      </w:pPr>
      <w:r>
        <w:rPr>
          <w:lang w:val="en-CA"/>
        </w:rPr>
        <w:t>A cost-</w:t>
      </w:r>
      <w:r w:rsidR="004B4634" w:rsidRPr="002A198E">
        <w:rPr>
          <w:lang w:val="en-CA"/>
        </w:rPr>
        <w:t xml:space="preserve">effective way to </w:t>
      </w:r>
      <w:r w:rsidR="000675A0">
        <w:rPr>
          <w:lang w:val="en-CA"/>
        </w:rPr>
        <w:t xml:space="preserve">augment </w:t>
      </w:r>
      <w:r w:rsidR="00FE4494">
        <w:rPr>
          <w:lang w:val="en-CA"/>
        </w:rPr>
        <w:t xml:space="preserve">any full-time CDA enforcement officials </w:t>
      </w:r>
      <w:r w:rsidR="004B4634" w:rsidRPr="002A198E">
        <w:rPr>
          <w:lang w:val="en-CA"/>
        </w:rPr>
        <w:t xml:space="preserve">is for the federal government to also </w:t>
      </w:r>
      <w:r w:rsidR="00B323A4">
        <w:rPr>
          <w:lang w:val="en-CA"/>
        </w:rPr>
        <w:t xml:space="preserve">give a CDA enforcement mandate to </w:t>
      </w:r>
      <w:r w:rsidR="00FE4494">
        <w:rPr>
          <w:lang w:val="en-CA"/>
        </w:rPr>
        <w:t xml:space="preserve">inspectors and enforcers </w:t>
      </w:r>
      <w:r w:rsidR="004B4634" w:rsidRPr="002A198E">
        <w:rPr>
          <w:lang w:val="en-CA"/>
        </w:rPr>
        <w:t xml:space="preserve">under other federal laws. </w:t>
      </w:r>
      <w:r w:rsidR="00FE4494">
        <w:rPr>
          <w:lang w:val="en-CA"/>
        </w:rPr>
        <w:t xml:space="preserve">When </w:t>
      </w:r>
      <w:r w:rsidR="004B4634" w:rsidRPr="002A198E">
        <w:rPr>
          <w:lang w:val="en-CA"/>
        </w:rPr>
        <w:t xml:space="preserve">visiting a federally-regulated organization for any reason, they could also eyeball the organization for </w:t>
      </w:r>
      <w:r w:rsidR="00FE4494">
        <w:rPr>
          <w:lang w:val="en-CA"/>
        </w:rPr>
        <w:t xml:space="preserve">CDA </w:t>
      </w:r>
      <w:r w:rsidR="004B4634" w:rsidRPr="002A198E">
        <w:rPr>
          <w:lang w:val="en-CA"/>
        </w:rPr>
        <w:t xml:space="preserve">compliance. The Ontario government committed to explore this in the 2014 election. </w:t>
      </w:r>
    </w:p>
    <w:p w14:paraId="58896DDC" w14:textId="77777777" w:rsidR="00B323A4" w:rsidRDefault="00B323A4" w:rsidP="0092191A"/>
    <w:p w14:paraId="2B48892F" w14:textId="31749118" w:rsidR="0092191A" w:rsidRDefault="0092191A" w:rsidP="0092191A">
      <w:r>
        <w:t>The Federal Government's Discussion Guide asks about the possibility of requiring organizations to submit accessibility plans and accessibility reports on their progress.</w:t>
      </w:r>
      <w:r>
        <w:rPr>
          <w:rStyle w:val="EndnoteReference"/>
        </w:rPr>
        <w:endnoteReference w:id="62"/>
      </w:r>
      <w:r>
        <w:t xml:space="preserve"> Here again, Onta</w:t>
      </w:r>
      <w:r w:rsidR="00074B81">
        <w:t>rio experience helps. AODA ss. 14-17</w:t>
      </w:r>
      <w:r>
        <w:t xml:space="preserve"> provides for organizations to be required to file accessibility compliance self-reports. The AODA's Integrated Acc</w:t>
      </w:r>
      <w:r w:rsidR="008A1818">
        <w:t>essibility Standards Regulation</w:t>
      </w:r>
      <w:r>
        <w:t xml:space="preserve"> requires some obligated organizations to prepare multi-year accessibility standards plans, and to then prepare annual reports on progress under them.</w:t>
      </w:r>
      <w:r>
        <w:rPr>
          <w:rStyle w:val="EndnoteReference"/>
        </w:rPr>
        <w:endnoteReference w:id="63"/>
      </w:r>
    </w:p>
    <w:p w14:paraId="18C39802" w14:textId="77777777" w:rsidR="0092191A" w:rsidRDefault="0092191A" w:rsidP="0092191A"/>
    <w:p w14:paraId="22AB4697" w14:textId="0051A6B1" w:rsidR="0092191A" w:rsidRDefault="0092191A" w:rsidP="0092191A">
      <w:r>
        <w:t xml:space="preserve">Requiring </w:t>
      </w:r>
      <w:r w:rsidR="00AC3F6B">
        <w:t xml:space="preserve">organizations to file </w:t>
      </w:r>
      <w:r>
        <w:t xml:space="preserve">accessibility compliance self-reports has some value, if </w:t>
      </w:r>
      <w:r w:rsidR="00556E58">
        <w:t xml:space="preserve">this requirement is </w:t>
      </w:r>
      <w:r>
        <w:t xml:space="preserve">effectively enforced. </w:t>
      </w:r>
      <w:r w:rsidR="00040FE8">
        <w:t>R</w:t>
      </w:r>
      <w:r>
        <w:t xml:space="preserve">eports should </w:t>
      </w:r>
      <w:r w:rsidR="00CD6EF4">
        <w:t xml:space="preserve">include </w:t>
      </w:r>
      <w:r>
        <w:t xml:space="preserve">details on what the organization has </w:t>
      </w:r>
      <w:r>
        <w:lastRenderedPageBreak/>
        <w:t xml:space="preserve">done and plans to do on accessibility. </w:t>
      </w:r>
      <w:r w:rsidR="00835A26">
        <w:t xml:space="preserve">Where </w:t>
      </w:r>
      <w:r>
        <w:t xml:space="preserve">accessibility standards self-reports merely require an organization to tick boxes, as in Ontario, they are far less effective. </w:t>
      </w:r>
    </w:p>
    <w:p w14:paraId="1FBFDBBC" w14:textId="77777777" w:rsidR="0092191A" w:rsidRDefault="0092191A" w:rsidP="0092191A"/>
    <w:p w14:paraId="1E5D7CB6" w14:textId="7859D4E1" w:rsidR="0092191A" w:rsidRDefault="00FD0E14" w:rsidP="0092191A">
      <w:r>
        <w:t>A</w:t>
      </w:r>
      <w:r w:rsidR="0092191A">
        <w:t>ccessibility standards compliance self-reports, accessibility plans and status updates on plans shou</w:t>
      </w:r>
      <w:r w:rsidR="008A1818">
        <w:t>ld be required to be posted onl</w:t>
      </w:r>
      <w:r w:rsidR="0092191A">
        <w:t xml:space="preserve">ine, and otherwise be readily open to public inspection. </w:t>
      </w:r>
      <w:r w:rsidR="00B13AC1">
        <w:t xml:space="preserve">The </w:t>
      </w:r>
      <w:r w:rsidR="00B13AC1" w:rsidRPr="00B13AC1">
        <w:t xml:space="preserve">Government </w:t>
      </w:r>
      <w:r w:rsidR="00B13AC1">
        <w:t xml:space="preserve"> should, where possible, make them available in a searchable platform. </w:t>
      </w:r>
      <w:r w:rsidR="0092191A">
        <w:t xml:space="preserve">This </w:t>
      </w:r>
      <w:r w:rsidR="00E86BBF">
        <w:t xml:space="preserve">motivates </w:t>
      </w:r>
      <w:r w:rsidR="0092191A">
        <w:t xml:space="preserve">organizations to ensure they are accurate and complete. Public scrutiny </w:t>
      </w:r>
      <w:r w:rsidR="008A1818">
        <w:t xml:space="preserve">effectively </w:t>
      </w:r>
      <w:r w:rsidR="0092191A">
        <w:t>crowd-source</w:t>
      </w:r>
      <w:r w:rsidR="00E86BBF">
        <w:t>s</w:t>
      </w:r>
      <w:r w:rsidR="0092191A">
        <w:t xml:space="preserve"> monitoring.</w:t>
      </w:r>
    </w:p>
    <w:p w14:paraId="03861B8D" w14:textId="77777777" w:rsidR="00E86BBF" w:rsidRDefault="00E86BBF" w:rsidP="002A198E">
      <w:pPr>
        <w:widowControl w:val="0"/>
        <w:rPr>
          <w:lang w:val="en-CA"/>
        </w:rPr>
      </w:pPr>
    </w:p>
    <w:p w14:paraId="4ADBA3FF" w14:textId="77777777" w:rsidR="00C81159" w:rsidRDefault="004B4634" w:rsidP="002A198E">
      <w:pPr>
        <w:widowControl w:val="0"/>
        <w:rPr>
          <w:lang w:val="en-CA"/>
        </w:rPr>
      </w:pPr>
      <w:r w:rsidRPr="002A198E">
        <w:rPr>
          <w:lang w:val="en-CA"/>
        </w:rPr>
        <w:t xml:space="preserve">The </w:t>
      </w:r>
      <w:r w:rsidR="00076B52">
        <w:rPr>
          <w:lang w:val="en-CA"/>
        </w:rPr>
        <w:t xml:space="preserve">CDA </w:t>
      </w:r>
      <w:r w:rsidRPr="002A198E">
        <w:rPr>
          <w:lang w:val="en-CA"/>
        </w:rPr>
        <w:t xml:space="preserve">should </w:t>
      </w:r>
      <w:r w:rsidR="000F111A">
        <w:rPr>
          <w:lang w:val="en-CA"/>
        </w:rPr>
        <w:t xml:space="preserve">designate </w:t>
      </w:r>
      <w:r w:rsidRPr="002A198E">
        <w:rPr>
          <w:lang w:val="en-CA"/>
        </w:rPr>
        <w:t>a</w:t>
      </w:r>
      <w:r w:rsidR="000F111A">
        <w:rPr>
          <w:lang w:val="en-CA"/>
        </w:rPr>
        <w:t>n</w:t>
      </w:r>
      <w:r w:rsidRPr="002A198E">
        <w:rPr>
          <w:lang w:val="en-CA"/>
        </w:rPr>
        <w:t xml:space="preserve"> administrative tribunal, with appropriate disability equality </w:t>
      </w:r>
      <w:r w:rsidR="00AB75D2" w:rsidRPr="002A198E">
        <w:rPr>
          <w:lang w:val="en-CA"/>
        </w:rPr>
        <w:t>expertise,</w:t>
      </w:r>
      <w:r w:rsidRPr="002A198E">
        <w:rPr>
          <w:lang w:val="en-CA"/>
        </w:rPr>
        <w:t xml:space="preserve"> to </w:t>
      </w:r>
      <w:r w:rsidR="00EB68BD">
        <w:rPr>
          <w:lang w:val="en-CA"/>
        </w:rPr>
        <w:t xml:space="preserve">hold </w:t>
      </w:r>
      <w:r w:rsidR="00AD2F10">
        <w:rPr>
          <w:lang w:val="en-CA"/>
        </w:rPr>
        <w:t xml:space="preserve">CDA enforcement </w:t>
      </w:r>
      <w:r w:rsidRPr="002A198E">
        <w:rPr>
          <w:lang w:val="en-CA"/>
        </w:rPr>
        <w:t>hearings</w:t>
      </w:r>
      <w:r w:rsidR="00A67CDC">
        <w:rPr>
          <w:lang w:val="en-CA"/>
        </w:rPr>
        <w:t xml:space="preserve">, e.g. </w:t>
      </w:r>
      <w:r w:rsidRPr="002A198E">
        <w:rPr>
          <w:lang w:val="en-CA"/>
        </w:rPr>
        <w:t xml:space="preserve">the Canadian </w:t>
      </w:r>
      <w:r w:rsidR="004F3767">
        <w:rPr>
          <w:lang w:val="en-CA"/>
        </w:rPr>
        <w:t>H</w:t>
      </w:r>
      <w:r w:rsidRPr="002A198E">
        <w:rPr>
          <w:lang w:val="en-CA"/>
        </w:rPr>
        <w:t>u</w:t>
      </w:r>
      <w:r w:rsidR="004F3767">
        <w:rPr>
          <w:lang w:val="en-CA"/>
        </w:rPr>
        <w:t>man R</w:t>
      </w:r>
      <w:r w:rsidRPr="002A198E">
        <w:rPr>
          <w:lang w:val="en-CA"/>
        </w:rPr>
        <w:t xml:space="preserve">ights Tribunal. </w:t>
      </w:r>
    </w:p>
    <w:p w14:paraId="672F5B2E" w14:textId="77777777" w:rsidR="00C81159" w:rsidRDefault="00C81159" w:rsidP="002A198E">
      <w:pPr>
        <w:widowControl w:val="0"/>
        <w:rPr>
          <w:lang w:val="en-CA"/>
        </w:rPr>
      </w:pPr>
    </w:p>
    <w:p w14:paraId="1EC9E2FB" w14:textId="77777777" w:rsidR="004B4634" w:rsidRPr="002A198E" w:rsidRDefault="00C55195" w:rsidP="002A198E">
      <w:pPr>
        <w:widowControl w:val="0"/>
        <w:rPr>
          <w:lang w:val="en-CA"/>
        </w:rPr>
      </w:pPr>
      <w:r>
        <w:rPr>
          <w:lang w:val="en-CA"/>
        </w:rPr>
        <w:t>M</w:t>
      </w:r>
      <w:r w:rsidR="004B4634" w:rsidRPr="002A198E">
        <w:rPr>
          <w:lang w:val="en-CA"/>
        </w:rPr>
        <w:t xml:space="preserve">onetary penalties </w:t>
      </w:r>
      <w:r>
        <w:rPr>
          <w:lang w:val="en-CA"/>
        </w:rPr>
        <w:t xml:space="preserve">shouldn't </w:t>
      </w:r>
      <w:r w:rsidR="004B4634" w:rsidRPr="002A198E">
        <w:rPr>
          <w:lang w:val="en-CA"/>
        </w:rPr>
        <w:t xml:space="preserve">be mechanistically reduced based on the frequency of violations, as </w:t>
      </w:r>
      <w:r w:rsidR="00A67CDC">
        <w:rPr>
          <w:lang w:val="en-CA"/>
        </w:rPr>
        <w:t xml:space="preserve">Ontario now does. </w:t>
      </w:r>
      <w:r w:rsidR="004B4634" w:rsidRPr="002A198E">
        <w:rPr>
          <w:lang w:val="en-CA"/>
        </w:rPr>
        <w:t>That approach, couple</w:t>
      </w:r>
      <w:r w:rsidR="004F3767">
        <w:rPr>
          <w:lang w:val="en-CA"/>
        </w:rPr>
        <w:t>d</w:t>
      </w:r>
      <w:r w:rsidR="004B4634" w:rsidRPr="002A198E">
        <w:rPr>
          <w:lang w:val="en-CA"/>
        </w:rPr>
        <w:t xml:space="preserve"> with scant AODA enforcement, le</w:t>
      </w:r>
      <w:r w:rsidR="00A67CDC">
        <w:rPr>
          <w:lang w:val="en-CA"/>
        </w:rPr>
        <w:t>a</w:t>
      </w:r>
      <w:r w:rsidR="004B4634" w:rsidRPr="002A198E">
        <w:rPr>
          <w:lang w:val="en-CA"/>
        </w:rPr>
        <w:t>d</w:t>
      </w:r>
      <w:r w:rsidR="00A67CDC">
        <w:rPr>
          <w:lang w:val="en-CA"/>
        </w:rPr>
        <w:t>s</w:t>
      </w:r>
      <w:r w:rsidR="004B4634" w:rsidRPr="002A198E">
        <w:rPr>
          <w:lang w:val="en-CA"/>
        </w:rPr>
        <w:t xml:space="preserve"> AODA penalties to be so small as to trivialize accessibility.</w:t>
      </w:r>
      <w:r w:rsidR="00091420">
        <w:rPr>
          <w:rStyle w:val="EndnoteReference"/>
          <w:lang w:val="en-CA"/>
        </w:rPr>
        <w:endnoteReference w:id="64"/>
      </w:r>
      <w:r w:rsidR="004B4634" w:rsidRPr="002A198E">
        <w:rPr>
          <w:lang w:val="en-CA"/>
        </w:rPr>
        <w:t xml:space="preserve"> </w:t>
      </w:r>
    </w:p>
    <w:p w14:paraId="421586E8" w14:textId="77777777" w:rsidR="004B4634" w:rsidRPr="002A198E" w:rsidRDefault="004B4634" w:rsidP="002A198E">
      <w:pPr>
        <w:widowControl w:val="0"/>
        <w:rPr>
          <w:lang w:val="en-CA"/>
        </w:rPr>
      </w:pPr>
    </w:p>
    <w:p w14:paraId="4EE5564F" w14:textId="77777777" w:rsidR="004B4634" w:rsidRPr="002A198E" w:rsidRDefault="00354138" w:rsidP="002A198E">
      <w:pPr>
        <w:widowControl w:val="0"/>
        <w:rPr>
          <w:lang w:val="en-CA"/>
        </w:rPr>
      </w:pPr>
      <w:r>
        <w:rPr>
          <w:lang w:val="en-CA"/>
        </w:rPr>
        <w:t>S</w:t>
      </w:r>
      <w:r w:rsidR="004B4634" w:rsidRPr="002A198E">
        <w:rPr>
          <w:lang w:val="en-CA"/>
        </w:rPr>
        <w:t xml:space="preserve">enior officials, not just the corporate entity, </w:t>
      </w:r>
      <w:r>
        <w:rPr>
          <w:lang w:val="en-CA"/>
        </w:rPr>
        <w:t xml:space="preserve">should be </w:t>
      </w:r>
      <w:r w:rsidR="004B4634" w:rsidRPr="002A198E">
        <w:rPr>
          <w:lang w:val="en-CA"/>
        </w:rPr>
        <w:t xml:space="preserve">liable for accessibility denials within their authority. </w:t>
      </w:r>
      <w:r w:rsidR="00442B42">
        <w:rPr>
          <w:lang w:val="en-CA"/>
        </w:rPr>
        <w:t xml:space="preserve">Otherwise, </w:t>
      </w:r>
      <w:r w:rsidR="004B4634" w:rsidRPr="002A198E">
        <w:rPr>
          <w:lang w:val="en-CA"/>
        </w:rPr>
        <w:t xml:space="preserve">senior </w:t>
      </w:r>
      <w:r w:rsidR="00442B42">
        <w:rPr>
          <w:lang w:val="en-CA"/>
        </w:rPr>
        <w:t xml:space="preserve">managers </w:t>
      </w:r>
      <w:r w:rsidR="004B4634" w:rsidRPr="002A198E">
        <w:rPr>
          <w:lang w:val="en-CA"/>
        </w:rPr>
        <w:t>will feel little if any impetus to ensure that their organization compl</w:t>
      </w:r>
      <w:r w:rsidR="00442B42">
        <w:rPr>
          <w:lang w:val="en-CA"/>
        </w:rPr>
        <w:t>ies</w:t>
      </w:r>
      <w:r w:rsidR="004B4634" w:rsidRPr="002A198E">
        <w:rPr>
          <w:lang w:val="en-CA"/>
        </w:rPr>
        <w:t xml:space="preserve">. </w:t>
      </w:r>
    </w:p>
    <w:p w14:paraId="4F2D0158" w14:textId="77777777" w:rsidR="00A67CDC" w:rsidRDefault="00A67CDC" w:rsidP="002A198E">
      <w:pPr>
        <w:widowControl w:val="0"/>
        <w:rPr>
          <w:lang w:val="en-CA"/>
        </w:rPr>
      </w:pPr>
    </w:p>
    <w:p w14:paraId="0C997559" w14:textId="65F21C38" w:rsidR="004B4634" w:rsidRDefault="00541054" w:rsidP="002A198E">
      <w:pPr>
        <w:widowControl w:val="0"/>
        <w:rPr>
          <w:lang w:val="en-CA"/>
        </w:rPr>
      </w:pPr>
      <w:r>
        <w:rPr>
          <w:lang w:val="en-CA"/>
        </w:rPr>
        <w:t>To further buttress enforcement, the CDA should ratify the CRPD's Optional Protocol.</w:t>
      </w:r>
      <w:r>
        <w:rPr>
          <w:rStyle w:val="EndnoteReference"/>
          <w:lang w:val="en-CA"/>
        </w:rPr>
        <w:endnoteReference w:id="65"/>
      </w:r>
      <w:r>
        <w:rPr>
          <w:lang w:val="en-CA"/>
        </w:rPr>
        <w:t xml:space="preserve"> </w:t>
      </w:r>
      <w:r w:rsidR="00A433E4">
        <w:rPr>
          <w:lang w:val="en-CA"/>
        </w:rPr>
        <w:t xml:space="preserve">This </w:t>
      </w:r>
      <w:r w:rsidR="00B7127B">
        <w:rPr>
          <w:lang w:val="en-CA"/>
        </w:rPr>
        <w:t>long overdue</w:t>
      </w:r>
      <w:r w:rsidR="00A433E4">
        <w:rPr>
          <w:lang w:val="en-CA"/>
        </w:rPr>
        <w:t xml:space="preserve"> ratification would provide </w:t>
      </w:r>
      <w:r w:rsidR="00D55371">
        <w:rPr>
          <w:lang w:val="en-CA"/>
        </w:rPr>
        <w:t xml:space="preserve">for a much-needed level of international enforcement in circumstances where domestic enforcement </w:t>
      </w:r>
      <w:r w:rsidR="008A1818">
        <w:rPr>
          <w:lang w:val="en-CA"/>
        </w:rPr>
        <w:t>does not lead to</w:t>
      </w:r>
      <w:r w:rsidR="00D55371">
        <w:rPr>
          <w:lang w:val="en-CA"/>
        </w:rPr>
        <w:t xml:space="preserve"> sufficient action on accessibility. </w:t>
      </w:r>
    </w:p>
    <w:p w14:paraId="76378BC7" w14:textId="77777777" w:rsidR="00541054" w:rsidRPr="002A198E" w:rsidRDefault="00541054" w:rsidP="002A198E">
      <w:pPr>
        <w:widowControl w:val="0"/>
        <w:rPr>
          <w:lang w:val="en-CA"/>
        </w:rPr>
      </w:pPr>
    </w:p>
    <w:p w14:paraId="4BFA5730" w14:textId="77777777" w:rsidR="004B4634" w:rsidRPr="002A198E" w:rsidRDefault="00442B42" w:rsidP="002A198E">
      <w:pPr>
        <w:pStyle w:val="Heading2"/>
        <w:keepNext w:val="0"/>
        <w:keepLines w:val="0"/>
        <w:widowControl w:val="0"/>
        <w:spacing w:before="0"/>
        <w:rPr>
          <w:lang w:val="en-CA"/>
        </w:rPr>
      </w:pPr>
      <w:bookmarkStart w:id="19" w:name="_Toc319660887"/>
      <w:r>
        <w:rPr>
          <w:lang w:val="en-CA"/>
        </w:rPr>
        <w:t>i</w:t>
      </w:r>
      <w:r w:rsidR="00D82198" w:rsidRPr="002A198E">
        <w:rPr>
          <w:lang w:val="en-CA"/>
        </w:rPr>
        <w:t xml:space="preserve">) </w:t>
      </w:r>
      <w:r w:rsidR="004B4634" w:rsidRPr="002A198E">
        <w:rPr>
          <w:lang w:val="en-CA"/>
        </w:rPr>
        <w:t xml:space="preserve">Ensuring Strong Action on Accessibility </w:t>
      </w:r>
      <w:r w:rsidR="00695159">
        <w:rPr>
          <w:lang w:val="en-CA"/>
        </w:rPr>
        <w:t xml:space="preserve">By </w:t>
      </w:r>
      <w:r w:rsidR="004B4634" w:rsidRPr="002A198E">
        <w:rPr>
          <w:lang w:val="en-CA"/>
        </w:rPr>
        <w:t>Federal Regulatory Agencies</w:t>
      </w:r>
      <w:bookmarkEnd w:id="19"/>
    </w:p>
    <w:p w14:paraId="5DEFBD0E" w14:textId="77777777" w:rsidR="004B4634" w:rsidRPr="002A198E" w:rsidRDefault="004B4634" w:rsidP="002A198E">
      <w:pPr>
        <w:widowControl w:val="0"/>
        <w:rPr>
          <w:lang w:val="en-CA"/>
        </w:rPr>
      </w:pPr>
    </w:p>
    <w:p w14:paraId="51349C26" w14:textId="23BA9D14" w:rsidR="004B4634" w:rsidRPr="002A198E" w:rsidRDefault="008A1818" w:rsidP="002A198E">
      <w:pPr>
        <w:widowControl w:val="0"/>
        <w:rPr>
          <w:lang w:val="en-CA"/>
        </w:rPr>
      </w:pPr>
      <w:r>
        <w:rPr>
          <w:lang w:val="en-CA"/>
        </w:rPr>
        <w:t xml:space="preserve">There should </w:t>
      </w:r>
      <w:r w:rsidR="00D85DBB">
        <w:rPr>
          <w:lang w:val="en-CA"/>
        </w:rPr>
        <w:t xml:space="preserve">be </w:t>
      </w:r>
      <w:r w:rsidR="004B4634" w:rsidRPr="002A198E">
        <w:rPr>
          <w:lang w:val="en-CA"/>
        </w:rPr>
        <w:t xml:space="preserve">one </w:t>
      </w:r>
      <w:r w:rsidR="0076545C">
        <w:rPr>
          <w:lang w:val="en-CA"/>
        </w:rPr>
        <w:t xml:space="preserve">federal agency for </w:t>
      </w:r>
      <w:r w:rsidR="0011173B">
        <w:rPr>
          <w:lang w:val="en-CA"/>
        </w:rPr>
        <w:t xml:space="preserve">all </w:t>
      </w:r>
      <w:r w:rsidR="0076545C">
        <w:rPr>
          <w:lang w:val="en-CA"/>
        </w:rPr>
        <w:t xml:space="preserve">CDA </w:t>
      </w:r>
      <w:r w:rsidR="004B4634" w:rsidRPr="002A198E">
        <w:rPr>
          <w:lang w:val="en-CA"/>
        </w:rPr>
        <w:t xml:space="preserve">relief. People with disabilities </w:t>
      </w:r>
      <w:r w:rsidR="00D85DBB">
        <w:rPr>
          <w:lang w:val="en-CA"/>
        </w:rPr>
        <w:t xml:space="preserve">shouldn't </w:t>
      </w:r>
      <w:r w:rsidR="004B4634" w:rsidRPr="002A198E">
        <w:rPr>
          <w:lang w:val="en-CA"/>
        </w:rPr>
        <w:t xml:space="preserve">have to chase around the Federal Government, to find </w:t>
      </w:r>
      <w:r w:rsidR="00614096">
        <w:rPr>
          <w:lang w:val="en-CA"/>
        </w:rPr>
        <w:t xml:space="preserve">out </w:t>
      </w:r>
      <w:r w:rsidR="004B4634" w:rsidRPr="002A198E">
        <w:rPr>
          <w:lang w:val="en-CA"/>
        </w:rPr>
        <w:t xml:space="preserve">which agency </w:t>
      </w:r>
      <w:r w:rsidR="0097077E">
        <w:rPr>
          <w:lang w:val="en-CA"/>
        </w:rPr>
        <w:t xml:space="preserve">or combination of agencies </w:t>
      </w:r>
      <w:r w:rsidR="004B4634" w:rsidRPr="002A198E">
        <w:rPr>
          <w:lang w:val="en-CA"/>
        </w:rPr>
        <w:t xml:space="preserve">will enforce accessibility. </w:t>
      </w:r>
      <w:r w:rsidR="00695159">
        <w:rPr>
          <w:lang w:val="en-CA"/>
        </w:rPr>
        <w:t>N</w:t>
      </w:r>
      <w:r w:rsidR="004B4634" w:rsidRPr="002A198E">
        <w:rPr>
          <w:lang w:val="en-CA"/>
        </w:rPr>
        <w:t xml:space="preserve">ow if people with disabilities file a human </w:t>
      </w:r>
      <w:r w:rsidR="009D18D5" w:rsidRPr="002A198E">
        <w:rPr>
          <w:lang w:val="en-CA"/>
        </w:rPr>
        <w:t>rights complaint</w:t>
      </w:r>
      <w:r w:rsidR="004B4634" w:rsidRPr="002A198E">
        <w:rPr>
          <w:lang w:val="en-CA"/>
        </w:rPr>
        <w:t xml:space="preserve"> with the Canadian Human Rights Commission, they can find that all or part of it gets punted to another regulatory agency, like the CRTC or the Canada Transportation Agency. This is an </w:t>
      </w:r>
      <w:r w:rsidR="009D18D5" w:rsidRPr="002A198E">
        <w:rPr>
          <w:lang w:val="en-CA"/>
        </w:rPr>
        <w:t>unfair gift</w:t>
      </w:r>
      <w:r w:rsidR="004B4634" w:rsidRPr="002A198E">
        <w:rPr>
          <w:lang w:val="en-CA"/>
        </w:rPr>
        <w:t xml:space="preserve"> to organizations that seek to avoid timely </w:t>
      </w:r>
      <w:r w:rsidR="00F8216B" w:rsidRPr="002A198E">
        <w:rPr>
          <w:lang w:val="en-CA"/>
        </w:rPr>
        <w:t>justice</w:t>
      </w:r>
      <w:r w:rsidR="00F8216B">
        <w:rPr>
          <w:lang w:val="en-CA"/>
        </w:rPr>
        <w:t>, by</w:t>
      </w:r>
      <w:r w:rsidR="004978E3">
        <w:rPr>
          <w:lang w:val="en-CA"/>
        </w:rPr>
        <w:t xml:space="preserve"> </w:t>
      </w:r>
      <w:r w:rsidR="004B4634" w:rsidRPr="002A198E">
        <w:rPr>
          <w:lang w:val="en-CA"/>
        </w:rPr>
        <w:t>drag</w:t>
      </w:r>
      <w:r w:rsidR="004978E3">
        <w:rPr>
          <w:lang w:val="en-CA"/>
        </w:rPr>
        <w:t>ging</w:t>
      </w:r>
      <w:r w:rsidR="004B4634" w:rsidRPr="002A198E">
        <w:rPr>
          <w:lang w:val="en-CA"/>
        </w:rPr>
        <w:t xml:space="preserve"> out proceedings, throw</w:t>
      </w:r>
      <w:r w:rsidR="004978E3">
        <w:rPr>
          <w:lang w:val="en-CA"/>
        </w:rPr>
        <w:t>ing</w:t>
      </w:r>
      <w:r w:rsidR="004B4634" w:rsidRPr="002A198E">
        <w:rPr>
          <w:lang w:val="en-CA"/>
        </w:rPr>
        <w:t xml:space="preserve"> barriers in the </w:t>
      </w:r>
      <w:r w:rsidR="004978E3">
        <w:rPr>
          <w:lang w:val="en-CA"/>
        </w:rPr>
        <w:t xml:space="preserve">way, </w:t>
      </w:r>
      <w:r w:rsidR="004B4634" w:rsidRPr="002A198E">
        <w:rPr>
          <w:lang w:val="en-CA"/>
        </w:rPr>
        <w:t>and wear</w:t>
      </w:r>
      <w:r w:rsidR="004978E3">
        <w:rPr>
          <w:lang w:val="en-CA"/>
        </w:rPr>
        <w:t>ing</w:t>
      </w:r>
      <w:r w:rsidR="004B4634" w:rsidRPr="002A198E">
        <w:rPr>
          <w:lang w:val="en-CA"/>
        </w:rPr>
        <w:t xml:space="preserve"> down victims of barriers. </w:t>
      </w:r>
    </w:p>
    <w:p w14:paraId="6A574461" w14:textId="77777777" w:rsidR="004B4634" w:rsidRPr="002A198E" w:rsidRDefault="004B4634" w:rsidP="002A198E">
      <w:pPr>
        <w:widowControl w:val="0"/>
        <w:rPr>
          <w:lang w:val="en-CA"/>
        </w:rPr>
      </w:pPr>
    </w:p>
    <w:p w14:paraId="30E730A1" w14:textId="77777777" w:rsidR="009E1FB6" w:rsidRDefault="004978E3" w:rsidP="002A198E">
      <w:pPr>
        <w:widowControl w:val="0"/>
        <w:rPr>
          <w:lang w:val="en-CA"/>
        </w:rPr>
      </w:pPr>
      <w:r>
        <w:rPr>
          <w:lang w:val="en-CA"/>
        </w:rPr>
        <w:t>T</w:t>
      </w:r>
      <w:r w:rsidR="009E1FB6">
        <w:rPr>
          <w:lang w:val="en-CA"/>
        </w:rPr>
        <w:t xml:space="preserve">he </w:t>
      </w:r>
      <w:r w:rsidR="00EE1355">
        <w:rPr>
          <w:lang w:val="en-CA"/>
        </w:rPr>
        <w:t xml:space="preserve">proposed </w:t>
      </w:r>
      <w:r w:rsidR="009E1FB6">
        <w:rPr>
          <w:lang w:val="en-CA"/>
        </w:rPr>
        <w:t xml:space="preserve">new Canada Accessibility Commissioner should have lead responsibility for all accessibility standards </w:t>
      </w:r>
      <w:r w:rsidR="00EE1355">
        <w:rPr>
          <w:lang w:val="en-CA"/>
        </w:rPr>
        <w:t xml:space="preserve">development </w:t>
      </w:r>
      <w:r w:rsidR="009E1FB6">
        <w:rPr>
          <w:lang w:val="en-CA"/>
        </w:rPr>
        <w:t xml:space="preserve">and all CDA </w:t>
      </w:r>
      <w:r w:rsidR="00F8216B">
        <w:rPr>
          <w:lang w:val="en-CA"/>
        </w:rPr>
        <w:t>enforcement. The</w:t>
      </w:r>
      <w:r w:rsidR="009E1FB6">
        <w:rPr>
          <w:lang w:val="en-CA"/>
        </w:rPr>
        <w:t xml:space="preserve"> Federal Government's CDA Discussion guide impl</w:t>
      </w:r>
      <w:r w:rsidR="00E55E46">
        <w:rPr>
          <w:lang w:val="en-CA"/>
        </w:rPr>
        <w:t>ies</w:t>
      </w:r>
      <w:r w:rsidR="009E1FB6">
        <w:rPr>
          <w:lang w:val="en-CA"/>
        </w:rPr>
        <w:t xml:space="preserve"> that this may not be the case</w:t>
      </w:r>
      <w:r w:rsidR="00E55E46">
        <w:rPr>
          <w:lang w:val="en-CA"/>
        </w:rPr>
        <w:t>.</w:t>
      </w:r>
      <w:r w:rsidR="009E1FB6">
        <w:rPr>
          <w:lang w:val="en-CA"/>
        </w:rPr>
        <w:t xml:space="preserve"> </w:t>
      </w:r>
      <w:r w:rsidR="00E55E46">
        <w:rPr>
          <w:lang w:val="en-CA"/>
        </w:rPr>
        <w:t>A</w:t>
      </w:r>
      <w:r w:rsidR="00261BB9">
        <w:rPr>
          <w:lang w:val="en-CA"/>
        </w:rPr>
        <w:t>ccessibility jurisdiction might be left in part with some federal agencies such as the Canada Transportation Agency</w:t>
      </w:r>
      <w:r w:rsidR="00142E96">
        <w:rPr>
          <w:lang w:val="en-CA"/>
        </w:rPr>
        <w:t>.</w:t>
      </w:r>
      <w:r w:rsidR="00261BB9">
        <w:rPr>
          <w:lang w:val="en-CA"/>
        </w:rPr>
        <w:t xml:space="preserve"> </w:t>
      </w:r>
      <w:r w:rsidR="00142E96">
        <w:rPr>
          <w:lang w:val="en-CA"/>
        </w:rPr>
        <w:t>I</w:t>
      </w:r>
      <w:r w:rsidR="009E1FB6">
        <w:rPr>
          <w:lang w:val="en-CA"/>
        </w:rPr>
        <w:t>t states:</w:t>
      </w:r>
    </w:p>
    <w:p w14:paraId="30415FD7" w14:textId="77777777" w:rsidR="009E1FB6" w:rsidRDefault="009E1FB6" w:rsidP="002A198E">
      <w:pPr>
        <w:widowControl w:val="0"/>
        <w:rPr>
          <w:lang w:val="en-CA"/>
        </w:rPr>
      </w:pPr>
    </w:p>
    <w:p w14:paraId="57067C4B" w14:textId="78EF980A" w:rsidR="009E1FB6" w:rsidRDefault="008A1818" w:rsidP="00261BB9">
      <w:pPr>
        <w:widowControl w:val="0"/>
        <w:ind w:left="720" w:right="720"/>
        <w:rPr>
          <w:lang w:val="en-CA"/>
        </w:rPr>
      </w:pPr>
      <w:r>
        <w:rPr>
          <w:lang w:val="en-CA"/>
        </w:rPr>
        <w:t>"</w:t>
      </w:r>
      <w:r w:rsidR="009E1FB6" w:rsidRPr="009E1FB6">
        <w:rPr>
          <w:lang w:val="en-CA"/>
        </w:rPr>
        <w:t>It is envisioned that, by taking a proactive and systemic approach to improving accessibility and removing barriers, legislation would complement the laws that already exist in Canada to protect the human rights of Canadians with disabilities and build on existing federal accessibility standards and regulations."</w:t>
      </w:r>
    </w:p>
    <w:p w14:paraId="2EDB2423" w14:textId="77777777" w:rsidR="009E1FB6" w:rsidRDefault="009E1FB6" w:rsidP="002A198E">
      <w:pPr>
        <w:widowControl w:val="0"/>
        <w:rPr>
          <w:lang w:val="en-CA"/>
        </w:rPr>
      </w:pPr>
    </w:p>
    <w:p w14:paraId="280612DB" w14:textId="77777777" w:rsidR="004B4634" w:rsidRPr="002A198E" w:rsidRDefault="004B2F23" w:rsidP="002A198E">
      <w:pPr>
        <w:widowControl w:val="0"/>
        <w:rPr>
          <w:lang w:val="en-CA"/>
        </w:rPr>
      </w:pPr>
      <w:r>
        <w:rPr>
          <w:lang w:val="en-CA"/>
        </w:rPr>
        <w:t>Before hearing from the public on this issue during its CDA consultations, t</w:t>
      </w:r>
      <w:r w:rsidR="00F15A13">
        <w:rPr>
          <w:lang w:val="en-CA"/>
        </w:rPr>
        <w:t xml:space="preserve">he Federal Government </w:t>
      </w:r>
      <w:r w:rsidR="003F5464">
        <w:rPr>
          <w:lang w:val="en-CA"/>
        </w:rPr>
        <w:t xml:space="preserve">shouldn't </w:t>
      </w:r>
      <w:r w:rsidR="00F15A13">
        <w:rPr>
          <w:lang w:val="en-CA"/>
        </w:rPr>
        <w:t>pre</w:t>
      </w:r>
      <w:r w:rsidR="00F8216B">
        <w:rPr>
          <w:lang w:val="en-CA"/>
        </w:rPr>
        <w:t>-</w:t>
      </w:r>
      <w:r w:rsidR="00F15A13">
        <w:rPr>
          <w:lang w:val="en-CA"/>
        </w:rPr>
        <w:t>decide</w:t>
      </w:r>
      <w:r w:rsidR="00C349C5">
        <w:rPr>
          <w:lang w:val="en-CA"/>
        </w:rPr>
        <w:t xml:space="preserve"> </w:t>
      </w:r>
      <w:r>
        <w:rPr>
          <w:lang w:val="en-CA"/>
        </w:rPr>
        <w:t xml:space="preserve">that </w:t>
      </w:r>
      <w:r w:rsidR="00C349C5">
        <w:rPr>
          <w:lang w:val="en-CA"/>
        </w:rPr>
        <w:t xml:space="preserve">transportation accessibility will be left with the Canada </w:t>
      </w:r>
      <w:r w:rsidR="00C349C5">
        <w:rPr>
          <w:lang w:val="en-CA"/>
        </w:rPr>
        <w:lastRenderedPageBreak/>
        <w:t xml:space="preserve">Transportation Agency, or </w:t>
      </w:r>
      <w:r>
        <w:rPr>
          <w:lang w:val="en-CA"/>
        </w:rPr>
        <w:t xml:space="preserve">that </w:t>
      </w:r>
      <w:r w:rsidR="00C349C5">
        <w:rPr>
          <w:lang w:val="en-CA"/>
        </w:rPr>
        <w:t>accessibility of telecommunication services will be left to the CRTC</w:t>
      </w:r>
      <w:r>
        <w:rPr>
          <w:lang w:val="en-CA"/>
        </w:rPr>
        <w:t>.</w:t>
      </w:r>
      <w:r w:rsidR="007022AC">
        <w:rPr>
          <w:lang w:val="en-CA"/>
        </w:rPr>
        <w:t xml:space="preserve"> </w:t>
      </w:r>
      <w:r w:rsidR="004B4634" w:rsidRPr="002A198E">
        <w:rPr>
          <w:lang w:val="en-CA"/>
        </w:rPr>
        <w:t xml:space="preserve">If </w:t>
      </w:r>
      <w:r w:rsidR="00261BB9">
        <w:rPr>
          <w:lang w:val="en-CA"/>
        </w:rPr>
        <w:t>despite the foregoing</w:t>
      </w:r>
      <w:r w:rsidR="009D18D5" w:rsidRPr="002A198E">
        <w:rPr>
          <w:lang w:val="en-CA"/>
        </w:rPr>
        <w:t>, Parliament</w:t>
      </w:r>
      <w:r w:rsidR="004B4634" w:rsidRPr="002A198E">
        <w:rPr>
          <w:lang w:val="en-CA"/>
        </w:rPr>
        <w:t xml:space="preserve"> leave</w:t>
      </w:r>
      <w:r w:rsidR="0030350D">
        <w:rPr>
          <w:lang w:val="en-CA"/>
        </w:rPr>
        <w:t>s</w:t>
      </w:r>
      <w:r w:rsidR="004B4634" w:rsidRPr="002A198E">
        <w:rPr>
          <w:lang w:val="en-CA"/>
        </w:rPr>
        <w:t xml:space="preserve"> any </w:t>
      </w:r>
      <w:r w:rsidR="0030350D">
        <w:rPr>
          <w:lang w:val="en-CA"/>
        </w:rPr>
        <w:t xml:space="preserve">accessibility </w:t>
      </w:r>
      <w:r w:rsidR="004B4634" w:rsidRPr="002A198E">
        <w:rPr>
          <w:lang w:val="en-CA"/>
        </w:rPr>
        <w:t xml:space="preserve">jurisdiction with </w:t>
      </w:r>
      <w:r>
        <w:rPr>
          <w:lang w:val="en-CA"/>
        </w:rPr>
        <w:t xml:space="preserve">those </w:t>
      </w:r>
      <w:r w:rsidR="0030350D">
        <w:rPr>
          <w:lang w:val="en-CA"/>
        </w:rPr>
        <w:t xml:space="preserve">other </w:t>
      </w:r>
      <w:r w:rsidR="004B4634" w:rsidRPr="002A198E">
        <w:rPr>
          <w:lang w:val="en-CA"/>
        </w:rPr>
        <w:t xml:space="preserve">regulatory agencies, then </w:t>
      </w:r>
      <w:r w:rsidR="00422733">
        <w:rPr>
          <w:lang w:val="en-CA"/>
        </w:rPr>
        <w:t xml:space="preserve">it </w:t>
      </w:r>
      <w:r w:rsidR="004B4634" w:rsidRPr="002A198E">
        <w:rPr>
          <w:lang w:val="en-CA"/>
        </w:rPr>
        <w:t>should ensure that:</w:t>
      </w:r>
    </w:p>
    <w:p w14:paraId="0C0E219F" w14:textId="77777777" w:rsidR="004B4634" w:rsidRPr="002A198E" w:rsidRDefault="004B4634" w:rsidP="002A198E">
      <w:pPr>
        <w:widowControl w:val="0"/>
        <w:rPr>
          <w:lang w:val="en-CA"/>
        </w:rPr>
      </w:pPr>
    </w:p>
    <w:p w14:paraId="152C7DDF" w14:textId="77777777" w:rsidR="004B4634" w:rsidRPr="002A198E" w:rsidRDefault="004B4634" w:rsidP="002A198E">
      <w:pPr>
        <w:widowControl w:val="0"/>
        <w:rPr>
          <w:lang w:val="en-CA"/>
        </w:rPr>
      </w:pPr>
      <w:r w:rsidRPr="002A198E">
        <w:rPr>
          <w:lang w:val="en-CA"/>
        </w:rPr>
        <w:t xml:space="preserve">a) </w:t>
      </w:r>
      <w:r w:rsidR="009D18D5" w:rsidRPr="002A198E">
        <w:rPr>
          <w:lang w:val="en-CA"/>
        </w:rPr>
        <w:t>All</w:t>
      </w:r>
      <w:r w:rsidRPr="002A198E">
        <w:rPr>
          <w:lang w:val="en-CA"/>
        </w:rPr>
        <w:t xml:space="preserve"> those regulatory agencies </w:t>
      </w:r>
      <w:r w:rsidR="0030350D">
        <w:rPr>
          <w:lang w:val="en-CA"/>
        </w:rPr>
        <w:t xml:space="preserve">have </w:t>
      </w:r>
      <w:r w:rsidRPr="002A198E">
        <w:rPr>
          <w:lang w:val="en-CA"/>
        </w:rPr>
        <w:t>the fullest range of remedial powers, at least as broad as the Canada Human Rights Tribunal</w:t>
      </w:r>
      <w:r w:rsidR="0030350D">
        <w:rPr>
          <w:lang w:val="en-CA"/>
        </w:rPr>
        <w:t>'s</w:t>
      </w:r>
      <w:r w:rsidRPr="002A198E">
        <w:rPr>
          <w:lang w:val="en-CA"/>
        </w:rPr>
        <w:t>.</w:t>
      </w:r>
    </w:p>
    <w:p w14:paraId="66E594D3" w14:textId="77777777" w:rsidR="004B4634" w:rsidRPr="002A198E" w:rsidRDefault="004B4634" w:rsidP="002A198E">
      <w:pPr>
        <w:widowControl w:val="0"/>
        <w:rPr>
          <w:lang w:val="en-CA"/>
        </w:rPr>
      </w:pPr>
    </w:p>
    <w:p w14:paraId="108B4111" w14:textId="1AA89FDC" w:rsidR="004B4634" w:rsidRPr="002A198E" w:rsidRDefault="004B4634" w:rsidP="002A198E">
      <w:pPr>
        <w:widowControl w:val="0"/>
        <w:rPr>
          <w:lang w:val="en-CA"/>
        </w:rPr>
      </w:pPr>
      <w:r w:rsidRPr="002A198E">
        <w:rPr>
          <w:lang w:val="en-CA"/>
        </w:rPr>
        <w:t xml:space="preserve">b) Those agencies </w:t>
      </w:r>
      <w:r w:rsidR="00740E32">
        <w:rPr>
          <w:lang w:val="en-CA"/>
        </w:rPr>
        <w:t xml:space="preserve">must have an </w:t>
      </w:r>
      <w:r w:rsidRPr="002A198E">
        <w:rPr>
          <w:lang w:val="en-CA"/>
        </w:rPr>
        <w:t xml:space="preserve">explicit duty to create and effectively enforce accessibility standards within their mandates, along time lines </w:t>
      </w:r>
      <w:r w:rsidR="00740E32">
        <w:rPr>
          <w:lang w:val="en-CA"/>
        </w:rPr>
        <w:t xml:space="preserve">the CDA sets, </w:t>
      </w:r>
      <w:r w:rsidRPr="002A198E">
        <w:rPr>
          <w:lang w:val="en-CA"/>
        </w:rPr>
        <w:t xml:space="preserve">similarly </w:t>
      </w:r>
      <w:r w:rsidR="00740E32">
        <w:rPr>
          <w:lang w:val="en-CA"/>
        </w:rPr>
        <w:t xml:space="preserve">securing </w:t>
      </w:r>
      <w:r w:rsidRPr="002A198E">
        <w:rPr>
          <w:lang w:val="en-CA"/>
        </w:rPr>
        <w:t>people with disabilities</w:t>
      </w:r>
      <w:r w:rsidR="00740E32">
        <w:rPr>
          <w:lang w:val="en-CA"/>
        </w:rPr>
        <w:t>'</w:t>
      </w:r>
      <w:r w:rsidRPr="002A198E">
        <w:rPr>
          <w:lang w:val="en-CA"/>
        </w:rPr>
        <w:t xml:space="preserve"> input into the standards</w:t>
      </w:r>
      <w:r w:rsidR="008A1818">
        <w:rPr>
          <w:lang w:val="en-CA"/>
        </w:rPr>
        <w:t>.</w:t>
      </w:r>
    </w:p>
    <w:p w14:paraId="494BD78E" w14:textId="77777777" w:rsidR="004B4634" w:rsidRPr="002A198E" w:rsidRDefault="004B4634" w:rsidP="002A198E">
      <w:pPr>
        <w:widowControl w:val="0"/>
        <w:rPr>
          <w:lang w:val="en-CA"/>
        </w:rPr>
      </w:pPr>
    </w:p>
    <w:p w14:paraId="7D994D21" w14:textId="77777777" w:rsidR="004B4634" w:rsidRPr="002A198E" w:rsidRDefault="004B4634" w:rsidP="002A198E">
      <w:pPr>
        <w:widowControl w:val="0"/>
        <w:rPr>
          <w:lang w:val="en-CA"/>
        </w:rPr>
      </w:pPr>
      <w:r w:rsidRPr="002A198E">
        <w:rPr>
          <w:lang w:val="en-CA"/>
        </w:rPr>
        <w:t xml:space="preserve">c) Those agencies should be required to </w:t>
      </w:r>
      <w:r w:rsidR="009D18D5" w:rsidRPr="002A198E">
        <w:rPr>
          <w:lang w:val="en-CA"/>
        </w:rPr>
        <w:t>give</w:t>
      </w:r>
      <w:r w:rsidRPr="002A198E">
        <w:rPr>
          <w:lang w:val="en-CA"/>
        </w:rPr>
        <w:t xml:space="preserve"> strong weight to accessibility when discharging any discretionary powers.</w:t>
      </w:r>
    </w:p>
    <w:p w14:paraId="7D30F66D" w14:textId="77777777" w:rsidR="00F15A13" w:rsidRDefault="00F15A13" w:rsidP="002A198E">
      <w:pPr>
        <w:widowControl w:val="0"/>
        <w:rPr>
          <w:lang w:val="en-CA"/>
        </w:rPr>
      </w:pPr>
    </w:p>
    <w:p w14:paraId="5A6AB526" w14:textId="77777777" w:rsidR="00D77DD1" w:rsidRDefault="00F15A13" w:rsidP="002A198E">
      <w:pPr>
        <w:widowControl w:val="0"/>
        <w:rPr>
          <w:lang w:val="en-CA"/>
        </w:rPr>
      </w:pPr>
      <w:r>
        <w:rPr>
          <w:lang w:val="en-CA"/>
        </w:rPr>
        <w:t>d) A stronger accessibility standard</w:t>
      </w:r>
      <w:r w:rsidR="001A288C">
        <w:rPr>
          <w:lang w:val="en-CA"/>
        </w:rPr>
        <w:t xml:space="preserve"> made under the CDA and enforceable by the Canada Accessibility Commissioner should take precedence over any weaker accessibility rules or standards made by any other federal agency, such as the Canada Transportation Agency.</w:t>
      </w:r>
    </w:p>
    <w:p w14:paraId="4AB44EE4" w14:textId="77777777" w:rsidR="004B4634" w:rsidRPr="002A198E" w:rsidRDefault="00F15A13" w:rsidP="002A198E">
      <w:pPr>
        <w:widowControl w:val="0"/>
        <w:rPr>
          <w:lang w:val="en-CA"/>
        </w:rPr>
      </w:pPr>
      <w:r>
        <w:rPr>
          <w:lang w:val="en-CA"/>
        </w:rPr>
        <w:t xml:space="preserve"> </w:t>
      </w:r>
      <w:r w:rsidR="002A198E" w:rsidRPr="002A198E">
        <w:rPr>
          <w:lang w:val="en-CA"/>
        </w:rPr>
        <w:t xml:space="preserve"> </w:t>
      </w:r>
    </w:p>
    <w:p w14:paraId="024363BD" w14:textId="77777777" w:rsidR="00D82198" w:rsidRPr="002A198E" w:rsidRDefault="006F5E75" w:rsidP="002A198E">
      <w:pPr>
        <w:pStyle w:val="Heading2"/>
        <w:keepNext w:val="0"/>
        <w:keepLines w:val="0"/>
        <w:widowControl w:val="0"/>
        <w:spacing w:before="0"/>
        <w:rPr>
          <w:lang w:val="en-CA"/>
        </w:rPr>
      </w:pPr>
      <w:bookmarkStart w:id="20" w:name="_Toc319660888"/>
      <w:r>
        <w:rPr>
          <w:lang w:val="en-CA"/>
        </w:rPr>
        <w:t>j</w:t>
      </w:r>
      <w:r w:rsidR="00D82198" w:rsidRPr="002A198E">
        <w:rPr>
          <w:lang w:val="en-CA"/>
        </w:rPr>
        <w:t xml:space="preserve">) Ensuring </w:t>
      </w:r>
      <w:r w:rsidR="009D18D5" w:rsidRPr="002A198E">
        <w:rPr>
          <w:lang w:val="en-CA"/>
        </w:rPr>
        <w:t>the</w:t>
      </w:r>
      <w:r w:rsidR="00D82198" w:rsidRPr="002A198E">
        <w:rPr>
          <w:lang w:val="en-CA"/>
        </w:rPr>
        <w:t xml:space="preserve"> Strongest </w:t>
      </w:r>
      <w:r w:rsidR="009D18D5" w:rsidRPr="002A198E">
        <w:rPr>
          <w:lang w:val="en-CA"/>
        </w:rPr>
        <w:t>Accessibility</w:t>
      </w:r>
      <w:r w:rsidR="00D82198" w:rsidRPr="002A198E">
        <w:rPr>
          <w:lang w:val="en-CA"/>
        </w:rPr>
        <w:t xml:space="preserve"> </w:t>
      </w:r>
      <w:r w:rsidR="009D18D5" w:rsidRPr="002A198E">
        <w:rPr>
          <w:lang w:val="en-CA"/>
        </w:rPr>
        <w:t>Law Always</w:t>
      </w:r>
      <w:r w:rsidR="00D82198" w:rsidRPr="002A198E">
        <w:rPr>
          <w:lang w:val="en-CA"/>
        </w:rPr>
        <w:t xml:space="preserve"> Prevails</w:t>
      </w:r>
      <w:bookmarkEnd w:id="20"/>
    </w:p>
    <w:p w14:paraId="6E55F424" w14:textId="77777777" w:rsidR="004B4634" w:rsidRPr="002A198E" w:rsidRDefault="004B4634" w:rsidP="002A198E">
      <w:pPr>
        <w:widowControl w:val="0"/>
        <w:rPr>
          <w:lang w:val="en-CA"/>
        </w:rPr>
      </w:pPr>
    </w:p>
    <w:p w14:paraId="728408E8" w14:textId="77777777" w:rsidR="004B4634" w:rsidRPr="002A198E" w:rsidRDefault="004B4634" w:rsidP="002A198E">
      <w:pPr>
        <w:widowControl w:val="0"/>
        <w:rPr>
          <w:lang w:val="en-CA"/>
        </w:rPr>
      </w:pPr>
      <w:r w:rsidRPr="002A198E">
        <w:rPr>
          <w:lang w:val="en-CA"/>
        </w:rPr>
        <w:t xml:space="preserve">Several federal laws address aspects of accessibility for people with disabilities. </w:t>
      </w:r>
      <w:r w:rsidR="006C5D93">
        <w:rPr>
          <w:lang w:val="en-CA"/>
        </w:rPr>
        <w:t xml:space="preserve">The CDA should </w:t>
      </w:r>
      <w:r w:rsidRPr="002A198E">
        <w:rPr>
          <w:lang w:val="en-CA"/>
        </w:rPr>
        <w:t>clarify which prevail</w:t>
      </w:r>
      <w:r w:rsidR="00AD6107">
        <w:rPr>
          <w:lang w:val="en-CA"/>
        </w:rPr>
        <w:t>s</w:t>
      </w:r>
      <w:r w:rsidRPr="002A198E">
        <w:rPr>
          <w:lang w:val="en-CA"/>
        </w:rPr>
        <w:t>. Barrier-Free Canada’s 14 Principles include:</w:t>
      </w:r>
    </w:p>
    <w:p w14:paraId="4E56988D" w14:textId="77777777" w:rsidR="004B4634" w:rsidRPr="002A198E" w:rsidRDefault="004B4634" w:rsidP="002A198E">
      <w:pPr>
        <w:widowControl w:val="0"/>
        <w:rPr>
          <w:lang w:val="en-CA"/>
        </w:rPr>
      </w:pPr>
    </w:p>
    <w:p w14:paraId="6B274531" w14:textId="77777777" w:rsidR="004B4634" w:rsidRPr="002A198E" w:rsidRDefault="004B4634" w:rsidP="005B6813">
      <w:pPr>
        <w:widowControl w:val="0"/>
        <w:ind w:left="720" w:right="720"/>
        <w:rPr>
          <w:lang w:val="en-CA"/>
        </w:rPr>
      </w:pPr>
      <w:r w:rsidRPr="002A198E">
        <w:rPr>
          <w:lang w:val="en-CA"/>
        </w:rPr>
        <w:t>“3. The Canadians with Disabilities Act's requirements should supersede all other legislation, regulations or policies which provide lesser protections and entitlements to persons with disabilities. The Act and regulations made under it should not take away any rights that Canadians with disabilities now enjoy;”</w:t>
      </w:r>
    </w:p>
    <w:p w14:paraId="5C965F30" w14:textId="77777777" w:rsidR="004B4634" w:rsidRPr="002A198E" w:rsidRDefault="004B4634" w:rsidP="002A198E">
      <w:pPr>
        <w:widowControl w:val="0"/>
        <w:rPr>
          <w:lang w:val="en-CA"/>
        </w:rPr>
      </w:pPr>
    </w:p>
    <w:p w14:paraId="0FCE8DFB" w14:textId="77777777" w:rsidR="00D86D2E" w:rsidRDefault="00BD17D8" w:rsidP="002A198E">
      <w:pPr>
        <w:widowControl w:val="0"/>
        <w:rPr>
          <w:lang w:val="en-CA"/>
        </w:rPr>
      </w:pPr>
      <w:r>
        <w:rPr>
          <w:lang w:val="en-CA"/>
        </w:rPr>
        <w:t>Accordingly, n</w:t>
      </w:r>
      <w:r w:rsidR="004B4634" w:rsidRPr="002A198E">
        <w:rPr>
          <w:lang w:val="en-CA"/>
        </w:rPr>
        <w:t xml:space="preserve">othing in the </w:t>
      </w:r>
      <w:r w:rsidR="00632344">
        <w:rPr>
          <w:lang w:val="en-CA"/>
        </w:rPr>
        <w:t xml:space="preserve">CDA </w:t>
      </w:r>
      <w:r w:rsidR="004B4634" w:rsidRPr="002A198E">
        <w:rPr>
          <w:lang w:val="en-CA"/>
        </w:rPr>
        <w:t xml:space="preserve">or actions taken under it can reduce disability accessibility protections under any other </w:t>
      </w:r>
      <w:r w:rsidR="00D022C9" w:rsidRPr="002A198E">
        <w:rPr>
          <w:lang w:val="en-CA"/>
        </w:rPr>
        <w:t>law.</w:t>
      </w:r>
      <w:r w:rsidR="00D022C9">
        <w:rPr>
          <w:lang w:val="en-CA"/>
        </w:rPr>
        <w:t xml:space="preserve"> The</w:t>
      </w:r>
      <w:r w:rsidR="00817986">
        <w:rPr>
          <w:lang w:val="en-CA"/>
        </w:rPr>
        <w:t xml:space="preserve"> CDA </w:t>
      </w:r>
      <w:r w:rsidR="004B4634" w:rsidRPr="002A198E">
        <w:rPr>
          <w:lang w:val="en-CA"/>
        </w:rPr>
        <w:t xml:space="preserve">must prevail over any other federal law that provides less </w:t>
      </w:r>
      <w:r w:rsidR="009D18D5" w:rsidRPr="002A198E">
        <w:rPr>
          <w:lang w:val="en-CA"/>
        </w:rPr>
        <w:t>accessibility</w:t>
      </w:r>
      <w:r w:rsidR="004B4634" w:rsidRPr="002A198E">
        <w:rPr>
          <w:lang w:val="en-CA"/>
        </w:rPr>
        <w:t xml:space="preserve"> protection.</w:t>
      </w:r>
      <w:r w:rsidR="00D86D2E">
        <w:rPr>
          <w:rStyle w:val="EndnoteReference"/>
          <w:lang w:val="en-CA"/>
        </w:rPr>
        <w:endnoteReference w:id="66"/>
      </w:r>
      <w:r w:rsidR="00D86D2E">
        <w:rPr>
          <w:lang w:val="en-CA"/>
        </w:rPr>
        <w:t xml:space="preserve"> </w:t>
      </w:r>
      <w:r w:rsidR="004B4634" w:rsidRPr="002A198E">
        <w:rPr>
          <w:lang w:val="en-CA"/>
        </w:rPr>
        <w:t xml:space="preserve"> </w:t>
      </w:r>
    </w:p>
    <w:p w14:paraId="02298BFC" w14:textId="77777777" w:rsidR="00D86D2E" w:rsidRDefault="00D86D2E" w:rsidP="002A198E">
      <w:pPr>
        <w:widowControl w:val="0"/>
        <w:rPr>
          <w:lang w:val="en-CA"/>
        </w:rPr>
      </w:pPr>
    </w:p>
    <w:p w14:paraId="0EEC0610" w14:textId="76089888" w:rsidR="004B4634" w:rsidRPr="002A198E" w:rsidRDefault="00505823" w:rsidP="002A198E">
      <w:pPr>
        <w:widowControl w:val="0"/>
        <w:rPr>
          <w:lang w:val="en-CA"/>
        </w:rPr>
      </w:pPr>
      <w:r>
        <w:rPr>
          <w:lang w:val="en-CA"/>
        </w:rPr>
        <w:t>O</w:t>
      </w:r>
      <w:r w:rsidR="004B4634" w:rsidRPr="002A198E">
        <w:rPr>
          <w:lang w:val="en-CA"/>
        </w:rPr>
        <w:t xml:space="preserve">rganizations, used to working with other </w:t>
      </w:r>
      <w:r w:rsidR="00BD17D8">
        <w:rPr>
          <w:lang w:val="en-CA"/>
        </w:rPr>
        <w:t xml:space="preserve">more familiar </w:t>
      </w:r>
      <w:r w:rsidR="004B4634" w:rsidRPr="002A198E">
        <w:rPr>
          <w:lang w:val="en-CA"/>
        </w:rPr>
        <w:t>laws</w:t>
      </w:r>
      <w:r w:rsidR="008A1818">
        <w:rPr>
          <w:lang w:val="en-CA"/>
        </w:rPr>
        <w:t xml:space="preserve"> like a b</w:t>
      </w:r>
      <w:r>
        <w:rPr>
          <w:lang w:val="en-CA"/>
        </w:rPr>
        <w:t>uilding code</w:t>
      </w:r>
      <w:r w:rsidR="004B4634" w:rsidRPr="002A198E">
        <w:rPr>
          <w:lang w:val="en-CA"/>
        </w:rPr>
        <w:t xml:space="preserve">, tend to </w:t>
      </w:r>
      <w:r>
        <w:rPr>
          <w:lang w:val="en-CA"/>
        </w:rPr>
        <w:t xml:space="preserve">fixate on </w:t>
      </w:r>
      <w:r w:rsidR="004B4634" w:rsidRPr="002A198E">
        <w:rPr>
          <w:lang w:val="en-CA"/>
        </w:rPr>
        <w:t xml:space="preserve">those familiar laws, often </w:t>
      </w:r>
      <w:r w:rsidR="00715078">
        <w:rPr>
          <w:lang w:val="en-CA"/>
        </w:rPr>
        <w:t xml:space="preserve">ignoring or marginalizing </w:t>
      </w:r>
      <w:r w:rsidR="004B4634" w:rsidRPr="002A198E">
        <w:rPr>
          <w:lang w:val="en-CA"/>
        </w:rPr>
        <w:t xml:space="preserve">human </w:t>
      </w:r>
      <w:r w:rsidR="009D18D5" w:rsidRPr="002A198E">
        <w:rPr>
          <w:lang w:val="en-CA"/>
        </w:rPr>
        <w:t>rights</w:t>
      </w:r>
      <w:r>
        <w:rPr>
          <w:lang w:val="en-CA"/>
        </w:rPr>
        <w:t>/</w:t>
      </w:r>
      <w:r w:rsidR="004B4634" w:rsidRPr="002A198E">
        <w:rPr>
          <w:lang w:val="en-CA"/>
        </w:rPr>
        <w:t xml:space="preserve">accessibility laws. </w:t>
      </w:r>
      <w:r w:rsidR="00715078">
        <w:rPr>
          <w:lang w:val="en-CA"/>
        </w:rPr>
        <w:t>O</w:t>
      </w:r>
      <w:r w:rsidR="004B4634" w:rsidRPr="002A198E">
        <w:rPr>
          <w:lang w:val="en-CA"/>
        </w:rPr>
        <w:t xml:space="preserve">rganizations must be directed that </w:t>
      </w:r>
      <w:r w:rsidR="00BD17D8">
        <w:rPr>
          <w:lang w:val="en-CA"/>
        </w:rPr>
        <w:t xml:space="preserve">those other laws </w:t>
      </w:r>
      <w:r w:rsidR="004B4634" w:rsidRPr="002A198E">
        <w:rPr>
          <w:lang w:val="en-CA"/>
        </w:rPr>
        <w:t xml:space="preserve">give way to </w:t>
      </w:r>
      <w:r w:rsidR="008A1818">
        <w:rPr>
          <w:lang w:val="en-CA"/>
        </w:rPr>
        <w:t>a s</w:t>
      </w:r>
      <w:r w:rsidR="008B093E">
        <w:rPr>
          <w:lang w:val="en-CA"/>
        </w:rPr>
        <w:t>tronger CDA</w:t>
      </w:r>
      <w:r w:rsidR="004B4634" w:rsidRPr="002A198E">
        <w:rPr>
          <w:lang w:val="en-CA"/>
        </w:rPr>
        <w:t>.</w:t>
      </w:r>
    </w:p>
    <w:p w14:paraId="0FB13A2E" w14:textId="77777777" w:rsidR="004B4634" w:rsidRPr="002A198E" w:rsidRDefault="004B4634" w:rsidP="002A198E">
      <w:pPr>
        <w:widowControl w:val="0"/>
        <w:rPr>
          <w:lang w:val="en-CA"/>
        </w:rPr>
      </w:pPr>
    </w:p>
    <w:p w14:paraId="1D11C131" w14:textId="77777777" w:rsidR="004B4634" w:rsidRPr="002A198E" w:rsidRDefault="00B1185C" w:rsidP="002A198E">
      <w:pPr>
        <w:pStyle w:val="Heading2"/>
        <w:keepNext w:val="0"/>
        <w:keepLines w:val="0"/>
        <w:widowControl w:val="0"/>
        <w:spacing w:before="0"/>
        <w:rPr>
          <w:lang w:val="en-CA"/>
        </w:rPr>
      </w:pPr>
      <w:bookmarkStart w:id="21" w:name="_Toc319660889"/>
      <w:r>
        <w:rPr>
          <w:lang w:val="en-CA"/>
        </w:rPr>
        <w:t>k</w:t>
      </w:r>
      <w:r w:rsidR="003A1878">
        <w:rPr>
          <w:lang w:val="en-CA"/>
        </w:rPr>
        <w:t>)</w:t>
      </w:r>
      <w:r w:rsidR="00375552" w:rsidRPr="002A198E">
        <w:rPr>
          <w:lang w:val="en-CA"/>
        </w:rPr>
        <w:t xml:space="preserve"> </w:t>
      </w:r>
      <w:r w:rsidR="004B4634" w:rsidRPr="002A198E">
        <w:rPr>
          <w:lang w:val="en-CA"/>
        </w:rPr>
        <w:t>Ensuring that Public Money is Never Used to Create, Perpetuate or Exacerbate Accessibility Barriers</w:t>
      </w:r>
      <w:bookmarkEnd w:id="21"/>
    </w:p>
    <w:p w14:paraId="4D2D3D68" w14:textId="77777777" w:rsidR="004B4634" w:rsidRPr="002A198E" w:rsidRDefault="004B4634" w:rsidP="002A198E">
      <w:pPr>
        <w:widowControl w:val="0"/>
        <w:rPr>
          <w:lang w:val="en-CA"/>
        </w:rPr>
      </w:pPr>
    </w:p>
    <w:p w14:paraId="5B9998FE" w14:textId="77777777" w:rsidR="004B4634" w:rsidRPr="002A198E" w:rsidRDefault="004B4634" w:rsidP="002A198E">
      <w:pPr>
        <w:widowControl w:val="0"/>
        <w:rPr>
          <w:lang w:val="en-CA"/>
        </w:rPr>
      </w:pPr>
      <w:r w:rsidRPr="002A198E">
        <w:rPr>
          <w:lang w:val="en-CA"/>
        </w:rPr>
        <w:t xml:space="preserve">The Federal Government can </w:t>
      </w:r>
      <w:r w:rsidR="00306576">
        <w:rPr>
          <w:lang w:val="en-CA"/>
        </w:rPr>
        <w:t xml:space="preserve">promote progress </w:t>
      </w:r>
      <w:r w:rsidRPr="002A198E">
        <w:rPr>
          <w:lang w:val="en-CA"/>
        </w:rPr>
        <w:t xml:space="preserve">towards accessibility, by making sure that </w:t>
      </w:r>
      <w:r w:rsidR="00306576">
        <w:rPr>
          <w:lang w:val="en-CA"/>
        </w:rPr>
        <w:t xml:space="preserve">no one uses public </w:t>
      </w:r>
      <w:r w:rsidRPr="002A198E">
        <w:rPr>
          <w:lang w:val="en-CA"/>
        </w:rPr>
        <w:t xml:space="preserve">money to create, perpetuate or exacerbate disability barriers. This requires no increase in federal spending. </w:t>
      </w:r>
    </w:p>
    <w:p w14:paraId="2E8F3CCA" w14:textId="77777777" w:rsidR="004B4634" w:rsidRPr="002A198E" w:rsidRDefault="004B4634" w:rsidP="002A198E">
      <w:pPr>
        <w:widowControl w:val="0"/>
        <w:rPr>
          <w:lang w:val="en-CA"/>
        </w:rPr>
      </w:pPr>
    </w:p>
    <w:p w14:paraId="544EEDB3" w14:textId="77777777" w:rsidR="008A1818" w:rsidRDefault="00ED025A" w:rsidP="002A198E">
      <w:pPr>
        <w:widowControl w:val="0"/>
        <w:rPr>
          <w:lang w:val="en-CA"/>
        </w:rPr>
      </w:pPr>
      <w:r>
        <w:rPr>
          <w:lang w:val="en-CA"/>
        </w:rPr>
        <w:t xml:space="preserve">Four </w:t>
      </w:r>
      <w:r w:rsidR="004B4634" w:rsidRPr="002A198E">
        <w:rPr>
          <w:lang w:val="en-CA"/>
        </w:rPr>
        <w:t>areas of federal spending should be targeted:</w:t>
      </w:r>
      <w:r w:rsidR="0024428B">
        <w:rPr>
          <w:lang w:val="en-CA"/>
        </w:rPr>
        <w:t xml:space="preserve"> </w:t>
      </w:r>
    </w:p>
    <w:p w14:paraId="25DFC985" w14:textId="77777777" w:rsidR="008A1818" w:rsidRDefault="008A1818" w:rsidP="002A198E">
      <w:pPr>
        <w:widowControl w:val="0"/>
        <w:rPr>
          <w:lang w:val="en-CA"/>
        </w:rPr>
      </w:pPr>
    </w:p>
    <w:p w14:paraId="481BD62B" w14:textId="7301C497" w:rsidR="004B4634" w:rsidRPr="002A198E" w:rsidRDefault="0024428B" w:rsidP="002A198E">
      <w:pPr>
        <w:widowControl w:val="0"/>
        <w:rPr>
          <w:lang w:val="en-CA"/>
        </w:rPr>
      </w:pPr>
      <w:r>
        <w:rPr>
          <w:lang w:val="en-CA"/>
        </w:rPr>
        <w:t>First</w:t>
      </w:r>
      <w:r w:rsidR="004B4634" w:rsidRPr="002A198E">
        <w:rPr>
          <w:lang w:val="en-CA"/>
        </w:rPr>
        <w:t xml:space="preserve">, the Federal Government </w:t>
      </w:r>
      <w:r>
        <w:rPr>
          <w:lang w:val="en-CA"/>
        </w:rPr>
        <w:t xml:space="preserve">annually </w:t>
      </w:r>
      <w:r w:rsidR="004B4634" w:rsidRPr="002A198E">
        <w:rPr>
          <w:lang w:val="en-CA"/>
        </w:rPr>
        <w:t xml:space="preserve">spends billions on capital </w:t>
      </w:r>
      <w:r w:rsidR="00344FCA">
        <w:rPr>
          <w:lang w:val="en-CA"/>
        </w:rPr>
        <w:t xml:space="preserve">and infrastructure </w:t>
      </w:r>
      <w:r w:rsidR="004B4634" w:rsidRPr="002A198E">
        <w:rPr>
          <w:lang w:val="en-CA"/>
        </w:rPr>
        <w:t>projects</w:t>
      </w:r>
      <w:r w:rsidR="00344FCA">
        <w:rPr>
          <w:lang w:val="en-CA"/>
        </w:rPr>
        <w:t xml:space="preserve">, </w:t>
      </w:r>
      <w:r w:rsidR="00344FCA">
        <w:rPr>
          <w:lang w:val="en-CA"/>
        </w:rPr>
        <w:lastRenderedPageBreak/>
        <w:t xml:space="preserve">including projects built by </w:t>
      </w:r>
      <w:r w:rsidR="004B4634" w:rsidRPr="002A198E">
        <w:rPr>
          <w:lang w:val="en-CA"/>
        </w:rPr>
        <w:t>the Federal Government</w:t>
      </w:r>
      <w:r w:rsidR="00344FCA">
        <w:rPr>
          <w:lang w:val="en-CA"/>
        </w:rPr>
        <w:t>,</w:t>
      </w:r>
      <w:r w:rsidR="004B4634" w:rsidRPr="002A198E">
        <w:rPr>
          <w:lang w:val="en-CA"/>
        </w:rPr>
        <w:t xml:space="preserve"> </w:t>
      </w:r>
      <w:r w:rsidR="00D022C9">
        <w:rPr>
          <w:lang w:val="en-CA"/>
        </w:rPr>
        <w:t>provinces, municipalities</w:t>
      </w:r>
      <w:r w:rsidR="00344FCA">
        <w:rPr>
          <w:lang w:val="en-CA"/>
        </w:rPr>
        <w:t xml:space="preserve"> or others. </w:t>
      </w:r>
    </w:p>
    <w:p w14:paraId="6EF3FFB8" w14:textId="77777777" w:rsidR="004B4634" w:rsidRPr="002A198E" w:rsidRDefault="004B4634" w:rsidP="002A198E">
      <w:pPr>
        <w:widowControl w:val="0"/>
        <w:rPr>
          <w:lang w:val="en-CA"/>
        </w:rPr>
      </w:pPr>
    </w:p>
    <w:p w14:paraId="1542C61D" w14:textId="77777777" w:rsidR="008A1818" w:rsidRDefault="00DE2488" w:rsidP="002A198E">
      <w:pPr>
        <w:widowControl w:val="0"/>
        <w:rPr>
          <w:lang w:val="en-CA"/>
        </w:rPr>
      </w:pPr>
      <w:r>
        <w:rPr>
          <w:lang w:val="en-CA"/>
        </w:rPr>
        <w:t>Second, t</w:t>
      </w:r>
      <w:r w:rsidR="004B4634" w:rsidRPr="002A198E">
        <w:rPr>
          <w:lang w:val="en-CA"/>
        </w:rPr>
        <w:t xml:space="preserve">he Federal Government annually spends billions on </w:t>
      </w:r>
      <w:r w:rsidR="00E20F0E">
        <w:rPr>
          <w:lang w:val="en-CA"/>
        </w:rPr>
        <w:t xml:space="preserve">procuring </w:t>
      </w:r>
      <w:r w:rsidR="004B4634" w:rsidRPr="002A198E">
        <w:rPr>
          <w:lang w:val="en-CA"/>
        </w:rPr>
        <w:t>goods and services</w:t>
      </w:r>
      <w:r>
        <w:rPr>
          <w:lang w:val="en-CA"/>
        </w:rPr>
        <w:t>,</w:t>
      </w:r>
      <w:r w:rsidR="004B4634" w:rsidRPr="002A198E">
        <w:rPr>
          <w:lang w:val="en-CA"/>
        </w:rPr>
        <w:t xml:space="preserve"> for use by the Federal Public Service and the public.</w:t>
      </w:r>
      <w:r>
        <w:rPr>
          <w:lang w:val="en-CA"/>
        </w:rPr>
        <w:t xml:space="preserve"> </w:t>
      </w:r>
    </w:p>
    <w:p w14:paraId="33BB478F" w14:textId="77777777" w:rsidR="008A1818" w:rsidRDefault="008A1818" w:rsidP="002A198E">
      <w:pPr>
        <w:widowControl w:val="0"/>
        <w:rPr>
          <w:lang w:val="en-CA"/>
        </w:rPr>
      </w:pPr>
    </w:p>
    <w:p w14:paraId="32B50A53" w14:textId="77777777" w:rsidR="008A1818" w:rsidRDefault="00DE2488" w:rsidP="002A198E">
      <w:pPr>
        <w:widowControl w:val="0"/>
        <w:rPr>
          <w:lang w:val="en-CA"/>
        </w:rPr>
      </w:pPr>
      <w:r>
        <w:rPr>
          <w:lang w:val="en-CA"/>
        </w:rPr>
        <w:t xml:space="preserve">Third, it </w:t>
      </w:r>
      <w:r w:rsidR="004B4634" w:rsidRPr="002A198E">
        <w:rPr>
          <w:lang w:val="en-CA"/>
        </w:rPr>
        <w:t xml:space="preserve">spends </w:t>
      </w:r>
      <w:r w:rsidR="00D13B2A">
        <w:rPr>
          <w:lang w:val="en-CA"/>
        </w:rPr>
        <w:t xml:space="preserve">large amounts </w:t>
      </w:r>
      <w:r w:rsidR="004B4634" w:rsidRPr="002A198E">
        <w:rPr>
          <w:lang w:val="en-CA"/>
        </w:rPr>
        <w:t xml:space="preserve">on </w:t>
      </w:r>
      <w:r w:rsidR="000E2705">
        <w:rPr>
          <w:lang w:val="en-CA"/>
        </w:rPr>
        <w:t xml:space="preserve">business development </w:t>
      </w:r>
      <w:r w:rsidR="004B4634" w:rsidRPr="002A198E">
        <w:rPr>
          <w:lang w:val="en-CA"/>
        </w:rPr>
        <w:t xml:space="preserve">grants and loans, </w:t>
      </w:r>
      <w:r w:rsidR="00D13B2A">
        <w:rPr>
          <w:lang w:val="en-CA"/>
        </w:rPr>
        <w:t xml:space="preserve">and </w:t>
      </w:r>
      <w:r w:rsidR="004B4634" w:rsidRPr="002A198E">
        <w:rPr>
          <w:lang w:val="en-CA"/>
        </w:rPr>
        <w:t>on research grants for universities and other organizations.</w:t>
      </w:r>
      <w:r w:rsidR="00ED025A">
        <w:rPr>
          <w:lang w:val="en-CA"/>
        </w:rPr>
        <w:t xml:space="preserve"> </w:t>
      </w:r>
    </w:p>
    <w:p w14:paraId="1E80B1D5" w14:textId="77777777" w:rsidR="008A1818" w:rsidRDefault="008A1818" w:rsidP="002A198E">
      <w:pPr>
        <w:widowControl w:val="0"/>
        <w:rPr>
          <w:lang w:val="en-CA"/>
        </w:rPr>
      </w:pPr>
    </w:p>
    <w:p w14:paraId="21A6165B" w14:textId="6659CFAB" w:rsidR="004B4634" w:rsidRPr="002A198E" w:rsidRDefault="00ED025A" w:rsidP="002A198E">
      <w:pPr>
        <w:widowControl w:val="0"/>
        <w:rPr>
          <w:lang w:val="en-CA"/>
        </w:rPr>
      </w:pPr>
      <w:r>
        <w:rPr>
          <w:lang w:val="en-CA"/>
        </w:rPr>
        <w:t xml:space="preserve">Fourth, the Federal Government makes large transfer payments to provinces/territories for programs, like health care. </w:t>
      </w:r>
    </w:p>
    <w:p w14:paraId="7BB452BC" w14:textId="77777777" w:rsidR="004B4634" w:rsidRPr="002A198E" w:rsidRDefault="004B4634" w:rsidP="002A198E">
      <w:pPr>
        <w:widowControl w:val="0"/>
        <w:rPr>
          <w:lang w:val="en-CA"/>
        </w:rPr>
      </w:pPr>
    </w:p>
    <w:p w14:paraId="4FD6E08B" w14:textId="56FE964F" w:rsidR="004B4634" w:rsidRPr="002A198E" w:rsidRDefault="008A1818" w:rsidP="002A198E">
      <w:pPr>
        <w:widowControl w:val="0"/>
        <w:rPr>
          <w:lang w:val="en-CA"/>
        </w:rPr>
      </w:pPr>
      <w:r>
        <w:rPr>
          <w:lang w:val="en-CA"/>
        </w:rPr>
        <w:t>This gives the Federal G</w:t>
      </w:r>
      <w:r w:rsidR="004B4634" w:rsidRPr="002A198E">
        <w:rPr>
          <w:lang w:val="en-CA"/>
        </w:rPr>
        <w:t>overnment substantial leverage to p</w:t>
      </w:r>
      <w:r>
        <w:rPr>
          <w:lang w:val="en-CA"/>
        </w:rPr>
        <w:t>romote accessibility. Barrier-</w:t>
      </w:r>
      <w:r w:rsidR="004B4634" w:rsidRPr="002A198E">
        <w:rPr>
          <w:lang w:val="en-CA"/>
        </w:rPr>
        <w:t>Free Canada’s principles include:</w:t>
      </w:r>
    </w:p>
    <w:p w14:paraId="01712438" w14:textId="77777777" w:rsidR="004B4634" w:rsidRPr="002A198E" w:rsidRDefault="004B4634" w:rsidP="002A198E">
      <w:pPr>
        <w:widowControl w:val="0"/>
        <w:rPr>
          <w:lang w:val="en-CA"/>
        </w:rPr>
      </w:pPr>
    </w:p>
    <w:p w14:paraId="6C872526" w14:textId="77777777" w:rsidR="004B4634" w:rsidRPr="002A198E" w:rsidRDefault="004B4634" w:rsidP="005B6813">
      <w:pPr>
        <w:widowControl w:val="0"/>
        <w:ind w:left="720" w:right="720"/>
        <w:rPr>
          <w:lang w:val="en-CA"/>
        </w:rPr>
      </w:pPr>
      <w:r w:rsidRPr="002A198E">
        <w:rPr>
          <w:lang w:val="en-CA"/>
        </w:rPr>
        <w:t xml:space="preserve">“10. The Canadians with Disabilities Act should require that the Government of Canada ensure that no public money </w:t>
      </w:r>
      <w:r w:rsidR="009D18D5" w:rsidRPr="002A198E">
        <w:rPr>
          <w:lang w:val="en-CA"/>
        </w:rPr>
        <w:t>is used</w:t>
      </w:r>
      <w:r w:rsidRPr="002A198E">
        <w:rPr>
          <w:lang w:val="en-CA"/>
        </w:rPr>
        <w:t xml:space="preserve"> to create or perpetuate barriers against persons with disabilities. For example, all federal departments, agencies, and crown corporations should be required to make it a strict condition of funding any program, or any capital or other infrastructure project, or of any transfer </w:t>
      </w:r>
      <w:r w:rsidR="009D18D5" w:rsidRPr="002A198E">
        <w:rPr>
          <w:lang w:val="en-CA"/>
        </w:rPr>
        <w:t>payment</w:t>
      </w:r>
      <w:r w:rsidRPr="002A198E">
        <w:rPr>
          <w:lang w:val="en-CA"/>
        </w:rPr>
        <w:t>, subsidy, loan, grant (such as research grants</w:t>
      </w:r>
      <w:r w:rsidR="009D18D5" w:rsidRPr="002A198E">
        <w:rPr>
          <w:lang w:val="en-CA"/>
        </w:rPr>
        <w:t>) or</w:t>
      </w:r>
      <w:r w:rsidRPr="002A198E">
        <w:rPr>
          <w:lang w:val="en-CA"/>
        </w:rPr>
        <w:t xml:space="preserve"> other payment of public funds, that no such funds may be used to create or perpetuate barriers against persons with disabilities. They should also be required to make it a condition of any procurement of any services, goods or facilities, that these be designed to be fully accessible to and usable by persons with disabilities. Any grant (including for example, research grant), loan, </w:t>
      </w:r>
      <w:r w:rsidR="009D18D5" w:rsidRPr="002A198E">
        <w:rPr>
          <w:lang w:val="en-CA"/>
        </w:rPr>
        <w:t>subsidy,</w:t>
      </w:r>
      <w:r w:rsidRPr="002A198E">
        <w:rPr>
          <w:lang w:val="en-CA"/>
        </w:rPr>
        <w:t xml:space="preserve"> contract or other such payment which does not so provide is void and unenforceable by the grant-recipient or contractor with the department, agency, or crown corporation in question. The Government of Canada should be required to monitor and enforce these requirements and to periodically report to the public on compliance.”</w:t>
      </w:r>
    </w:p>
    <w:p w14:paraId="17A9147A" w14:textId="77777777" w:rsidR="004B4634" w:rsidRPr="002A198E" w:rsidRDefault="004B4634" w:rsidP="002A198E">
      <w:pPr>
        <w:widowControl w:val="0"/>
        <w:rPr>
          <w:lang w:val="en-CA"/>
        </w:rPr>
      </w:pPr>
    </w:p>
    <w:p w14:paraId="4C833A1A" w14:textId="77777777" w:rsidR="004B4634" w:rsidRPr="002A198E" w:rsidRDefault="004B4634" w:rsidP="002A198E">
      <w:pPr>
        <w:widowControl w:val="0"/>
        <w:rPr>
          <w:lang w:val="en-CA"/>
        </w:rPr>
      </w:pPr>
      <w:r w:rsidRPr="002A198E">
        <w:rPr>
          <w:lang w:val="en-CA"/>
        </w:rPr>
        <w:t xml:space="preserve">The </w:t>
      </w:r>
      <w:r w:rsidR="00804557">
        <w:rPr>
          <w:lang w:val="en-CA"/>
        </w:rPr>
        <w:t xml:space="preserve">CDA </w:t>
      </w:r>
      <w:r w:rsidRPr="002A198E">
        <w:rPr>
          <w:lang w:val="en-CA"/>
        </w:rPr>
        <w:t xml:space="preserve">should require the Federal Government </w:t>
      </w:r>
      <w:r w:rsidR="00EC0DC5">
        <w:rPr>
          <w:lang w:val="en-CA"/>
        </w:rPr>
        <w:t xml:space="preserve">and federal agencies </w:t>
      </w:r>
      <w:r w:rsidRPr="002A198E">
        <w:rPr>
          <w:lang w:val="en-CA"/>
        </w:rPr>
        <w:t xml:space="preserve">to attach clear, strong and </w:t>
      </w:r>
      <w:r w:rsidR="009D18D5" w:rsidRPr="002A198E">
        <w:rPr>
          <w:lang w:val="en-CA"/>
        </w:rPr>
        <w:t>enforceable accessibility</w:t>
      </w:r>
      <w:r w:rsidRPr="002A198E">
        <w:rPr>
          <w:lang w:val="en-CA"/>
        </w:rPr>
        <w:t xml:space="preserve"> strings to all </w:t>
      </w:r>
      <w:r w:rsidR="00ED025A">
        <w:rPr>
          <w:lang w:val="en-CA"/>
        </w:rPr>
        <w:t xml:space="preserve">this </w:t>
      </w:r>
      <w:r w:rsidRPr="002A198E">
        <w:rPr>
          <w:lang w:val="en-CA"/>
        </w:rPr>
        <w:t xml:space="preserve">federal spending. Any infrastructure or other capital project built in whole or in part with </w:t>
      </w:r>
      <w:r w:rsidR="006C42AF">
        <w:rPr>
          <w:lang w:val="en-CA"/>
        </w:rPr>
        <w:t xml:space="preserve">federal </w:t>
      </w:r>
      <w:r w:rsidRPr="002A198E">
        <w:rPr>
          <w:lang w:val="en-CA"/>
        </w:rPr>
        <w:t xml:space="preserve">money should be required to be fully accessible. </w:t>
      </w:r>
      <w:r w:rsidR="006C42AF">
        <w:rPr>
          <w:lang w:val="en-CA"/>
        </w:rPr>
        <w:t>For example, n</w:t>
      </w:r>
      <w:r w:rsidRPr="002A198E">
        <w:rPr>
          <w:lang w:val="en-CA"/>
        </w:rPr>
        <w:t xml:space="preserve">o </w:t>
      </w:r>
      <w:r w:rsidR="006C42AF">
        <w:rPr>
          <w:lang w:val="en-CA"/>
        </w:rPr>
        <w:t xml:space="preserve">federal </w:t>
      </w:r>
      <w:r w:rsidRPr="002A198E">
        <w:rPr>
          <w:lang w:val="en-CA"/>
        </w:rPr>
        <w:t xml:space="preserve">money should be given to improve a building, if that improvement is located in a part of a building that is </w:t>
      </w:r>
      <w:r w:rsidR="006C42AF">
        <w:rPr>
          <w:lang w:val="en-CA"/>
        </w:rPr>
        <w:t>in</w:t>
      </w:r>
      <w:r w:rsidRPr="002A198E">
        <w:rPr>
          <w:lang w:val="en-CA"/>
        </w:rPr>
        <w:t xml:space="preserve">accessible, unless </w:t>
      </w:r>
      <w:r w:rsidR="006C42AF">
        <w:rPr>
          <w:lang w:val="en-CA"/>
        </w:rPr>
        <w:t xml:space="preserve">that part of that building </w:t>
      </w:r>
      <w:r w:rsidRPr="002A198E">
        <w:rPr>
          <w:lang w:val="en-CA"/>
        </w:rPr>
        <w:t xml:space="preserve">will become accessible. </w:t>
      </w:r>
    </w:p>
    <w:p w14:paraId="6158D09C" w14:textId="77777777" w:rsidR="006C42AF" w:rsidRDefault="006C42AF" w:rsidP="002A198E">
      <w:pPr>
        <w:widowControl w:val="0"/>
        <w:rPr>
          <w:lang w:val="en-CA"/>
        </w:rPr>
      </w:pPr>
    </w:p>
    <w:p w14:paraId="2747D05B" w14:textId="6BC98046" w:rsidR="004B4634" w:rsidRPr="002A198E" w:rsidRDefault="004B4634" w:rsidP="002A198E">
      <w:pPr>
        <w:widowControl w:val="0"/>
        <w:rPr>
          <w:lang w:val="en-CA"/>
        </w:rPr>
      </w:pPr>
      <w:r w:rsidRPr="002A198E">
        <w:rPr>
          <w:lang w:val="en-CA"/>
        </w:rPr>
        <w:t xml:space="preserve">When the Federal Government purchases or rents goods, services or facilities for its or </w:t>
      </w:r>
      <w:r w:rsidR="006C42AF">
        <w:rPr>
          <w:lang w:val="en-CA"/>
        </w:rPr>
        <w:t xml:space="preserve">the public's </w:t>
      </w:r>
      <w:r w:rsidRPr="002A198E">
        <w:rPr>
          <w:lang w:val="en-CA"/>
        </w:rPr>
        <w:t xml:space="preserve">use, it should ensure that those goods, services or facilities are accessible to and useable by people with disabilities. </w:t>
      </w:r>
      <w:r w:rsidR="008A1818">
        <w:rPr>
          <w:lang w:val="en-CA"/>
        </w:rPr>
        <w:t>Any bid on a procurement project</w:t>
      </w:r>
      <w:r w:rsidRPr="002A198E">
        <w:rPr>
          <w:lang w:val="en-CA"/>
        </w:rPr>
        <w:t xml:space="preserve"> should be required to specify that the goods, services or facilities are accessible, o</w:t>
      </w:r>
      <w:r w:rsidR="008A1818">
        <w:rPr>
          <w:lang w:val="en-CA"/>
        </w:rPr>
        <w:t>r commit to steps that the vendo</w:t>
      </w:r>
      <w:r w:rsidRPr="002A198E">
        <w:rPr>
          <w:lang w:val="en-CA"/>
        </w:rPr>
        <w:t xml:space="preserve">r will take to make them fully accessible. The Government should </w:t>
      </w:r>
      <w:r w:rsidR="00757A1C">
        <w:rPr>
          <w:lang w:val="en-CA"/>
        </w:rPr>
        <w:t xml:space="preserve">give this </w:t>
      </w:r>
      <w:r w:rsidRPr="002A198E">
        <w:rPr>
          <w:lang w:val="en-CA"/>
        </w:rPr>
        <w:t xml:space="preserve">significant weight, </w:t>
      </w:r>
      <w:r w:rsidR="001E709C">
        <w:rPr>
          <w:lang w:val="en-CA"/>
        </w:rPr>
        <w:t>in a procurement competition.</w:t>
      </w:r>
      <w:r w:rsidRPr="002A198E">
        <w:rPr>
          <w:lang w:val="en-CA"/>
        </w:rPr>
        <w:t xml:space="preserve"> </w:t>
      </w:r>
    </w:p>
    <w:p w14:paraId="09110B2E" w14:textId="77777777" w:rsidR="004B4634" w:rsidRPr="002A198E" w:rsidRDefault="004B4634" w:rsidP="002A198E">
      <w:pPr>
        <w:widowControl w:val="0"/>
        <w:rPr>
          <w:lang w:val="en-CA"/>
        </w:rPr>
      </w:pPr>
    </w:p>
    <w:p w14:paraId="6DE68833" w14:textId="77777777" w:rsidR="004B4634" w:rsidRPr="002A198E" w:rsidRDefault="004B4634" w:rsidP="002A198E">
      <w:pPr>
        <w:widowControl w:val="0"/>
        <w:rPr>
          <w:lang w:val="en-CA"/>
        </w:rPr>
      </w:pPr>
      <w:r w:rsidRPr="002A198E">
        <w:rPr>
          <w:lang w:val="en-CA"/>
        </w:rPr>
        <w:t xml:space="preserve">If an organization applies for any other Government grant or loan, or a subsidy for business development, the Government should make it clear that a preference will be given to applicants </w:t>
      </w:r>
      <w:r w:rsidRPr="002A198E">
        <w:rPr>
          <w:lang w:val="en-CA"/>
        </w:rPr>
        <w:lastRenderedPageBreak/>
        <w:t xml:space="preserve">who ensure that their workplace, goods, services and facilities are accessible, or </w:t>
      </w:r>
      <w:r w:rsidR="00250ADE">
        <w:rPr>
          <w:lang w:val="en-CA"/>
        </w:rPr>
        <w:t xml:space="preserve">who </w:t>
      </w:r>
      <w:r w:rsidRPr="002A198E">
        <w:rPr>
          <w:lang w:val="en-CA"/>
        </w:rPr>
        <w:t>stipulate accelerated deadlines for achieving accessibility.</w:t>
      </w:r>
    </w:p>
    <w:p w14:paraId="4003F7FA" w14:textId="77777777" w:rsidR="004B4634" w:rsidRPr="002A198E" w:rsidRDefault="004B4634" w:rsidP="002A198E">
      <w:pPr>
        <w:widowControl w:val="0"/>
        <w:rPr>
          <w:lang w:val="en-CA"/>
        </w:rPr>
      </w:pPr>
    </w:p>
    <w:p w14:paraId="734CF793" w14:textId="77777777" w:rsidR="004B4634" w:rsidRPr="002A198E" w:rsidRDefault="00250ADE" w:rsidP="002A198E">
      <w:pPr>
        <w:widowControl w:val="0"/>
        <w:rPr>
          <w:lang w:val="en-CA"/>
        </w:rPr>
      </w:pPr>
      <w:r>
        <w:rPr>
          <w:lang w:val="en-CA"/>
        </w:rPr>
        <w:t>R</w:t>
      </w:r>
      <w:r w:rsidR="004B4634" w:rsidRPr="002A198E">
        <w:rPr>
          <w:lang w:val="en-CA"/>
        </w:rPr>
        <w:t>esearch grants that include public funding should impose a condition that people with disabilities will be properly included in the research. Any research should ensure, where possible, that test subjects are not solely people without disabilities.</w:t>
      </w:r>
    </w:p>
    <w:p w14:paraId="6AC2C6B9" w14:textId="77777777" w:rsidR="004B4634" w:rsidRPr="002A198E" w:rsidRDefault="004B4634" w:rsidP="002A198E">
      <w:pPr>
        <w:widowControl w:val="0"/>
        <w:rPr>
          <w:lang w:val="en-CA"/>
        </w:rPr>
      </w:pPr>
    </w:p>
    <w:p w14:paraId="4D4E9F04" w14:textId="77777777" w:rsidR="00283A8B" w:rsidRDefault="003C1981" w:rsidP="002A198E">
      <w:pPr>
        <w:widowControl w:val="0"/>
        <w:rPr>
          <w:lang w:val="en-CA"/>
        </w:rPr>
      </w:pPr>
      <w:r>
        <w:rPr>
          <w:lang w:val="en-CA"/>
        </w:rPr>
        <w:t>When</w:t>
      </w:r>
      <w:r w:rsidR="00283A8B">
        <w:rPr>
          <w:lang w:val="en-CA"/>
        </w:rPr>
        <w:t xml:space="preserve"> federal public money is used to fund a province's health care system, that provincial health care system must fulfil federal disability accessibility requirements, just as it must meet other federal requirements</w:t>
      </w:r>
      <w:r>
        <w:rPr>
          <w:lang w:val="en-CA"/>
        </w:rPr>
        <w:t xml:space="preserve">. </w:t>
      </w:r>
    </w:p>
    <w:p w14:paraId="5C37474D" w14:textId="77777777" w:rsidR="003C1981" w:rsidRDefault="003C1981" w:rsidP="002A198E">
      <w:pPr>
        <w:widowControl w:val="0"/>
        <w:rPr>
          <w:lang w:val="en-CA"/>
        </w:rPr>
      </w:pPr>
    </w:p>
    <w:p w14:paraId="4FB72F8F" w14:textId="610FEB6E" w:rsidR="004B4634" w:rsidRPr="002A198E" w:rsidRDefault="00283A8B" w:rsidP="002A198E">
      <w:pPr>
        <w:widowControl w:val="0"/>
        <w:rPr>
          <w:lang w:val="en-CA"/>
        </w:rPr>
      </w:pPr>
      <w:r>
        <w:rPr>
          <w:lang w:val="en-CA"/>
        </w:rPr>
        <w:t xml:space="preserve">These together </w:t>
      </w:r>
      <w:r w:rsidR="004B4634" w:rsidRPr="002A198E">
        <w:rPr>
          <w:lang w:val="en-CA"/>
        </w:rPr>
        <w:t xml:space="preserve">would create a substantial incentive to produce accessible goods, services, facilities and capital projects, and to operate accessible programs and workplaces. Once a recipient ensures that their goods, services or facilities are accessible, </w:t>
      </w:r>
      <w:r w:rsidR="000D4695">
        <w:rPr>
          <w:lang w:val="en-CA"/>
        </w:rPr>
        <w:t xml:space="preserve">they can serve a much larger market. </w:t>
      </w:r>
      <w:r w:rsidR="00047976">
        <w:rPr>
          <w:lang w:val="en-CA"/>
        </w:rPr>
        <w:t>That vendo</w:t>
      </w:r>
      <w:r w:rsidR="004B4634" w:rsidRPr="002A198E">
        <w:rPr>
          <w:lang w:val="en-CA"/>
        </w:rPr>
        <w:t xml:space="preserve">r can also meet the unmet demand across Canada and around the world, for accessible goods, services and facilities. There are an estimated one billion persons with disabilities around the world, a huge untapped market. </w:t>
      </w:r>
    </w:p>
    <w:p w14:paraId="41A871F1" w14:textId="77777777" w:rsidR="004B4634" w:rsidRPr="002A198E" w:rsidRDefault="004B4634" w:rsidP="002A198E">
      <w:pPr>
        <w:widowControl w:val="0"/>
        <w:rPr>
          <w:lang w:val="en-CA"/>
        </w:rPr>
      </w:pPr>
    </w:p>
    <w:p w14:paraId="76280117" w14:textId="13595498" w:rsidR="004B4634" w:rsidRPr="002A198E" w:rsidRDefault="00EB01F8" w:rsidP="002A198E">
      <w:pPr>
        <w:widowControl w:val="0"/>
        <w:rPr>
          <w:lang w:val="en-CA"/>
        </w:rPr>
      </w:pPr>
      <w:r>
        <w:rPr>
          <w:lang w:val="en-CA"/>
        </w:rPr>
        <w:t xml:space="preserve">Far more organizations compete for federal loans, grants or contracts than the </w:t>
      </w:r>
      <w:r w:rsidRPr="00EB01F8">
        <w:rPr>
          <w:lang w:val="en-CA"/>
        </w:rPr>
        <w:t xml:space="preserve">Government </w:t>
      </w:r>
      <w:r>
        <w:rPr>
          <w:lang w:val="en-CA"/>
        </w:rPr>
        <w:t>ultimately chooses</w:t>
      </w:r>
      <w:r w:rsidR="003F038C">
        <w:rPr>
          <w:lang w:val="en-CA"/>
        </w:rPr>
        <w:t xml:space="preserve"> to give federal funds</w:t>
      </w:r>
      <w:r>
        <w:rPr>
          <w:lang w:val="en-CA"/>
        </w:rPr>
        <w:t xml:space="preserve">. </w:t>
      </w:r>
      <w:r w:rsidR="004B4634" w:rsidRPr="002A198E">
        <w:rPr>
          <w:lang w:val="en-CA"/>
        </w:rPr>
        <w:t>By making accessibility an important</w:t>
      </w:r>
      <w:r>
        <w:rPr>
          <w:lang w:val="en-CA"/>
        </w:rPr>
        <w:t>,</w:t>
      </w:r>
      <w:r w:rsidR="004B4634" w:rsidRPr="002A198E">
        <w:rPr>
          <w:lang w:val="en-CA"/>
        </w:rPr>
        <w:t xml:space="preserve"> highly visible factor, </w:t>
      </w:r>
      <w:r w:rsidR="00076D37" w:rsidRPr="002A198E">
        <w:rPr>
          <w:lang w:val="en-CA"/>
        </w:rPr>
        <w:t xml:space="preserve">applicants </w:t>
      </w:r>
      <w:r>
        <w:rPr>
          <w:lang w:val="en-CA"/>
        </w:rPr>
        <w:t xml:space="preserve">will </w:t>
      </w:r>
      <w:r w:rsidR="004B4634" w:rsidRPr="002A198E">
        <w:rPr>
          <w:lang w:val="en-CA"/>
        </w:rPr>
        <w:t>try to out-bid each other on their accessibility commitments.</w:t>
      </w:r>
    </w:p>
    <w:p w14:paraId="77BEC7B0" w14:textId="77777777" w:rsidR="004B4634" w:rsidRPr="002A198E" w:rsidRDefault="004B4634" w:rsidP="002A198E">
      <w:pPr>
        <w:widowControl w:val="0"/>
        <w:rPr>
          <w:lang w:val="en-CA"/>
        </w:rPr>
      </w:pPr>
    </w:p>
    <w:p w14:paraId="6CFFA059" w14:textId="77777777" w:rsidR="004B4634" w:rsidRPr="002A198E" w:rsidRDefault="004B4634" w:rsidP="002A198E">
      <w:pPr>
        <w:widowControl w:val="0"/>
        <w:rPr>
          <w:lang w:val="en-CA"/>
        </w:rPr>
      </w:pPr>
      <w:r w:rsidRPr="002A198E">
        <w:rPr>
          <w:lang w:val="en-CA"/>
        </w:rPr>
        <w:t xml:space="preserve">If the federal government </w:t>
      </w:r>
      <w:r w:rsidR="0088309A">
        <w:rPr>
          <w:lang w:val="en-CA"/>
        </w:rPr>
        <w:t xml:space="preserve">just makes </w:t>
      </w:r>
      <w:r w:rsidR="002F5FA1">
        <w:rPr>
          <w:lang w:val="en-CA"/>
        </w:rPr>
        <w:t xml:space="preserve">this </w:t>
      </w:r>
      <w:r w:rsidRPr="002A198E">
        <w:rPr>
          <w:lang w:val="en-CA"/>
        </w:rPr>
        <w:t xml:space="preserve">a policy, rather than an </w:t>
      </w:r>
      <w:r w:rsidR="0088309A">
        <w:rPr>
          <w:lang w:val="en-CA"/>
        </w:rPr>
        <w:t xml:space="preserve">enforced law, </w:t>
      </w:r>
      <w:r w:rsidRPr="002A198E">
        <w:rPr>
          <w:lang w:val="en-CA"/>
        </w:rPr>
        <w:t xml:space="preserve">it </w:t>
      </w:r>
      <w:r w:rsidR="00F2286C">
        <w:rPr>
          <w:lang w:val="en-CA"/>
        </w:rPr>
        <w:t xml:space="preserve">won't </w:t>
      </w:r>
      <w:r w:rsidRPr="002A198E">
        <w:rPr>
          <w:lang w:val="en-CA"/>
        </w:rPr>
        <w:t xml:space="preserve">be consistently </w:t>
      </w:r>
      <w:r w:rsidR="00D022C9">
        <w:rPr>
          <w:lang w:val="en-CA"/>
        </w:rPr>
        <w:t>obeyed</w:t>
      </w:r>
      <w:r w:rsidR="00D022C9" w:rsidRPr="002A198E">
        <w:rPr>
          <w:lang w:val="en-CA"/>
        </w:rPr>
        <w:t>.</w:t>
      </w:r>
      <w:r w:rsidR="00D022C9">
        <w:rPr>
          <w:lang w:val="en-CA"/>
        </w:rPr>
        <w:t xml:space="preserve"> </w:t>
      </w:r>
      <w:r w:rsidR="00D022C9" w:rsidRPr="002A198E">
        <w:rPr>
          <w:lang w:val="en-CA"/>
        </w:rPr>
        <w:t>If</w:t>
      </w:r>
      <w:r w:rsidRPr="002A198E">
        <w:rPr>
          <w:lang w:val="en-CA"/>
        </w:rPr>
        <w:t xml:space="preserve"> it is </w:t>
      </w:r>
      <w:r w:rsidR="0088309A">
        <w:rPr>
          <w:lang w:val="en-CA"/>
        </w:rPr>
        <w:t xml:space="preserve">just made a </w:t>
      </w:r>
      <w:r w:rsidRPr="002A198E">
        <w:rPr>
          <w:lang w:val="en-CA"/>
        </w:rPr>
        <w:t xml:space="preserve">policy, a future government can </w:t>
      </w:r>
      <w:r w:rsidR="0088309A">
        <w:rPr>
          <w:lang w:val="en-CA"/>
        </w:rPr>
        <w:t xml:space="preserve">kill </w:t>
      </w:r>
      <w:r w:rsidRPr="002A198E">
        <w:rPr>
          <w:lang w:val="en-CA"/>
        </w:rPr>
        <w:t xml:space="preserve">or </w:t>
      </w:r>
      <w:r w:rsidR="0088309A">
        <w:rPr>
          <w:lang w:val="en-CA"/>
        </w:rPr>
        <w:t xml:space="preserve">gut </w:t>
      </w:r>
      <w:r w:rsidRPr="002A198E">
        <w:rPr>
          <w:lang w:val="en-CA"/>
        </w:rPr>
        <w:t>it without Parliament’s approval.</w:t>
      </w:r>
    </w:p>
    <w:p w14:paraId="25B76873" w14:textId="77777777" w:rsidR="004B4634" w:rsidRPr="002A198E" w:rsidRDefault="004B4634" w:rsidP="002A198E">
      <w:pPr>
        <w:widowControl w:val="0"/>
        <w:rPr>
          <w:lang w:val="en-CA"/>
        </w:rPr>
      </w:pPr>
    </w:p>
    <w:p w14:paraId="082ECFD5" w14:textId="708A0931" w:rsidR="001F5D6F" w:rsidRDefault="001F5D6F" w:rsidP="001F5D6F">
      <w:pPr>
        <w:widowControl w:val="0"/>
        <w:rPr>
          <w:lang w:val="en-CA"/>
        </w:rPr>
      </w:pPr>
      <w:r>
        <w:rPr>
          <w:lang w:val="en-CA"/>
        </w:rPr>
        <w:t>Strings attached to federal money must</w:t>
      </w:r>
      <w:r w:rsidR="000054A8">
        <w:rPr>
          <w:lang w:val="en-CA"/>
        </w:rPr>
        <w:t>n't just</w:t>
      </w:r>
      <w:r>
        <w:rPr>
          <w:lang w:val="en-CA"/>
        </w:rPr>
        <w:t xml:space="preserve"> requir</w:t>
      </w:r>
      <w:r w:rsidR="00EE3F41">
        <w:rPr>
          <w:lang w:val="en-CA"/>
        </w:rPr>
        <w:t>e</w:t>
      </w:r>
      <w:r>
        <w:rPr>
          <w:lang w:val="en-CA"/>
        </w:rPr>
        <w:t xml:space="preserve"> that accessibility will be considered or that the CDA will be obeyed. </w:t>
      </w:r>
      <w:r w:rsidR="00047976">
        <w:rPr>
          <w:lang w:val="en-CA"/>
        </w:rPr>
        <w:t>Detailed standards outlining the accessibility requirements attached to federal funding must be developed and enforced under the CDA</w:t>
      </w:r>
      <w:r>
        <w:rPr>
          <w:lang w:val="en-CA"/>
        </w:rPr>
        <w:t>.</w:t>
      </w:r>
      <w:r w:rsidR="002F5FA1">
        <w:rPr>
          <w:lang w:val="en-CA"/>
        </w:rPr>
        <w:t xml:space="preserve"> Each Federal Government department and agency should not have to reinvent the wheel when setting accessibility conditions for capital, infrastructure, procurement or other like spending.</w:t>
      </w:r>
      <w:r>
        <w:rPr>
          <w:lang w:val="en-CA"/>
        </w:rPr>
        <w:t xml:space="preserve"> </w:t>
      </w:r>
    </w:p>
    <w:p w14:paraId="06E7DFDF" w14:textId="77777777" w:rsidR="001F5D6F" w:rsidRDefault="001F5D6F" w:rsidP="002A198E">
      <w:pPr>
        <w:widowControl w:val="0"/>
        <w:rPr>
          <w:lang w:val="en-CA"/>
        </w:rPr>
      </w:pPr>
    </w:p>
    <w:p w14:paraId="0884180D" w14:textId="77777777" w:rsidR="004B4634" w:rsidRPr="002A198E" w:rsidRDefault="0088309A" w:rsidP="002A198E">
      <w:pPr>
        <w:widowControl w:val="0"/>
        <w:rPr>
          <w:lang w:val="en-CA"/>
        </w:rPr>
      </w:pPr>
      <w:r>
        <w:rPr>
          <w:lang w:val="en-CA"/>
        </w:rPr>
        <w:t xml:space="preserve">Ontario experience shows </w:t>
      </w:r>
      <w:r w:rsidR="00F26A8D">
        <w:rPr>
          <w:lang w:val="en-CA"/>
        </w:rPr>
        <w:t xml:space="preserve">this </w:t>
      </w:r>
      <w:r>
        <w:rPr>
          <w:lang w:val="en-CA"/>
        </w:rPr>
        <w:t>must be clearly legislated</w:t>
      </w:r>
      <w:r w:rsidR="004F332C">
        <w:rPr>
          <w:lang w:val="en-CA"/>
        </w:rPr>
        <w:t>, monitored and enforced</w:t>
      </w:r>
      <w:r>
        <w:rPr>
          <w:lang w:val="en-CA"/>
        </w:rPr>
        <w:t xml:space="preserve">. </w:t>
      </w:r>
      <w:r w:rsidR="004B4634" w:rsidRPr="002A198E">
        <w:rPr>
          <w:lang w:val="en-CA"/>
        </w:rPr>
        <w:t xml:space="preserve">There has been limited success in getting some new </w:t>
      </w:r>
      <w:r w:rsidR="00F26A8D">
        <w:rPr>
          <w:lang w:val="en-CA"/>
        </w:rPr>
        <w:t xml:space="preserve">Ontario </w:t>
      </w:r>
      <w:r w:rsidR="004B4634" w:rsidRPr="002A198E">
        <w:rPr>
          <w:lang w:val="en-CA"/>
        </w:rPr>
        <w:t>laws enacted and policies adopted. They lack needed visibility, strength and enforcement.</w:t>
      </w:r>
      <w:r w:rsidR="002A198E" w:rsidRPr="002A198E">
        <w:rPr>
          <w:lang w:val="en-CA"/>
        </w:rPr>
        <w:t xml:space="preserve"> </w:t>
      </w:r>
      <w:r w:rsidR="004B4634" w:rsidRPr="002A198E">
        <w:rPr>
          <w:lang w:val="en-CA"/>
        </w:rPr>
        <w:t xml:space="preserve">They have not </w:t>
      </w:r>
      <w:r w:rsidR="00F26A8D">
        <w:rPr>
          <w:lang w:val="en-CA"/>
        </w:rPr>
        <w:t xml:space="preserve">had </w:t>
      </w:r>
      <w:r w:rsidR="004B4634" w:rsidRPr="002A198E">
        <w:rPr>
          <w:lang w:val="en-CA"/>
        </w:rPr>
        <w:t xml:space="preserve">the impact needed. </w:t>
      </w:r>
      <w:r w:rsidR="00F26A8D">
        <w:rPr>
          <w:lang w:val="en-CA"/>
        </w:rPr>
        <w:t>T</w:t>
      </w:r>
      <w:r w:rsidR="004B4634" w:rsidRPr="002A198E">
        <w:rPr>
          <w:lang w:val="en-CA"/>
        </w:rPr>
        <w:t>he Ontario Government has missed out on huge opportunities to generate greater accessibilit</w:t>
      </w:r>
      <w:r w:rsidR="00C43252">
        <w:rPr>
          <w:lang w:val="en-CA"/>
        </w:rPr>
        <w:t>y</w:t>
      </w:r>
      <w:r w:rsidR="004B4634" w:rsidRPr="002A198E">
        <w:rPr>
          <w:lang w:val="en-CA"/>
        </w:rPr>
        <w:t>.</w:t>
      </w:r>
    </w:p>
    <w:p w14:paraId="4E9B5A60" w14:textId="77777777" w:rsidR="004B4634" w:rsidRPr="002A198E" w:rsidRDefault="004B4634" w:rsidP="002A198E">
      <w:pPr>
        <w:widowControl w:val="0"/>
        <w:rPr>
          <w:lang w:val="en-CA"/>
        </w:rPr>
      </w:pPr>
    </w:p>
    <w:p w14:paraId="38E702CC" w14:textId="36C98550" w:rsidR="004B4634" w:rsidRPr="002A198E" w:rsidRDefault="00775FD1" w:rsidP="002A198E">
      <w:pPr>
        <w:widowControl w:val="0"/>
        <w:rPr>
          <w:lang w:val="en-CA"/>
        </w:rPr>
      </w:pPr>
      <w:r>
        <w:rPr>
          <w:lang w:val="en-CA"/>
        </w:rPr>
        <w:t xml:space="preserve">In 2011, </w:t>
      </w:r>
      <w:r w:rsidR="004B4634" w:rsidRPr="002A198E">
        <w:rPr>
          <w:lang w:val="en-CA"/>
        </w:rPr>
        <w:t>the Ontario Government unveiled a Ten-Year Infrastructure Plan</w:t>
      </w:r>
      <w:r w:rsidR="00047976">
        <w:rPr>
          <w:lang w:val="en-CA"/>
        </w:rPr>
        <w:t>, setting</w:t>
      </w:r>
      <w:r w:rsidR="004B4634" w:rsidRPr="002A198E">
        <w:rPr>
          <w:lang w:val="en-CA"/>
        </w:rPr>
        <w:t xml:space="preserve"> policies and principles to govern Ontario infrastructure spending.</w:t>
      </w:r>
      <w:r>
        <w:rPr>
          <w:lang w:val="en-CA"/>
        </w:rPr>
        <w:t xml:space="preserve"> </w:t>
      </w:r>
      <w:r w:rsidR="004B4634" w:rsidRPr="002A198E">
        <w:rPr>
          <w:lang w:val="en-CA"/>
        </w:rPr>
        <w:t>As a result of grassroots disability advocacy, mandatory accessibility requir</w:t>
      </w:r>
      <w:r w:rsidR="00047976">
        <w:rPr>
          <w:lang w:val="en-CA"/>
        </w:rPr>
        <w:t>ements were enshrined in this ten</w:t>
      </w:r>
      <w:r w:rsidR="004B4634" w:rsidRPr="002A198E">
        <w:rPr>
          <w:lang w:val="en-CA"/>
        </w:rPr>
        <w:t xml:space="preserve">-year plan. However, the Ontario Government has made public </w:t>
      </w:r>
      <w:r w:rsidR="004279B5">
        <w:rPr>
          <w:lang w:val="en-CA"/>
        </w:rPr>
        <w:t xml:space="preserve">no </w:t>
      </w:r>
      <w:r w:rsidR="004B4634" w:rsidRPr="002A198E">
        <w:rPr>
          <w:lang w:val="en-CA"/>
        </w:rPr>
        <w:t xml:space="preserve">plans </w:t>
      </w:r>
      <w:r w:rsidR="004279B5">
        <w:rPr>
          <w:lang w:val="en-CA"/>
        </w:rPr>
        <w:t xml:space="preserve">to </w:t>
      </w:r>
      <w:r w:rsidR="004B4634" w:rsidRPr="002A198E">
        <w:rPr>
          <w:lang w:val="en-CA"/>
        </w:rPr>
        <w:t>effectively implement, monitor and enforc</w:t>
      </w:r>
      <w:r w:rsidR="004279B5">
        <w:rPr>
          <w:lang w:val="en-CA"/>
        </w:rPr>
        <w:t>e</w:t>
      </w:r>
      <w:r w:rsidR="004B4634" w:rsidRPr="002A198E">
        <w:rPr>
          <w:lang w:val="en-CA"/>
        </w:rPr>
        <w:t xml:space="preserve"> this requirement. </w:t>
      </w:r>
    </w:p>
    <w:p w14:paraId="1163117F" w14:textId="77777777" w:rsidR="004B4634" w:rsidRPr="002A198E" w:rsidRDefault="004B4634" w:rsidP="002A198E">
      <w:pPr>
        <w:widowControl w:val="0"/>
        <w:rPr>
          <w:lang w:val="en-CA"/>
        </w:rPr>
      </w:pPr>
    </w:p>
    <w:p w14:paraId="20A2F042" w14:textId="29F633FF" w:rsidR="001F5D6F" w:rsidRDefault="00775FD1" w:rsidP="00047976">
      <w:pPr>
        <w:widowControl w:val="0"/>
        <w:ind w:right="720"/>
        <w:rPr>
          <w:lang w:val="en-CA"/>
        </w:rPr>
      </w:pPr>
      <w:r>
        <w:rPr>
          <w:lang w:val="en-CA"/>
        </w:rPr>
        <w:t>Unenforceable p</w:t>
      </w:r>
      <w:r w:rsidR="004B4634" w:rsidRPr="002A198E">
        <w:rPr>
          <w:lang w:val="en-CA"/>
        </w:rPr>
        <w:t xml:space="preserve">rovisions in the weak </w:t>
      </w:r>
      <w:r w:rsidR="004B4634" w:rsidRPr="00047976">
        <w:rPr>
          <w:i/>
          <w:lang w:val="en-CA"/>
        </w:rPr>
        <w:t>Ontarians with Disabilities Act</w:t>
      </w:r>
      <w:r w:rsidR="004B4634" w:rsidRPr="002A198E">
        <w:rPr>
          <w:lang w:val="en-CA"/>
        </w:rPr>
        <w:t xml:space="preserve"> 2001</w:t>
      </w:r>
      <w:r>
        <w:rPr>
          <w:lang w:val="en-CA"/>
        </w:rPr>
        <w:t xml:space="preserve"> (ODA)</w:t>
      </w:r>
      <w:r w:rsidR="004B4634" w:rsidRPr="002A198E">
        <w:rPr>
          <w:lang w:val="en-CA"/>
        </w:rPr>
        <w:t>,</w:t>
      </w:r>
      <w:r>
        <w:rPr>
          <w:rStyle w:val="EndnoteReference"/>
          <w:lang w:val="en-CA"/>
        </w:rPr>
        <w:endnoteReference w:id="67"/>
      </w:r>
      <w:r w:rsidR="004B4634" w:rsidRPr="002A198E">
        <w:rPr>
          <w:lang w:val="en-CA"/>
        </w:rPr>
        <w:t xml:space="preserve"> the </w:t>
      </w:r>
      <w:r>
        <w:rPr>
          <w:lang w:val="en-CA"/>
        </w:rPr>
        <w:t xml:space="preserve">AODA's </w:t>
      </w:r>
      <w:r w:rsidR="004B4634" w:rsidRPr="002A198E">
        <w:rPr>
          <w:lang w:val="en-CA"/>
        </w:rPr>
        <w:t>precursor</w:t>
      </w:r>
      <w:r w:rsidR="00047976">
        <w:rPr>
          <w:lang w:val="en-CA"/>
        </w:rPr>
        <w:t>,</w:t>
      </w:r>
      <w:r w:rsidR="004B4634" w:rsidRPr="002A198E">
        <w:rPr>
          <w:lang w:val="en-CA"/>
        </w:rPr>
        <w:t xml:space="preserve"> </w:t>
      </w:r>
      <w:r w:rsidR="00076D37" w:rsidRPr="002A198E">
        <w:rPr>
          <w:lang w:val="en-CA"/>
        </w:rPr>
        <w:t>also</w:t>
      </w:r>
      <w:r w:rsidR="004B4634" w:rsidRPr="002A198E">
        <w:rPr>
          <w:lang w:val="en-CA"/>
        </w:rPr>
        <w:t xml:space="preserve"> address</w:t>
      </w:r>
      <w:r w:rsidR="00047976">
        <w:rPr>
          <w:lang w:val="en-CA"/>
        </w:rPr>
        <w:t>es</w:t>
      </w:r>
      <w:r w:rsidR="004B4634" w:rsidRPr="002A198E">
        <w:rPr>
          <w:lang w:val="en-CA"/>
        </w:rPr>
        <w:t xml:space="preserve"> accessibility requirements when the Ontario Government </w:t>
      </w:r>
      <w:r w:rsidR="00214960">
        <w:rPr>
          <w:lang w:val="en-CA"/>
        </w:rPr>
        <w:t xml:space="preserve">spends on </w:t>
      </w:r>
      <w:r w:rsidR="004B4634" w:rsidRPr="002A198E">
        <w:rPr>
          <w:lang w:val="en-CA"/>
        </w:rPr>
        <w:t>capital or procurement.</w:t>
      </w:r>
      <w:r w:rsidR="001F5D6F">
        <w:rPr>
          <w:lang w:val="en-CA"/>
        </w:rPr>
        <w:t xml:space="preserve"> </w:t>
      </w:r>
      <w:r w:rsidR="00597CF1">
        <w:rPr>
          <w:lang w:val="en-CA"/>
        </w:rPr>
        <w:t>Ontario accessibility standards</w:t>
      </w:r>
      <w:r w:rsidR="001F5D6F">
        <w:rPr>
          <w:lang w:val="en-CA"/>
        </w:rPr>
        <w:t xml:space="preserve"> include </w:t>
      </w:r>
      <w:r w:rsidR="001F5D6F">
        <w:rPr>
          <w:lang w:val="en-CA"/>
        </w:rPr>
        <w:lastRenderedPageBreak/>
        <w:t>requirements for Ontario public sector organizations to procure accessible goods, services and facilities, including electronic kiosks.</w:t>
      </w:r>
      <w:r w:rsidR="001F5D6F">
        <w:rPr>
          <w:rStyle w:val="EndnoteReference"/>
          <w:lang w:val="en-CA"/>
        </w:rPr>
        <w:endnoteReference w:id="68"/>
      </w:r>
      <w:r w:rsidR="001F5D6F">
        <w:rPr>
          <w:lang w:val="en-CA"/>
        </w:rPr>
        <w:t xml:space="preserve"> </w:t>
      </w:r>
    </w:p>
    <w:p w14:paraId="25E7D385" w14:textId="77777777" w:rsidR="004B4634" w:rsidRPr="002A198E" w:rsidRDefault="004B4634" w:rsidP="00775FD1">
      <w:pPr>
        <w:widowControl w:val="0"/>
        <w:rPr>
          <w:lang w:val="en-CA"/>
        </w:rPr>
      </w:pPr>
      <w:r w:rsidRPr="002A198E">
        <w:rPr>
          <w:lang w:val="en-CA"/>
        </w:rPr>
        <w:t xml:space="preserve"> </w:t>
      </w:r>
    </w:p>
    <w:p w14:paraId="49AA49FE" w14:textId="77777777" w:rsidR="00EC1C96" w:rsidRDefault="00917B41" w:rsidP="002A198E">
      <w:pPr>
        <w:widowControl w:val="0"/>
        <w:rPr>
          <w:lang w:val="en-CA"/>
        </w:rPr>
      </w:pPr>
      <w:r>
        <w:rPr>
          <w:lang w:val="en-CA"/>
        </w:rPr>
        <w:t xml:space="preserve">Despite these, </w:t>
      </w:r>
      <w:r w:rsidR="004B4634" w:rsidRPr="002A198E">
        <w:rPr>
          <w:lang w:val="en-CA"/>
        </w:rPr>
        <w:t>Ontario public money continue</w:t>
      </w:r>
      <w:r w:rsidR="007F4A84">
        <w:rPr>
          <w:lang w:val="en-CA"/>
        </w:rPr>
        <w:t>s</w:t>
      </w:r>
      <w:r w:rsidR="004B4634" w:rsidRPr="002A198E">
        <w:rPr>
          <w:lang w:val="en-CA"/>
        </w:rPr>
        <w:t xml:space="preserve"> to be used to create, perpetuate or exacerbate </w:t>
      </w:r>
      <w:r w:rsidR="00AA5FED" w:rsidRPr="002A198E">
        <w:rPr>
          <w:lang w:val="en-CA"/>
        </w:rPr>
        <w:t>accessibility barriers</w:t>
      </w:r>
      <w:r w:rsidR="004B4634" w:rsidRPr="002A198E">
        <w:rPr>
          <w:lang w:val="en-CA"/>
        </w:rPr>
        <w:t xml:space="preserve">. </w:t>
      </w:r>
      <w:r w:rsidR="00EC1C96">
        <w:rPr>
          <w:lang w:val="en-CA"/>
        </w:rPr>
        <w:t>For example, i</w:t>
      </w:r>
      <w:r w:rsidR="004B4634" w:rsidRPr="002A198E">
        <w:rPr>
          <w:lang w:val="en-CA"/>
        </w:rPr>
        <w:t xml:space="preserve">n 2010, the Ontario government unveiled </w:t>
      </w:r>
      <w:r w:rsidR="00BB1C80">
        <w:rPr>
          <w:lang w:val="en-CA"/>
        </w:rPr>
        <w:t xml:space="preserve">the </w:t>
      </w:r>
      <w:r w:rsidR="004B4634" w:rsidRPr="002A198E">
        <w:rPr>
          <w:lang w:val="en-CA"/>
        </w:rPr>
        <w:t>Presto Smart Card, for paying public transit fares</w:t>
      </w:r>
      <w:r w:rsidR="00126228">
        <w:rPr>
          <w:lang w:val="en-CA"/>
        </w:rPr>
        <w:t xml:space="preserve">, replete with accessibility barriers. </w:t>
      </w:r>
      <w:r w:rsidR="004B4634" w:rsidRPr="002A198E">
        <w:rPr>
          <w:lang w:val="en-CA"/>
        </w:rPr>
        <w:t xml:space="preserve">The machines to check </w:t>
      </w:r>
      <w:r w:rsidR="00BB1C80">
        <w:rPr>
          <w:lang w:val="en-CA"/>
        </w:rPr>
        <w:t xml:space="preserve">a </w:t>
      </w:r>
      <w:r w:rsidR="004B4634" w:rsidRPr="002A198E">
        <w:rPr>
          <w:lang w:val="en-CA"/>
        </w:rPr>
        <w:t>card balance at transit stations only provided information on a screen. There was no audio output for people with vision loss or dyslexia.</w:t>
      </w:r>
      <w:r w:rsidR="00BB1C80">
        <w:rPr>
          <w:lang w:val="en-CA"/>
        </w:rPr>
        <w:t xml:space="preserve"> </w:t>
      </w:r>
    </w:p>
    <w:p w14:paraId="24E5635A" w14:textId="77777777" w:rsidR="00EC1C96" w:rsidRDefault="00EC1C96" w:rsidP="002A198E">
      <w:pPr>
        <w:widowControl w:val="0"/>
        <w:rPr>
          <w:lang w:val="en-CA"/>
        </w:rPr>
      </w:pPr>
    </w:p>
    <w:p w14:paraId="0F213184" w14:textId="3571899B" w:rsidR="004B4634" w:rsidRPr="002A198E" w:rsidRDefault="004B4634" w:rsidP="002A198E">
      <w:pPr>
        <w:widowControl w:val="0"/>
        <w:rPr>
          <w:lang w:val="en-CA"/>
        </w:rPr>
      </w:pPr>
      <w:r w:rsidRPr="002A198E">
        <w:rPr>
          <w:lang w:val="en-CA"/>
        </w:rPr>
        <w:t xml:space="preserve">The Ontario Government built </w:t>
      </w:r>
      <w:r w:rsidR="00EC1C96">
        <w:rPr>
          <w:lang w:val="en-CA"/>
        </w:rPr>
        <w:t xml:space="preserve">huge </w:t>
      </w:r>
      <w:r w:rsidRPr="002A198E">
        <w:rPr>
          <w:lang w:val="en-CA"/>
        </w:rPr>
        <w:t xml:space="preserve">new courthouses in Durham Region and Kitchener. </w:t>
      </w:r>
      <w:r w:rsidR="00A4391A">
        <w:rPr>
          <w:lang w:val="en-CA"/>
        </w:rPr>
        <w:t>Fully t</w:t>
      </w:r>
      <w:r w:rsidR="00BB1C80">
        <w:rPr>
          <w:lang w:val="en-CA"/>
        </w:rPr>
        <w:t xml:space="preserve">hree quarters of all </w:t>
      </w:r>
      <w:r w:rsidR="00EC1C96">
        <w:rPr>
          <w:lang w:val="en-CA"/>
        </w:rPr>
        <w:t xml:space="preserve">their </w:t>
      </w:r>
      <w:r w:rsidR="00BB1C80">
        <w:rPr>
          <w:lang w:val="en-CA"/>
        </w:rPr>
        <w:t>courtroo</w:t>
      </w:r>
      <w:r w:rsidR="00047976">
        <w:rPr>
          <w:lang w:val="en-CA"/>
        </w:rPr>
        <w:t>ms have inaccessible judicial da</w:t>
      </w:r>
      <w:r w:rsidR="00BB1C80">
        <w:rPr>
          <w:lang w:val="en-CA"/>
        </w:rPr>
        <w:t xml:space="preserve">ises. </w:t>
      </w:r>
    </w:p>
    <w:p w14:paraId="077542D0" w14:textId="77777777" w:rsidR="004B4634" w:rsidRPr="002A198E" w:rsidRDefault="004B4634" w:rsidP="002A198E">
      <w:pPr>
        <w:widowControl w:val="0"/>
        <w:rPr>
          <w:lang w:val="en-CA"/>
        </w:rPr>
      </w:pPr>
    </w:p>
    <w:p w14:paraId="3890DF55" w14:textId="77777777" w:rsidR="004B4634" w:rsidRPr="002A198E" w:rsidRDefault="009A364A" w:rsidP="002A198E">
      <w:pPr>
        <w:pStyle w:val="Heading2"/>
        <w:keepNext w:val="0"/>
        <w:keepLines w:val="0"/>
        <w:widowControl w:val="0"/>
        <w:spacing w:before="0"/>
        <w:rPr>
          <w:lang w:val="en-CA"/>
        </w:rPr>
      </w:pPr>
      <w:bookmarkStart w:id="22" w:name="_Toc319660890"/>
      <w:r>
        <w:rPr>
          <w:lang w:val="en-CA"/>
        </w:rPr>
        <w:t>l</w:t>
      </w:r>
      <w:r w:rsidR="005B6813">
        <w:rPr>
          <w:lang w:val="en-CA"/>
        </w:rPr>
        <w:t>)</w:t>
      </w:r>
      <w:r w:rsidR="00375552" w:rsidRPr="002A198E">
        <w:rPr>
          <w:lang w:val="en-CA"/>
        </w:rPr>
        <w:t xml:space="preserve"> </w:t>
      </w:r>
      <w:r w:rsidR="004B4634" w:rsidRPr="002A198E">
        <w:rPr>
          <w:lang w:val="en-CA"/>
        </w:rPr>
        <w:t>Ensuring that No Federal Laws Authorize or Require Disability Barriers</w:t>
      </w:r>
      <w:bookmarkEnd w:id="22"/>
    </w:p>
    <w:p w14:paraId="28D49B71" w14:textId="77777777" w:rsidR="004B4634" w:rsidRPr="002A198E" w:rsidRDefault="004B4634" w:rsidP="002A198E">
      <w:pPr>
        <w:widowControl w:val="0"/>
        <w:rPr>
          <w:lang w:val="en-CA"/>
        </w:rPr>
      </w:pPr>
    </w:p>
    <w:p w14:paraId="7F5C168A" w14:textId="77777777" w:rsidR="004B4634" w:rsidRPr="002A198E" w:rsidRDefault="00230A74" w:rsidP="002A198E">
      <w:pPr>
        <w:widowControl w:val="0"/>
        <w:rPr>
          <w:lang w:val="en-CA"/>
        </w:rPr>
      </w:pPr>
      <w:r>
        <w:rPr>
          <w:lang w:val="en-CA"/>
        </w:rPr>
        <w:t>F</w:t>
      </w:r>
      <w:r w:rsidR="004B4634" w:rsidRPr="002A198E">
        <w:rPr>
          <w:lang w:val="en-CA"/>
        </w:rPr>
        <w:t xml:space="preserve">ederal statutes and regulations </w:t>
      </w:r>
      <w:r>
        <w:rPr>
          <w:lang w:val="en-CA"/>
        </w:rPr>
        <w:t xml:space="preserve">should </w:t>
      </w:r>
      <w:r w:rsidR="00E532C0">
        <w:rPr>
          <w:lang w:val="en-CA"/>
        </w:rPr>
        <w:t xml:space="preserve">never </w:t>
      </w:r>
      <w:r w:rsidR="004B4634" w:rsidRPr="002A198E">
        <w:rPr>
          <w:lang w:val="en-CA"/>
        </w:rPr>
        <w:t xml:space="preserve">require or mandate the creation or perpetuation of </w:t>
      </w:r>
      <w:r w:rsidR="00E532C0">
        <w:rPr>
          <w:lang w:val="en-CA"/>
        </w:rPr>
        <w:t xml:space="preserve">disability </w:t>
      </w:r>
      <w:r w:rsidR="004B4634" w:rsidRPr="002A198E">
        <w:rPr>
          <w:lang w:val="en-CA"/>
        </w:rPr>
        <w:t xml:space="preserve">barriers. </w:t>
      </w:r>
      <w:r w:rsidR="00242EF3">
        <w:rPr>
          <w:lang w:val="en-CA"/>
        </w:rPr>
        <w:t>T</w:t>
      </w:r>
      <w:r w:rsidR="005609A5">
        <w:rPr>
          <w:lang w:val="en-CA"/>
        </w:rPr>
        <w:t xml:space="preserve">he Federal Government </w:t>
      </w:r>
      <w:r w:rsidR="004B4634" w:rsidRPr="002A198E">
        <w:rPr>
          <w:lang w:val="en-CA"/>
        </w:rPr>
        <w:t xml:space="preserve">must ensure that federal statutes and regulations incorporate measures to ensure the accessibility of the programs, policies, rights and opportunities they </w:t>
      </w:r>
      <w:r w:rsidR="0080106F">
        <w:rPr>
          <w:lang w:val="en-CA"/>
        </w:rPr>
        <w:t>provide</w:t>
      </w:r>
      <w:r w:rsidR="004B4634" w:rsidRPr="002A198E">
        <w:rPr>
          <w:lang w:val="en-CA"/>
        </w:rPr>
        <w:t xml:space="preserve">. </w:t>
      </w:r>
    </w:p>
    <w:p w14:paraId="0AD999D5" w14:textId="77777777" w:rsidR="004B4634" w:rsidRPr="002A198E" w:rsidRDefault="004B4634" w:rsidP="002A198E">
      <w:pPr>
        <w:widowControl w:val="0"/>
        <w:rPr>
          <w:lang w:val="en-CA"/>
        </w:rPr>
      </w:pPr>
    </w:p>
    <w:p w14:paraId="58EF30DB" w14:textId="77777777" w:rsidR="004B4634" w:rsidRPr="002A198E" w:rsidRDefault="00424480" w:rsidP="002A198E">
      <w:pPr>
        <w:widowControl w:val="0"/>
        <w:rPr>
          <w:lang w:val="en-CA"/>
        </w:rPr>
      </w:pPr>
      <w:r>
        <w:rPr>
          <w:lang w:val="en-CA"/>
        </w:rPr>
        <w:t>T</w:t>
      </w:r>
      <w:r w:rsidR="004B4634" w:rsidRPr="002A198E">
        <w:rPr>
          <w:lang w:val="en-CA"/>
        </w:rPr>
        <w:t xml:space="preserve">he Federal Government must </w:t>
      </w:r>
      <w:r w:rsidR="006E091B">
        <w:rPr>
          <w:lang w:val="en-CA"/>
        </w:rPr>
        <w:t xml:space="preserve">fully review </w:t>
      </w:r>
      <w:r w:rsidR="004B4634" w:rsidRPr="002A198E">
        <w:rPr>
          <w:lang w:val="en-CA"/>
        </w:rPr>
        <w:t>all its statutes and regulations for accessibility barriers. Where found, these laws must be amended to ensure they are barrier-free. The Federal Government must implement measures to ensure that in the future, new statutes or regulations are carefully screened before they are enacted, to ensure they are barrier-free.</w:t>
      </w:r>
    </w:p>
    <w:p w14:paraId="6B322F67" w14:textId="77777777" w:rsidR="004B4634" w:rsidRPr="002A198E" w:rsidRDefault="004B4634" w:rsidP="002A198E">
      <w:pPr>
        <w:widowControl w:val="0"/>
        <w:rPr>
          <w:lang w:val="en-CA"/>
        </w:rPr>
      </w:pPr>
    </w:p>
    <w:p w14:paraId="7F516731" w14:textId="77777777" w:rsidR="004B4634" w:rsidRPr="002A198E" w:rsidRDefault="004B4634" w:rsidP="002A198E">
      <w:pPr>
        <w:widowControl w:val="0"/>
        <w:rPr>
          <w:lang w:val="en-CA"/>
        </w:rPr>
      </w:pPr>
      <w:r w:rsidRPr="002A198E">
        <w:rPr>
          <w:lang w:val="en-CA"/>
        </w:rPr>
        <w:t>Barrier-Free Canada’s 14 Principles include:</w:t>
      </w:r>
    </w:p>
    <w:p w14:paraId="70F0CED7" w14:textId="77777777" w:rsidR="004B4634" w:rsidRPr="002A198E" w:rsidRDefault="004B4634" w:rsidP="002A198E">
      <w:pPr>
        <w:widowControl w:val="0"/>
        <w:rPr>
          <w:lang w:val="en-CA"/>
        </w:rPr>
      </w:pPr>
    </w:p>
    <w:p w14:paraId="613BFAAD" w14:textId="77777777" w:rsidR="004B4634" w:rsidRPr="002A198E" w:rsidRDefault="004B4634" w:rsidP="009237ED">
      <w:pPr>
        <w:widowControl w:val="0"/>
        <w:ind w:left="720" w:right="720"/>
        <w:rPr>
          <w:lang w:val="en-CA"/>
        </w:rPr>
      </w:pPr>
      <w:r w:rsidRPr="002A198E">
        <w:rPr>
          <w:lang w:val="en-CA"/>
        </w:rPr>
        <w:t>“11. The Canadians with Disabilities Act should require the Government of Canada to review all federal legislation and regulations to identify possible accessibility barriers that they may impose or permit, and to propose omnibus legislation within a specified time to address these barriers. It should require the</w:t>
      </w:r>
      <w:r w:rsidR="009237ED">
        <w:rPr>
          <w:lang w:val="en-CA"/>
        </w:rPr>
        <w:t xml:space="preserve"> </w:t>
      </w:r>
      <w:r w:rsidRPr="002A198E">
        <w:rPr>
          <w:lang w:val="en-CA"/>
        </w:rPr>
        <w:t>Government of Canada to review all future proposed legislation and regulations, before they are enacted, to certify and ensure that they do not create, perpetuate or allow for accessibility barriers in them or in activity or programs operated under them. …”</w:t>
      </w:r>
    </w:p>
    <w:p w14:paraId="550CA054" w14:textId="77777777" w:rsidR="004B4634" w:rsidRPr="002A198E" w:rsidRDefault="004B4634" w:rsidP="002A198E">
      <w:pPr>
        <w:widowControl w:val="0"/>
        <w:rPr>
          <w:lang w:val="en-CA"/>
        </w:rPr>
      </w:pPr>
    </w:p>
    <w:p w14:paraId="606F9C6B" w14:textId="058F6585" w:rsidR="006E091B" w:rsidRPr="002A198E" w:rsidRDefault="0080106F" w:rsidP="006E091B">
      <w:pPr>
        <w:widowControl w:val="0"/>
        <w:rPr>
          <w:lang w:val="en-CA"/>
        </w:rPr>
      </w:pPr>
      <w:r>
        <w:rPr>
          <w:lang w:val="en-CA"/>
        </w:rPr>
        <w:t xml:space="preserve">These </w:t>
      </w:r>
      <w:r w:rsidR="006E091B">
        <w:rPr>
          <w:lang w:val="en-CA"/>
        </w:rPr>
        <w:t>dut</w:t>
      </w:r>
      <w:r>
        <w:rPr>
          <w:lang w:val="en-CA"/>
        </w:rPr>
        <w:t>ies</w:t>
      </w:r>
      <w:r w:rsidR="006E091B">
        <w:rPr>
          <w:lang w:val="en-CA"/>
        </w:rPr>
        <w:t xml:space="preserve"> arise from the </w:t>
      </w:r>
      <w:r w:rsidR="006E091B" w:rsidRPr="00047976">
        <w:rPr>
          <w:i/>
          <w:lang w:val="en-CA"/>
        </w:rPr>
        <w:t>Eldridge</w:t>
      </w:r>
      <w:r w:rsidR="006E091B">
        <w:rPr>
          <w:lang w:val="en-CA"/>
        </w:rPr>
        <w:t xml:space="preserve"> case</w:t>
      </w:r>
      <w:r w:rsidR="006E091B">
        <w:rPr>
          <w:rStyle w:val="EndnoteReference"/>
          <w:lang w:val="en-CA"/>
        </w:rPr>
        <w:endnoteReference w:id="69"/>
      </w:r>
      <w:r w:rsidR="00047976">
        <w:rPr>
          <w:lang w:val="en-CA"/>
        </w:rPr>
        <w:t xml:space="preserve"> </w:t>
      </w:r>
      <w:r w:rsidR="00742387">
        <w:rPr>
          <w:lang w:val="en-CA"/>
        </w:rPr>
        <w:t xml:space="preserve">and Article 4(1)(b) of the CRPD. </w:t>
      </w:r>
      <w:r w:rsidR="002A0F48">
        <w:rPr>
          <w:lang w:val="en-CA"/>
        </w:rPr>
        <w:t>Yet t</w:t>
      </w:r>
      <w:r w:rsidR="006E091B">
        <w:rPr>
          <w:lang w:val="en-CA"/>
        </w:rPr>
        <w:t xml:space="preserve">here is </w:t>
      </w:r>
      <w:r w:rsidR="004B4634" w:rsidRPr="002A198E">
        <w:rPr>
          <w:lang w:val="en-CA"/>
        </w:rPr>
        <w:t xml:space="preserve">no </w:t>
      </w:r>
      <w:r w:rsidR="002A0F48">
        <w:rPr>
          <w:lang w:val="en-CA"/>
        </w:rPr>
        <w:t xml:space="preserve">public </w:t>
      </w:r>
      <w:r w:rsidR="004B4634" w:rsidRPr="002A198E">
        <w:rPr>
          <w:lang w:val="en-CA"/>
        </w:rPr>
        <w:t xml:space="preserve">indication that </w:t>
      </w:r>
      <w:r w:rsidR="004B4634" w:rsidRPr="00047976">
        <w:rPr>
          <w:i/>
          <w:lang w:val="en-CA"/>
        </w:rPr>
        <w:t>Eldridge</w:t>
      </w:r>
      <w:r w:rsidR="004B4634" w:rsidRPr="002A198E">
        <w:rPr>
          <w:lang w:val="en-CA"/>
        </w:rPr>
        <w:t xml:space="preserve"> </w:t>
      </w:r>
      <w:r w:rsidR="00742387">
        <w:rPr>
          <w:lang w:val="en-CA"/>
        </w:rPr>
        <w:t xml:space="preserve">or the CRPD </w:t>
      </w:r>
      <w:r w:rsidR="00496206">
        <w:rPr>
          <w:lang w:val="en-CA"/>
        </w:rPr>
        <w:t xml:space="preserve">have </w:t>
      </w:r>
      <w:r w:rsidR="004B4634" w:rsidRPr="002A198E">
        <w:rPr>
          <w:lang w:val="en-CA"/>
        </w:rPr>
        <w:t xml:space="preserve">led to a Government review of all federal laws and programs for accessibility barriers, and for </w:t>
      </w:r>
      <w:r w:rsidR="004B4634" w:rsidRPr="00047976">
        <w:rPr>
          <w:i/>
          <w:lang w:val="en-CA"/>
        </w:rPr>
        <w:t xml:space="preserve">Eldridge </w:t>
      </w:r>
      <w:r w:rsidR="004B4634" w:rsidRPr="002A198E">
        <w:rPr>
          <w:lang w:val="en-CA"/>
        </w:rPr>
        <w:t>compliance.</w:t>
      </w:r>
      <w:r w:rsidR="006E091B">
        <w:rPr>
          <w:lang w:val="en-CA"/>
        </w:rPr>
        <w:t xml:space="preserve"> </w:t>
      </w:r>
    </w:p>
    <w:p w14:paraId="34D08FE9" w14:textId="77777777" w:rsidR="004B4634" w:rsidRPr="002A198E" w:rsidRDefault="004B4634" w:rsidP="009237ED">
      <w:pPr>
        <w:widowControl w:val="0"/>
        <w:ind w:left="720" w:right="720"/>
        <w:rPr>
          <w:lang w:val="en-CA"/>
        </w:rPr>
      </w:pPr>
    </w:p>
    <w:p w14:paraId="402DABB8" w14:textId="2E520C65" w:rsidR="004B4634" w:rsidRPr="002A198E" w:rsidRDefault="002A0F48" w:rsidP="002A198E">
      <w:pPr>
        <w:widowControl w:val="0"/>
        <w:rPr>
          <w:lang w:val="en-CA"/>
        </w:rPr>
      </w:pPr>
      <w:r>
        <w:rPr>
          <w:lang w:val="en-CA"/>
        </w:rPr>
        <w:t>T</w:t>
      </w:r>
      <w:r w:rsidR="004B4634" w:rsidRPr="002A198E">
        <w:rPr>
          <w:lang w:val="en-CA"/>
        </w:rPr>
        <w:t xml:space="preserve">he Federal Government must look for more than federal </w:t>
      </w:r>
      <w:r>
        <w:rPr>
          <w:lang w:val="en-CA"/>
        </w:rPr>
        <w:t xml:space="preserve">laws </w:t>
      </w:r>
      <w:r w:rsidR="004B4634" w:rsidRPr="002A198E">
        <w:rPr>
          <w:lang w:val="en-CA"/>
        </w:rPr>
        <w:t>that</w:t>
      </w:r>
      <w:r w:rsidR="002A198E" w:rsidRPr="002A198E">
        <w:rPr>
          <w:lang w:val="en-CA"/>
        </w:rPr>
        <w:t xml:space="preserve"> </w:t>
      </w:r>
      <w:r w:rsidR="004B4634" w:rsidRPr="002A198E">
        <w:rPr>
          <w:lang w:val="en-CA"/>
        </w:rPr>
        <w:t>explicitly single</w:t>
      </w:r>
      <w:r w:rsidR="003F2AC5">
        <w:rPr>
          <w:lang w:val="en-CA"/>
        </w:rPr>
        <w:t xml:space="preserve"> out</w:t>
      </w:r>
      <w:r w:rsidR="004B4634" w:rsidRPr="002A198E">
        <w:rPr>
          <w:lang w:val="en-CA"/>
        </w:rPr>
        <w:t xml:space="preserve"> people with disabilities for worse treatment. </w:t>
      </w:r>
      <w:r>
        <w:rPr>
          <w:lang w:val="en-CA"/>
        </w:rPr>
        <w:t xml:space="preserve">It must also explore whether </w:t>
      </w:r>
      <w:r w:rsidR="004B4634" w:rsidRPr="002A198E">
        <w:rPr>
          <w:lang w:val="en-CA"/>
        </w:rPr>
        <w:t xml:space="preserve">federal laws ensure that people with disabilities can fully participate in all the rights, privileges benefits and duties that </w:t>
      </w:r>
      <w:r>
        <w:rPr>
          <w:lang w:val="en-CA"/>
        </w:rPr>
        <w:t xml:space="preserve">these </w:t>
      </w:r>
      <w:r w:rsidR="004B4634" w:rsidRPr="002A198E">
        <w:rPr>
          <w:lang w:val="en-CA"/>
        </w:rPr>
        <w:t>law</w:t>
      </w:r>
      <w:r>
        <w:rPr>
          <w:lang w:val="en-CA"/>
        </w:rPr>
        <w:t>s</w:t>
      </w:r>
      <w:r w:rsidR="004B4634" w:rsidRPr="002A198E">
        <w:rPr>
          <w:lang w:val="en-CA"/>
        </w:rPr>
        <w:t xml:space="preserve"> extend.</w:t>
      </w:r>
      <w:r>
        <w:rPr>
          <w:rStyle w:val="EndnoteReference"/>
          <w:lang w:val="en-CA"/>
        </w:rPr>
        <w:endnoteReference w:id="70"/>
      </w:r>
      <w:r>
        <w:rPr>
          <w:lang w:val="en-CA"/>
        </w:rPr>
        <w:t xml:space="preserve"> </w:t>
      </w:r>
      <w:r w:rsidR="004B4634" w:rsidRPr="002A198E">
        <w:rPr>
          <w:lang w:val="en-CA"/>
        </w:rPr>
        <w:t xml:space="preserve"> </w:t>
      </w:r>
    </w:p>
    <w:p w14:paraId="33219606" w14:textId="77777777" w:rsidR="004B4634" w:rsidRPr="002A198E" w:rsidRDefault="004B4634" w:rsidP="002A198E">
      <w:pPr>
        <w:widowControl w:val="0"/>
        <w:rPr>
          <w:lang w:val="en-CA"/>
        </w:rPr>
      </w:pPr>
    </w:p>
    <w:p w14:paraId="2A853867" w14:textId="7F743CAA" w:rsidR="004B4634" w:rsidRPr="002A198E" w:rsidRDefault="001B15B5" w:rsidP="002A198E">
      <w:pPr>
        <w:widowControl w:val="0"/>
        <w:rPr>
          <w:lang w:val="en-CA"/>
        </w:rPr>
      </w:pPr>
      <w:r>
        <w:rPr>
          <w:lang w:val="en-CA"/>
        </w:rPr>
        <w:t>F</w:t>
      </w:r>
      <w:r w:rsidR="004B4634" w:rsidRPr="002A198E">
        <w:rPr>
          <w:lang w:val="en-CA"/>
        </w:rPr>
        <w:t xml:space="preserve">ederal </w:t>
      </w:r>
      <w:r w:rsidR="00953495">
        <w:rPr>
          <w:lang w:val="en-CA"/>
        </w:rPr>
        <w:t xml:space="preserve">laws </w:t>
      </w:r>
      <w:r w:rsidR="004B4634" w:rsidRPr="002A198E">
        <w:rPr>
          <w:lang w:val="en-CA"/>
        </w:rPr>
        <w:t xml:space="preserve">give regulatory agencies powers to make and implement a wide spectrum of policies and decisions. </w:t>
      </w:r>
      <w:r w:rsidR="00CB24BD">
        <w:rPr>
          <w:lang w:val="en-CA"/>
        </w:rPr>
        <w:t xml:space="preserve">These </w:t>
      </w:r>
      <w:r w:rsidR="004B4634" w:rsidRPr="002A198E">
        <w:rPr>
          <w:lang w:val="en-CA"/>
        </w:rPr>
        <w:t xml:space="preserve">can inadvertently create new disability barriers, or exacerbate </w:t>
      </w:r>
      <w:r w:rsidR="004B4634" w:rsidRPr="002A198E">
        <w:rPr>
          <w:lang w:val="en-CA"/>
        </w:rPr>
        <w:lastRenderedPageBreak/>
        <w:t>existing ones. No federal agency should implement policies or discretionary decisions that undermine accessibility.</w:t>
      </w:r>
      <w:r w:rsidR="00CB24BD">
        <w:rPr>
          <w:lang w:val="en-CA"/>
        </w:rPr>
        <w:t xml:space="preserve"> </w:t>
      </w:r>
      <w:r w:rsidR="003F2AC5">
        <w:rPr>
          <w:lang w:val="en-CA"/>
        </w:rPr>
        <w:t>Where a board, commission, tribunal, or other public official holds a discretionary power, the granting federal law should provide that an exercise of discretion shall not create or perpetuate any accessibility barriers</w:t>
      </w:r>
      <w:r w:rsidR="009378D7">
        <w:rPr>
          <w:lang w:val="en-CA"/>
        </w:rPr>
        <w:t xml:space="preserve">. </w:t>
      </w:r>
    </w:p>
    <w:p w14:paraId="53D18130" w14:textId="77777777" w:rsidR="009378D7" w:rsidRDefault="009378D7" w:rsidP="002A198E">
      <w:pPr>
        <w:widowControl w:val="0"/>
        <w:rPr>
          <w:lang w:val="en-CA"/>
        </w:rPr>
      </w:pPr>
    </w:p>
    <w:p w14:paraId="2755EA00" w14:textId="252C3C48" w:rsidR="004B4634" w:rsidRPr="002A198E" w:rsidRDefault="00EA6094" w:rsidP="002A198E">
      <w:pPr>
        <w:widowControl w:val="0"/>
        <w:rPr>
          <w:lang w:val="en-CA"/>
        </w:rPr>
      </w:pPr>
      <w:r>
        <w:rPr>
          <w:lang w:val="en-CA"/>
        </w:rPr>
        <w:t xml:space="preserve">The Federal Government has had two decades since </w:t>
      </w:r>
      <w:r w:rsidRPr="003F2AC5">
        <w:rPr>
          <w:i/>
          <w:lang w:val="en-CA"/>
        </w:rPr>
        <w:t>Eldridge</w:t>
      </w:r>
      <w:r>
        <w:rPr>
          <w:lang w:val="en-CA"/>
        </w:rPr>
        <w:t xml:space="preserve"> </w:t>
      </w:r>
      <w:r w:rsidR="007D652F">
        <w:rPr>
          <w:lang w:val="en-CA"/>
        </w:rPr>
        <w:t xml:space="preserve">and one decade since the CRPD </w:t>
      </w:r>
      <w:r>
        <w:rPr>
          <w:lang w:val="en-CA"/>
        </w:rPr>
        <w:t xml:space="preserve">to </w:t>
      </w:r>
      <w:r w:rsidR="00D30DEC">
        <w:rPr>
          <w:lang w:val="en-CA"/>
        </w:rPr>
        <w:t>conduct</w:t>
      </w:r>
      <w:r>
        <w:rPr>
          <w:lang w:val="en-CA"/>
        </w:rPr>
        <w:t xml:space="preserve"> this review. </w:t>
      </w:r>
      <w:r w:rsidR="003F2AC5">
        <w:rPr>
          <w:lang w:val="en-CA"/>
        </w:rPr>
        <w:t>It</w:t>
      </w:r>
      <w:r w:rsidR="007D7C48">
        <w:rPr>
          <w:lang w:val="en-CA"/>
        </w:rPr>
        <w:t>s</w:t>
      </w:r>
      <w:r>
        <w:rPr>
          <w:lang w:val="en-CA"/>
        </w:rPr>
        <w:t xml:space="preserve"> </w:t>
      </w:r>
      <w:r w:rsidR="0013143F">
        <w:rPr>
          <w:lang w:val="en-CA"/>
        </w:rPr>
        <w:t xml:space="preserve">not </w:t>
      </w:r>
      <w:r w:rsidR="009C488C">
        <w:rPr>
          <w:lang w:val="en-CA"/>
        </w:rPr>
        <w:t xml:space="preserve">having done </w:t>
      </w:r>
      <w:r>
        <w:rPr>
          <w:lang w:val="en-CA"/>
        </w:rPr>
        <w:t xml:space="preserve">so proves the need for a </w:t>
      </w:r>
      <w:r w:rsidR="00865AAA">
        <w:rPr>
          <w:lang w:val="en-CA"/>
        </w:rPr>
        <w:t xml:space="preserve">CDA </w:t>
      </w:r>
      <w:r>
        <w:rPr>
          <w:lang w:val="en-CA"/>
        </w:rPr>
        <w:t>requirement.</w:t>
      </w:r>
      <w:r w:rsidR="004B4634" w:rsidRPr="002A198E">
        <w:rPr>
          <w:lang w:val="en-CA"/>
        </w:rPr>
        <w:t xml:space="preserve"> </w:t>
      </w:r>
    </w:p>
    <w:p w14:paraId="25FEDA7E" w14:textId="77777777" w:rsidR="004B4634" w:rsidRPr="002A198E" w:rsidRDefault="004B4634" w:rsidP="002A198E">
      <w:pPr>
        <w:widowControl w:val="0"/>
        <w:rPr>
          <w:lang w:val="en-CA"/>
        </w:rPr>
      </w:pPr>
    </w:p>
    <w:p w14:paraId="3D10DB1B" w14:textId="77777777" w:rsidR="004B4634" w:rsidRPr="002A198E" w:rsidRDefault="00696284" w:rsidP="002A198E">
      <w:pPr>
        <w:widowControl w:val="0"/>
        <w:rPr>
          <w:lang w:val="en-CA"/>
        </w:rPr>
      </w:pPr>
      <w:r w:rsidRPr="002A198E">
        <w:rPr>
          <w:lang w:val="en-CA"/>
        </w:rPr>
        <w:t>Ontario</w:t>
      </w:r>
      <w:r w:rsidR="004B4634" w:rsidRPr="002A198E">
        <w:rPr>
          <w:lang w:val="en-CA"/>
        </w:rPr>
        <w:t xml:space="preserve"> experience </w:t>
      </w:r>
      <w:r w:rsidR="00EA6094">
        <w:rPr>
          <w:lang w:val="en-CA"/>
        </w:rPr>
        <w:t xml:space="preserve">also </w:t>
      </w:r>
      <w:r w:rsidR="004B4634" w:rsidRPr="002A198E">
        <w:rPr>
          <w:lang w:val="en-CA"/>
        </w:rPr>
        <w:t xml:space="preserve">shows the need </w:t>
      </w:r>
      <w:r w:rsidR="009C488C">
        <w:rPr>
          <w:lang w:val="en-CA"/>
        </w:rPr>
        <w:t xml:space="preserve">to legislate </w:t>
      </w:r>
      <w:r w:rsidR="004B4634" w:rsidRPr="002A198E">
        <w:rPr>
          <w:lang w:val="en-CA"/>
        </w:rPr>
        <w:t>this. In the 2007 Ontario election, all parties promised that if elected, they would conduct such a</w:t>
      </w:r>
      <w:r w:rsidR="009C488C">
        <w:rPr>
          <w:lang w:val="en-CA"/>
        </w:rPr>
        <w:t>n</w:t>
      </w:r>
      <w:r w:rsidR="004B4634" w:rsidRPr="002A198E">
        <w:rPr>
          <w:lang w:val="en-CA"/>
        </w:rPr>
        <w:t xml:space="preserve"> accessibility review. </w:t>
      </w:r>
      <w:r w:rsidR="00EB67E1">
        <w:rPr>
          <w:lang w:val="en-CA"/>
        </w:rPr>
        <w:t>N</w:t>
      </w:r>
      <w:r w:rsidR="004B4634" w:rsidRPr="002A198E">
        <w:rPr>
          <w:lang w:val="en-CA"/>
        </w:rPr>
        <w:t xml:space="preserve">ine years later, the Ontario Government has reviewed a mere 55 of its 750 statutes and none of its regulations. </w:t>
      </w:r>
    </w:p>
    <w:p w14:paraId="4AB271A6" w14:textId="77777777" w:rsidR="004B4634" w:rsidRPr="002A198E" w:rsidRDefault="004B4634" w:rsidP="002A198E">
      <w:pPr>
        <w:widowControl w:val="0"/>
        <w:rPr>
          <w:lang w:val="en-CA"/>
        </w:rPr>
      </w:pPr>
    </w:p>
    <w:p w14:paraId="3ABEDB26" w14:textId="2E992C43" w:rsidR="004B4634" w:rsidRPr="002A198E" w:rsidRDefault="004B4634" w:rsidP="002A198E">
      <w:pPr>
        <w:widowControl w:val="0"/>
        <w:rPr>
          <w:lang w:val="en-CA"/>
        </w:rPr>
      </w:pPr>
      <w:r w:rsidRPr="002A198E">
        <w:rPr>
          <w:lang w:val="en-CA"/>
        </w:rPr>
        <w:t xml:space="preserve">Barrier-Free Canada’s principles call for </w:t>
      </w:r>
      <w:r w:rsidR="00B61ED5">
        <w:rPr>
          <w:lang w:val="en-CA"/>
        </w:rPr>
        <w:t xml:space="preserve">an omnibus bill to be prepared to correct barriers found. </w:t>
      </w:r>
      <w:r w:rsidRPr="002A198E">
        <w:rPr>
          <w:lang w:val="en-CA"/>
        </w:rPr>
        <w:t xml:space="preserve">An omnibus bill is the only efficient way to </w:t>
      </w:r>
      <w:r w:rsidR="00D10268">
        <w:rPr>
          <w:lang w:val="en-CA"/>
        </w:rPr>
        <w:t xml:space="preserve">amend </w:t>
      </w:r>
      <w:r w:rsidR="00B61ED5">
        <w:rPr>
          <w:lang w:val="en-CA"/>
        </w:rPr>
        <w:t xml:space="preserve">many </w:t>
      </w:r>
      <w:r w:rsidRPr="002A198E">
        <w:rPr>
          <w:lang w:val="en-CA"/>
        </w:rPr>
        <w:t xml:space="preserve">laws at </w:t>
      </w:r>
      <w:r w:rsidR="003F2AC5">
        <w:rPr>
          <w:lang w:val="en-CA"/>
        </w:rPr>
        <w:t>once; f</w:t>
      </w:r>
      <w:r w:rsidR="00B61ED5">
        <w:rPr>
          <w:lang w:val="en-CA"/>
        </w:rPr>
        <w:t xml:space="preserve">or a separate bill to be prepared to amend each deficient law </w:t>
      </w:r>
      <w:r w:rsidR="00D10268">
        <w:rPr>
          <w:lang w:val="en-CA"/>
        </w:rPr>
        <w:t>w</w:t>
      </w:r>
      <w:r w:rsidRPr="002A198E">
        <w:rPr>
          <w:lang w:val="en-CA"/>
        </w:rPr>
        <w:t>ould take an eternity.</w:t>
      </w:r>
    </w:p>
    <w:p w14:paraId="46EA2595" w14:textId="77777777" w:rsidR="004B4634" w:rsidRPr="002A198E" w:rsidRDefault="004B4634" w:rsidP="002A198E">
      <w:pPr>
        <w:widowControl w:val="0"/>
        <w:rPr>
          <w:lang w:val="en-CA"/>
        </w:rPr>
      </w:pPr>
    </w:p>
    <w:p w14:paraId="1FB0AABC" w14:textId="00D21B07" w:rsidR="004B4634" w:rsidRPr="002A198E" w:rsidRDefault="004B4634" w:rsidP="002A198E">
      <w:pPr>
        <w:widowControl w:val="0"/>
        <w:rPr>
          <w:lang w:val="en-CA"/>
        </w:rPr>
      </w:pPr>
      <w:r w:rsidRPr="002A198E">
        <w:rPr>
          <w:lang w:val="en-CA"/>
        </w:rPr>
        <w:t>A</w:t>
      </w:r>
      <w:r w:rsidR="00D10268">
        <w:rPr>
          <w:lang w:val="en-CA"/>
        </w:rPr>
        <w:t xml:space="preserve"> Federal </w:t>
      </w:r>
      <w:r w:rsidR="00915C8D">
        <w:rPr>
          <w:lang w:val="en-CA"/>
        </w:rPr>
        <w:t xml:space="preserve">legislative </w:t>
      </w:r>
      <w:r w:rsidRPr="002A198E">
        <w:rPr>
          <w:lang w:val="en-CA"/>
        </w:rPr>
        <w:t xml:space="preserve">accessibility review must include a thorough </w:t>
      </w:r>
      <w:r w:rsidR="003F2AC5">
        <w:rPr>
          <w:lang w:val="en-CA"/>
        </w:rPr>
        <w:t>examination</w:t>
      </w:r>
      <w:r w:rsidRPr="002A198E">
        <w:rPr>
          <w:lang w:val="en-CA"/>
        </w:rPr>
        <w:t xml:space="preserve"> of the </w:t>
      </w:r>
      <w:r w:rsidRPr="003F2AC5">
        <w:rPr>
          <w:i/>
          <w:lang w:val="en-CA"/>
        </w:rPr>
        <w:t>Criminal Code</w:t>
      </w:r>
      <w:r w:rsidRPr="002A198E">
        <w:rPr>
          <w:lang w:val="en-CA"/>
        </w:rPr>
        <w:t xml:space="preserve"> and related legislation. While the </w:t>
      </w:r>
      <w:r w:rsidRPr="003F2AC5">
        <w:rPr>
          <w:i/>
          <w:lang w:val="en-CA"/>
        </w:rPr>
        <w:t>Criminal Code</w:t>
      </w:r>
      <w:r w:rsidRPr="002A198E">
        <w:rPr>
          <w:lang w:val="en-CA"/>
        </w:rPr>
        <w:t xml:space="preserve"> includes some provisions to accommodate </w:t>
      </w:r>
      <w:r w:rsidR="000D6B0A">
        <w:rPr>
          <w:lang w:val="en-CA"/>
        </w:rPr>
        <w:t>disabilities</w:t>
      </w:r>
      <w:r w:rsidRPr="002A198E">
        <w:rPr>
          <w:lang w:val="en-CA"/>
        </w:rPr>
        <w:t xml:space="preserve">, a complete accessibility modernization of criminal law is </w:t>
      </w:r>
      <w:r w:rsidR="00915C8D">
        <w:rPr>
          <w:lang w:val="en-CA"/>
        </w:rPr>
        <w:t>overdue. A significant proportion of persons accused of crime and of alleged crime victims have disabilities.</w:t>
      </w:r>
      <w:r w:rsidRPr="002A198E">
        <w:rPr>
          <w:lang w:val="en-CA"/>
        </w:rPr>
        <w:t xml:space="preserve"> </w:t>
      </w:r>
    </w:p>
    <w:p w14:paraId="5792AD76" w14:textId="77777777" w:rsidR="004B4634" w:rsidRPr="002A198E" w:rsidRDefault="004B4634" w:rsidP="002A198E">
      <w:pPr>
        <w:widowControl w:val="0"/>
        <w:rPr>
          <w:lang w:val="en-CA"/>
        </w:rPr>
      </w:pPr>
    </w:p>
    <w:p w14:paraId="3115666E" w14:textId="61A0826B" w:rsidR="004B4634" w:rsidRPr="002A198E" w:rsidRDefault="004B4634" w:rsidP="002A198E">
      <w:pPr>
        <w:widowControl w:val="0"/>
        <w:rPr>
          <w:lang w:val="en-CA"/>
        </w:rPr>
      </w:pPr>
      <w:r w:rsidRPr="002A198E">
        <w:rPr>
          <w:lang w:val="en-CA"/>
        </w:rPr>
        <w:t xml:space="preserve">The </w:t>
      </w:r>
      <w:r w:rsidR="00915C8D">
        <w:rPr>
          <w:lang w:val="en-CA"/>
        </w:rPr>
        <w:t xml:space="preserve">legislative </w:t>
      </w:r>
      <w:r w:rsidRPr="002A198E">
        <w:rPr>
          <w:lang w:val="en-CA"/>
        </w:rPr>
        <w:t xml:space="preserve">review also must </w:t>
      </w:r>
      <w:r w:rsidR="00915C8D">
        <w:rPr>
          <w:lang w:val="en-CA"/>
        </w:rPr>
        <w:t xml:space="preserve">examine </w:t>
      </w:r>
      <w:r w:rsidRPr="002A198E">
        <w:rPr>
          <w:lang w:val="en-CA"/>
        </w:rPr>
        <w:t>immigration and refugee legislation. Disa</w:t>
      </w:r>
      <w:r w:rsidR="00502C2B">
        <w:rPr>
          <w:lang w:val="en-CA"/>
        </w:rPr>
        <w:t>bility barriers should be addressed</w:t>
      </w:r>
      <w:r w:rsidRPr="002A198E">
        <w:rPr>
          <w:lang w:val="en-CA"/>
        </w:rPr>
        <w:t xml:space="preserve"> in rules on who </w:t>
      </w:r>
      <w:r w:rsidR="00915C8D">
        <w:rPr>
          <w:lang w:val="en-CA"/>
        </w:rPr>
        <w:t xml:space="preserve">can </w:t>
      </w:r>
      <w:r w:rsidRPr="002A198E">
        <w:rPr>
          <w:lang w:val="en-CA"/>
        </w:rPr>
        <w:t>immigrate to Canada and the pr</w:t>
      </w:r>
      <w:r w:rsidR="003F2AC5">
        <w:rPr>
          <w:lang w:val="en-CA"/>
        </w:rPr>
        <w:t>ocess for assessing immigration</w:t>
      </w:r>
      <w:r w:rsidR="00373C59">
        <w:rPr>
          <w:lang w:val="en-CA"/>
        </w:rPr>
        <w:t>/</w:t>
      </w:r>
      <w:r w:rsidRPr="002A198E">
        <w:rPr>
          <w:lang w:val="en-CA"/>
        </w:rPr>
        <w:t>refugee claims.</w:t>
      </w:r>
    </w:p>
    <w:p w14:paraId="1D074648" w14:textId="77777777" w:rsidR="004B4634" w:rsidRPr="002A198E" w:rsidRDefault="004B4634" w:rsidP="002A198E">
      <w:pPr>
        <w:widowControl w:val="0"/>
        <w:rPr>
          <w:lang w:val="en-CA"/>
        </w:rPr>
      </w:pPr>
    </w:p>
    <w:p w14:paraId="3B1FF419" w14:textId="77777777" w:rsidR="004B4634" w:rsidRPr="002A198E" w:rsidRDefault="00915C8D" w:rsidP="002A198E">
      <w:pPr>
        <w:pStyle w:val="Heading2"/>
        <w:keepNext w:val="0"/>
        <w:keepLines w:val="0"/>
        <w:widowControl w:val="0"/>
        <w:spacing w:before="0"/>
        <w:rPr>
          <w:lang w:val="en-CA"/>
        </w:rPr>
      </w:pPr>
      <w:bookmarkStart w:id="23" w:name="_Toc319660891"/>
      <w:r>
        <w:rPr>
          <w:lang w:val="en-CA"/>
        </w:rPr>
        <w:t>m</w:t>
      </w:r>
      <w:r w:rsidR="00375552" w:rsidRPr="002A198E">
        <w:rPr>
          <w:lang w:val="en-CA"/>
        </w:rPr>
        <w:t xml:space="preserve">) </w:t>
      </w:r>
      <w:r w:rsidR="007A4BA2" w:rsidRPr="002A198E">
        <w:rPr>
          <w:lang w:val="en-CA"/>
        </w:rPr>
        <w:t xml:space="preserve">Ensuring </w:t>
      </w:r>
      <w:r w:rsidR="004B4634" w:rsidRPr="002A198E">
        <w:rPr>
          <w:lang w:val="en-CA"/>
        </w:rPr>
        <w:t xml:space="preserve">Federal Elections </w:t>
      </w:r>
      <w:r w:rsidR="007A4BA2" w:rsidRPr="002A198E">
        <w:rPr>
          <w:lang w:val="en-CA"/>
        </w:rPr>
        <w:t xml:space="preserve">Become </w:t>
      </w:r>
      <w:r w:rsidR="00DD4E0C">
        <w:rPr>
          <w:lang w:val="en-CA"/>
        </w:rPr>
        <w:t xml:space="preserve">Disability </w:t>
      </w:r>
      <w:r w:rsidR="004B4634" w:rsidRPr="002A198E">
        <w:rPr>
          <w:lang w:val="en-CA"/>
        </w:rPr>
        <w:t xml:space="preserve">Accessible </w:t>
      </w:r>
      <w:bookmarkEnd w:id="23"/>
    </w:p>
    <w:p w14:paraId="53E448E9" w14:textId="77777777" w:rsidR="004B4634" w:rsidRPr="002A198E" w:rsidRDefault="004B4634" w:rsidP="002A198E">
      <w:pPr>
        <w:widowControl w:val="0"/>
        <w:rPr>
          <w:lang w:val="en-CA"/>
        </w:rPr>
      </w:pPr>
    </w:p>
    <w:p w14:paraId="77CDE6B6" w14:textId="0EBC5D73" w:rsidR="004B4634" w:rsidRPr="002A198E" w:rsidRDefault="00DD4E0C" w:rsidP="002A198E">
      <w:pPr>
        <w:widowControl w:val="0"/>
        <w:rPr>
          <w:lang w:val="en-CA"/>
        </w:rPr>
      </w:pPr>
      <w:r>
        <w:rPr>
          <w:lang w:val="en-CA"/>
        </w:rPr>
        <w:t xml:space="preserve">The CDA </w:t>
      </w:r>
      <w:r w:rsidR="004B4634" w:rsidRPr="002A198E">
        <w:rPr>
          <w:lang w:val="en-CA"/>
        </w:rPr>
        <w:t xml:space="preserve">should </w:t>
      </w:r>
      <w:r w:rsidR="00CA4E64">
        <w:rPr>
          <w:lang w:val="en-CA"/>
        </w:rPr>
        <w:t xml:space="preserve">require </w:t>
      </w:r>
      <w:r w:rsidR="004B4634" w:rsidRPr="002A198E">
        <w:rPr>
          <w:lang w:val="en-CA"/>
        </w:rPr>
        <w:t xml:space="preserve">the Federal Government to </w:t>
      </w:r>
      <w:r>
        <w:rPr>
          <w:lang w:val="en-CA"/>
        </w:rPr>
        <w:t xml:space="preserve">ensure </w:t>
      </w:r>
      <w:r w:rsidR="004B4634" w:rsidRPr="002A198E">
        <w:rPr>
          <w:lang w:val="en-CA"/>
        </w:rPr>
        <w:t xml:space="preserve">that </w:t>
      </w:r>
      <w:r w:rsidR="00834E8D">
        <w:rPr>
          <w:lang w:val="en-CA"/>
        </w:rPr>
        <w:t xml:space="preserve">federal </w:t>
      </w:r>
      <w:r w:rsidR="004B4634" w:rsidRPr="002A198E">
        <w:rPr>
          <w:lang w:val="en-CA"/>
        </w:rPr>
        <w:t xml:space="preserve">elections are barrier-free for voters and candidates with disabilities. Barrier-Free Canada’s </w:t>
      </w:r>
      <w:r w:rsidR="003F2AC5">
        <w:rPr>
          <w:lang w:val="en-CA"/>
        </w:rPr>
        <w:t>11th</w:t>
      </w:r>
      <w:r w:rsidR="005758B7">
        <w:rPr>
          <w:lang w:val="en-CA"/>
        </w:rPr>
        <w:t xml:space="preserve"> </w:t>
      </w:r>
      <w:r w:rsidR="003F2AC5">
        <w:rPr>
          <w:lang w:val="en-CA"/>
        </w:rPr>
        <w:t>principle</w:t>
      </w:r>
      <w:r w:rsidR="004B4634" w:rsidRPr="002A198E">
        <w:rPr>
          <w:lang w:val="en-CA"/>
        </w:rPr>
        <w:t xml:space="preserve"> call</w:t>
      </w:r>
      <w:r w:rsidR="003F2AC5">
        <w:rPr>
          <w:lang w:val="en-CA"/>
        </w:rPr>
        <w:t>s</w:t>
      </w:r>
      <w:r w:rsidR="004B4634" w:rsidRPr="002A198E">
        <w:rPr>
          <w:lang w:val="en-CA"/>
        </w:rPr>
        <w:t xml:space="preserve"> for </w:t>
      </w:r>
      <w:r w:rsidR="00690743">
        <w:rPr>
          <w:lang w:val="en-CA"/>
        </w:rPr>
        <w:t xml:space="preserve">the CDA </w:t>
      </w:r>
      <w:r w:rsidR="004B4634" w:rsidRPr="002A198E">
        <w:rPr>
          <w:lang w:val="en-CA"/>
        </w:rPr>
        <w:t xml:space="preserve">to require </w:t>
      </w:r>
      <w:r w:rsidR="00690743">
        <w:rPr>
          <w:lang w:val="en-CA"/>
        </w:rPr>
        <w:t xml:space="preserve">an accessibility </w:t>
      </w:r>
      <w:r w:rsidR="004B4634" w:rsidRPr="002A198E">
        <w:rPr>
          <w:lang w:val="en-CA"/>
        </w:rPr>
        <w:t xml:space="preserve">review of federal </w:t>
      </w:r>
      <w:r w:rsidR="00690743">
        <w:rPr>
          <w:lang w:val="en-CA"/>
        </w:rPr>
        <w:t>laws</w:t>
      </w:r>
      <w:r w:rsidR="005758B7">
        <w:rPr>
          <w:lang w:val="en-CA"/>
        </w:rPr>
        <w:t xml:space="preserve">, and </w:t>
      </w:r>
      <w:r w:rsidR="004B4634" w:rsidRPr="002A198E">
        <w:rPr>
          <w:lang w:val="en-CA"/>
        </w:rPr>
        <w:t>continues:</w:t>
      </w:r>
    </w:p>
    <w:p w14:paraId="3118CCAE" w14:textId="77777777" w:rsidR="004B4634" w:rsidRPr="002A198E" w:rsidRDefault="004B4634" w:rsidP="002A198E">
      <w:pPr>
        <w:widowControl w:val="0"/>
        <w:rPr>
          <w:lang w:val="en-CA"/>
        </w:rPr>
      </w:pPr>
    </w:p>
    <w:p w14:paraId="1F70ECBB" w14:textId="77777777" w:rsidR="004B4634" w:rsidRPr="002A198E" w:rsidRDefault="004B4634" w:rsidP="009237ED">
      <w:pPr>
        <w:widowControl w:val="0"/>
        <w:ind w:left="720" w:right="720"/>
        <w:rPr>
          <w:lang w:val="en-CA"/>
        </w:rPr>
      </w:pPr>
      <w:r w:rsidRPr="002A198E">
        <w:rPr>
          <w:lang w:val="en-CA"/>
        </w:rPr>
        <w:t>“As an immediate priority under these activities, the Government of Canada should get input from voters with disabilities on accessibility barriers in election campaigns and the voting process, and should develop reforms to remove and prevent such barriers.”</w:t>
      </w:r>
    </w:p>
    <w:p w14:paraId="4A367A48" w14:textId="77777777" w:rsidR="004B4634" w:rsidRPr="002A198E" w:rsidRDefault="004B4634" w:rsidP="002A198E">
      <w:pPr>
        <w:widowControl w:val="0"/>
        <w:rPr>
          <w:lang w:val="en-CA"/>
        </w:rPr>
      </w:pPr>
    </w:p>
    <w:p w14:paraId="26FDE669" w14:textId="6CF7697C" w:rsidR="004B4634" w:rsidRPr="002A198E" w:rsidRDefault="004B4634" w:rsidP="002A198E">
      <w:pPr>
        <w:widowControl w:val="0"/>
        <w:rPr>
          <w:lang w:val="en-CA"/>
        </w:rPr>
      </w:pPr>
      <w:r w:rsidRPr="002A198E">
        <w:rPr>
          <w:lang w:val="en-CA"/>
        </w:rPr>
        <w:t xml:space="preserve">Barriers </w:t>
      </w:r>
      <w:r w:rsidR="00D30DEC">
        <w:rPr>
          <w:lang w:val="en-CA"/>
        </w:rPr>
        <w:t xml:space="preserve">continue to </w:t>
      </w:r>
      <w:r w:rsidRPr="002A198E">
        <w:rPr>
          <w:lang w:val="en-CA"/>
        </w:rPr>
        <w:t>recur in federal, provincial and municipal election</w:t>
      </w:r>
      <w:r w:rsidR="00F33CAD">
        <w:rPr>
          <w:lang w:val="en-CA"/>
        </w:rPr>
        <w:t>s</w:t>
      </w:r>
      <w:r w:rsidRPr="002A198E">
        <w:rPr>
          <w:lang w:val="en-CA"/>
        </w:rPr>
        <w:t>. Voters with physical disabilities are not assured that polling stations will be fully accessible.</w:t>
      </w:r>
      <w:r w:rsidR="00642B63">
        <w:rPr>
          <w:lang w:val="en-CA"/>
        </w:rPr>
        <w:t xml:space="preserve"> </w:t>
      </w:r>
      <w:r w:rsidRPr="002A198E">
        <w:rPr>
          <w:lang w:val="en-CA"/>
        </w:rPr>
        <w:t xml:space="preserve">Voters with limited or no vision, </w:t>
      </w:r>
      <w:r w:rsidR="00642B63">
        <w:rPr>
          <w:lang w:val="en-CA"/>
        </w:rPr>
        <w:t xml:space="preserve">or </w:t>
      </w:r>
      <w:r w:rsidRPr="002A198E">
        <w:rPr>
          <w:lang w:val="en-CA"/>
        </w:rPr>
        <w:t xml:space="preserve">with other print disabilities or motor limitations, are not assured that they can mark their own </w:t>
      </w:r>
      <w:r w:rsidR="00D96BB9">
        <w:rPr>
          <w:lang w:val="en-CA"/>
        </w:rPr>
        <w:t xml:space="preserve">print </w:t>
      </w:r>
      <w:r w:rsidRPr="002A198E">
        <w:rPr>
          <w:lang w:val="en-CA"/>
        </w:rPr>
        <w:t>ballots independently and in private, and then verify that their ballot was properly marked in accordance with their wishes.</w:t>
      </w:r>
      <w:r w:rsidR="00642B63">
        <w:rPr>
          <w:lang w:val="en-CA"/>
        </w:rPr>
        <w:t xml:space="preserve"> </w:t>
      </w:r>
      <w:r w:rsidRPr="002A198E">
        <w:rPr>
          <w:lang w:val="en-CA"/>
        </w:rPr>
        <w:t xml:space="preserve">Election campaign information </w:t>
      </w:r>
      <w:r w:rsidR="00D96BB9">
        <w:rPr>
          <w:lang w:val="en-CA"/>
        </w:rPr>
        <w:t>is often in</w:t>
      </w:r>
      <w:r w:rsidR="00140152">
        <w:rPr>
          <w:lang w:val="en-CA"/>
        </w:rPr>
        <w:t xml:space="preserve">accessible </w:t>
      </w:r>
      <w:r w:rsidRPr="002A198E">
        <w:rPr>
          <w:lang w:val="en-CA"/>
        </w:rPr>
        <w:t xml:space="preserve">to people with vision loss, dyslexia and/ or hearing loss. </w:t>
      </w:r>
    </w:p>
    <w:p w14:paraId="757D2435" w14:textId="77777777" w:rsidR="00CB0477" w:rsidRDefault="00CB0477" w:rsidP="00231752">
      <w:pPr>
        <w:widowControl w:val="0"/>
        <w:rPr>
          <w:lang w:val="en-CA"/>
        </w:rPr>
      </w:pPr>
    </w:p>
    <w:p w14:paraId="5CE2EBD4" w14:textId="64F32CFA" w:rsidR="003953E5" w:rsidRPr="002A198E" w:rsidRDefault="003D2FA4" w:rsidP="003953E5">
      <w:pPr>
        <w:widowControl w:val="0"/>
        <w:rPr>
          <w:lang w:val="en-CA"/>
        </w:rPr>
      </w:pPr>
      <w:r>
        <w:rPr>
          <w:lang w:val="en-CA"/>
        </w:rPr>
        <w:t xml:space="preserve">If a polling station or ballot lacks accessibility, a </w:t>
      </w:r>
      <w:r w:rsidRPr="002321B2">
        <w:rPr>
          <w:i/>
          <w:lang w:val="en-CA"/>
        </w:rPr>
        <w:t xml:space="preserve">Charter </w:t>
      </w:r>
      <w:r>
        <w:rPr>
          <w:lang w:val="en-CA"/>
        </w:rPr>
        <w:t xml:space="preserve">or human rights case, after the fact, cannot restore rights in an election which is already decided. </w:t>
      </w:r>
      <w:r w:rsidR="004B4634" w:rsidRPr="002A198E">
        <w:rPr>
          <w:lang w:val="en-CA"/>
        </w:rPr>
        <w:t>These barriers are illegal</w:t>
      </w:r>
      <w:r w:rsidR="00231752">
        <w:rPr>
          <w:lang w:val="en-CA"/>
        </w:rPr>
        <w:t xml:space="preserve"> and </w:t>
      </w:r>
      <w:r w:rsidR="004B4634" w:rsidRPr="002A198E">
        <w:rPr>
          <w:lang w:val="en-CA"/>
        </w:rPr>
        <w:t>unfair. The Federal Government’s duty to honour these important accessibility rights has several bases</w:t>
      </w:r>
      <w:r w:rsidR="003F2AC5">
        <w:rPr>
          <w:lang w:val="en-CA"/>
        </w:rPr>
        <w:t xml:space="preserve">, </w:t>
      </w:r>
      <w:r w:rsidR="00231752">
        <w:rPr>
          <w:lang w:val="en-CA"/>
        </w:rPr>
        <w:lastRenderedPageBreak/>
        <w:t xml:space="preserve">including </w:t>
      </w:r>
      <w:r w:rsidR="00231752" w:rsidRPr="003F2AC5">
        <w:rPr>
          <w:i/>
          <w:lang w:val="en-CA"/>
        </w:rPr>
        <w:t>Charter</w:t>
      </w:r>
      <w:r w:rsidR="00231752">
        <w:rPr>
          <w:lang w:val="en-CA"/>
        </w:rPr>
        <w:t xml:space="preserve"> s. 3 (right to vote and stand as a federal candidate), and s. 15 (equality rights), </w:t>
      </w:r>
      <w:r>
        <w:rPr>
          <w:lang w:val="en-CA"/>
        </w:rPr>
        <w:t>t</w:t>
      </w:r>
      <w:r w:rsidR="004B4634" w:rsidRPr="002A198E">
        <w:rPr>
          <w:lang w:val="en-CA"/>
        </w:rPr>
        <w:t xml:space="preserve">he </w:t>
      </w:r>
      <w:r w:rsidR="004B4634" w:rsidRPr="003F2AC5">
        <w:rPr>
          <w:i/>
          <w:lang w:val="en-CA"/>
        </w:rPr>
        <w:t>Canada Human Rights Act’s</w:t>
      </w:r>
      <w:r w:rsidR="004B4634" w:rsidRPr="002A198E">
        <w:rPr>
          <w:lang w:val="en-CA"/>
        </w:rPr>
        <w:t xml:space="preserve"> right to equal treatment in services and facilities</w:t>
      </w:r>
      <w:r w:rsidR="00231752">
        <w:rPr>
          <w:lang w:val="en-CA"/>
        </w:rPr>
        <w:t xml:space="preserve">, and </w:t>
      </w:r>
      <w:r w:rsidR="00BB7D21">
        <w:rPr>
          <w:lang w:val="en-CA"/>
        </w:rPr>
        <w:t xml:space="preserve">CRPD </w:t>
      </w:r>
      <w:r w:rsidR="003953E5">
        <w:rPr>
          <w:lang w:val="en-CA"/>
        </w:rPr>
        <w:t>Article 29</w:t>
      </w:r>
      <w:r w:rsidR="00892C16">
        <w:rPr>
          <w:lang w:val="en-CA"/>
        </w:rPr>
        <w:t xml:space="preserve"> (</w:t>
      </w:r>
      <w:r w:rsidR="003F2AC5">
        <w:rPr>
          <w:lang w:val="en-CA"/>
        </w:rPr>
        <w:t>pa</w:t>
      </w:r>
      <w:r w:rsidR="00892C16" w:rsidRPr="00892C16">
        <w:rPr>
          <w:lang w:val="en-CA"/>
        </w:rPr>
        <w:t>rticipation in political and public life</w:t>
      </w:r>
      <w:r w:rsidR="00892C16">
        <w:rPr>
          <w:lang w:val="en-CA"/>
        </w:rPr>
        <w:t>).</w:t>
      </w:r>
      <w:r w:rsidR="003953E5">
        <w:rPr>
          <w:lang w:val="en-CA"/>
        </w:rPr>
        <w:t xml:space="preserve"> </w:t>
      </w:r>
    </w:p>
    <w:p w14:paraId="087E177C" w14:textId="77777777" w:rsidR="004B4634" w:rsidRPr="002A198E" w:rsidRDefault="004B4634" w:rsidP="009237ED">
      <w:pPr>
        <w:widowControl w:val="0"/>
        <w:ind w:left="1440" w:right="720"/>
        <w:rPr>
          <w:lang w:val="en-CA"/>
        </w:rPr>
      </w:pPr>
    </w:p>
    <w:p w14:paraId="6857A000" w14:textId="19D5AD34" w:rsidR="00CB4E4B" w:rsidRPr="002A198E" w:rsidRDefault="004B4634" w:rsidP="00CB4E4B">
      <w:pPr>
        <w:widowControl w:val="0"/>
        <w:rPr>
          <w:lang w:val="en-CA"/>
        </w:rPr>
      </w:pPr>
      <w:r w:rsidRPr="002A198E">
        <w:rPr>
          <w:lang w:val="en-CA"/>
        </w:rPr>
        <w:t>In 2010, the Canadian Human Rights Tribunal</w:t>
      </w:r>
      <w:r w:rsidR="00CB4E4B">
        <w:rPr>
          <w:lang w:val="en-CA"/>
        </w:rPr>
        <w:t>'s</w:t>
      </w:r>
      <w:r w:rsidRPr="002A198E">
        <w:rPr>
          <w:lang w:val="en-CA"/>
        </w:rPr>
        <w:t xml:space="preserve"> </w:t>
      </w:r>
      <w:r w:rsidR="00CB4E4B">
        <w:rPr>
          <w:lang w:val="en-CA"/>
        </w:rPr>
        <w:t xml:space="preserve">landmark </w:t>
      </w:r>
      <w:r w:rsidR="0087001D" w:rsidRPr="009237ED">
        <w:rPr>
          <w:i/>
          <w:lang w:val="en-CA"/>
        </w:rPr>
        <w:t>Hughes v. Elections Canada</w:t>
      </w:r>
      <w:r w:rsidR="0087001D" w:rsidRPr="003F2F5F">
        <w:rPr>
          <w:rStyle w:val="EndnoteReference"/>
          <w:lang w:val="en-CA"/>
        </w:rPr>
        <w:endnoteReference w:id="71"/>
      </w:r>
      <w:r w:rsidR="0087001D">
        <w:rPr>
          <w:i/>
          <w:lang w:val="en-CA"/>
        </w:rPr>
        <w:t xml:space="preserve"> </w:t>
      </w:r>
      <w:r w:rsidRPr="002A198E">
        <w:rPr>
          <w:lang w:val="en-CA"/>
        </w:rPr>
        <w:t xml:space="preserve">ruling </w:t>
      </w:r>
      <w:r w:rsidR="00CB4E4B">
        <w:rPr>
          <w:lang w:val="en-CA"/>
        </w:rPr>
        <w:t xml:space="preserve">found </w:t>
      </w:r>
      <w:r w:rsidR="00721E8B">
        <w:rPr>
          <w:lang w:val="en-CA"/>
        </w:rPr>
        <w:t xml:space="preserve">that </w:t>
      </w:r>
      <w:r w:rsidR="00CB4E4B">
        <w:rPr>
          <w:lang w:val="en-CA"/>
        </w:rPr>
        <w:t xml:space="preserve">Elections Canada substantially violated the human rights of a voter with a physical disability by failing to ensure </w:t>
      </w:r>
      <w:r w:rsidR="00DF3019">
        <w:rPr>
          <w:lang w:val="en-CA"/>
        </w:rPr>
        <w:t xml:space="preserve">polling station </w:t>
      </w:r>
      <w:r w:rsidR="00CB4E4B">
        <w:rPr>
          <w:lang w:val="en-CA"/>
        </w:rPr>
        <w:t xml:space="preserve">physical accessibility. </w:t>
      </w:r>
    </w:p>
    <w:p w14:paraId="04A2036F" w14:textId="77777777" w:rsidR="004B4634" w:rsidRPr="002A198E" w:rsidRDefault="004B4634" w:rsidP="009237ED">
      <w:pPr>
        <w:widowControl w:val="0"/>
        <w:ind w:left="720" w:right="720"/>
        <w:rPr>
          <w:lang w:val="en-CA"/>
        </w:rPr>
      </w:pPr>
    </w:p>
    <w:p w14:paraId="566A6E39" w14:textId="77777777" w:rsidR="009E24C4" w:rsidRDefault="004B4634" w:rsidP="002A198E">
      <w:pPr>
        <w:widowControl w:val="0"/>
        <w:rPr>
          <w:lang w:val="en-CA"/>
        </w:rPr>
      </w:pPr>
      <w:r w:rsidRPr="002A198E">
        <w:rPr>
          <w:lang w:val="en-CA"/>
        </w:rPr>
        <w:t xml:space="preserve">Ontarians with disabilities have campaigned since at least 1999 </w:t>
      </w:r>
      <w:r w:rsidR="00B90ED7">
        <w:rPr>
          <w:lang w:val="en-CA"/>
        </w:rPr>
        <w:t xml:space="preserve">for </w:t>
      </w:r>
      <w:r w:rsidRPr="002A198E">
        <w:rPr>
          <w:lang w:val="en-CA"/>
        </w:rPr>
        <w:t>accessibility in provincial and municipal elections. Ontario</w:t>
      </w:r>
      <w:r w:rsidR="00E91BD1">
        <w:rPr>
          <w:lang w:val="en-CA"/>
        </w:rPr>
        <w:t>'s</w:t>
      </w:r>
      <w:r w:rsidRPr="002A198E">
        <w:rPr>
          <w:lang w:val="en-CA"/>
        </w:rPr>
        <w:t xml:space="preserve"> Government implement</w:t>
      </w:r>
      <w:r w:rsidR="00B90ED7">
        <w:rPr>
          <w:lang w:val="en-CA"/>
        </w:rPr>
        <w:t>ed</w:t>
      </w:r>
      <w:r w:rsidRPr="002A198E">
        <w:rPr>
          <w:lang w:val="en-CA"/>
        </w:rPr>
        <w:t xml:space="preserve"> insufficient solutions</w:t>
      </w:r>
      <w:r w:rsidR="00705438">
        <w:rPr>
          <w:lang w:val="en-CA"/>
        </w:rPr>
        <w:t xml:space="preserve">. It left this issue </w:t>
      </w:r>
      <w:r w:rsidRPr="002A198E">
        <w:rPr>
          <w:lang w:val="en-CA"/>
        </w:rPr>
        <w:t xml:space="preserve">to the discretion of election officials who </w:t>
      </w:r>
      <w:r w:rsidR="00B90ED7">
        <w:rPr>
          <w:lang w:val="en-CA"/>
        </w:rPr>
        <w:t xml:space="preserve">haven't </w:t>
      </w:r>
      <w:r w:rsidRPr="002A198E">
        <w:rPr>
          <w:lang w:val="en-CA"/>
        </w:rPr>
        <w:t>solve</w:t>
      </w:r>
      <w:r w:rsidR="00B90ED7">
        <w:rPr>
          <w:lang w:val="en-CA"/>
        </w:rPr>
        <w:t>d</w:t>
      </w:r>
      <w:r w:rsidRPr="002A198E">
        <w:rPr>
          <w:lang w:val="en-CA"/>
        </w:rPr>
        <w:t xml:space="preserve"> </w:t>
      </w:r>
      <w:r w:rsidR="00637034">
        <w:rPr>
          <w:lang w:val="en-CA"/>
        </w:rPr>
        <w:t xml:space="preserve">it </w:t>
      </w:r>
      <w:r w:rsidR="00705438">
        <w:rPr>
          <w:lang w:val="en-CA"/>
        </w:rPr>
        <w:t>after two general elections and several by-elections</w:t>
      </w:r>
      <w:r w:rsidRPr="002A198E">
        <w:rPr>
          <w:lang w:val="en-CA"/>
        </w:rPr>
        <w:t>.</w:t>
      </w:r>
      <w:r w:rsidR="00E05599">
        <w:rPr>
          <w:rStyle w:val="EndnoteReference"/>
          <w:lang w:val="en-CA"/>
        </w:rPr>
        <w:endnoteReference w:id="72"/>
      </w:r>
      <w:r w:rsidR="00E05599">
        <w:rPr>
          <w:lang w:val="en-CA"/>
        </w:rPr>
        <w:t xml:space="preserve"> </w:t>
      </w:r>
      <w:r w:rsidR="002A198E" w:rsidRPr="002A198E">
        <w:rPr>
          <w:lang w:val="en-CA"/>
        </w:rPr>
        <w:t xml:space="preserve"> </w:t>
      </w:r>
    </w:p>
    <w:p w14:paraId="4C1363B0" w14:textId="77777777" w:rsidR="004B4634" w:rsidRPr="002A198E" w:rsidRDefault="00C575C6" w:rsidP="002A198E">
      <w:pPr>
        <w:widowControl w:val="0"/>
        <w:rPr>
          <w:lang w:val="en-CA"/>
        </w:rPr>
      </w:pPr>
      <w:r w:rsidRPr="002A198E">
        <w:rPr>
          <w:lang w:val="en-CA"/>
        </w:rPr>
        <w:t xml:space="preserve"> </w:t>
      </w:r>
    </w:p>
    <w:p w14:paraId="1EE42EC1" w14:textId="77777777" w:rsidR="004B4634" w:rsidRPr="002A198E" w:rsidRDefault="009E24C4" w:rsidP="002A198E">
      <w:pPr>
        <w:pStyle w:val="Heading2"/>
        <w:keepNext w:val="0"/>
        <w:keepLines w:val="0"/>
        <w:widowControl w:val="0"/>
        <w:spacing w:before="0"/>
        <w:rPr>
          <w:lang w:val="en-CA"/>
        </w:rPr>
      </w:pPr>
      <w:bookmarkStart w:id="24" w:name="_Toc319660892"/>
      <w:r>
        <w:rPr>
          <w:lang w:val="en-CA"/>
        </w:rPr>
        <w:t>n</w:t>
      </w:r>
      <w:r w:rsidR="00027A88" w:rsidRPr="002A198E">
        <w:rPr>
          <w:lang w:val="en-CA"/>
        </w:rPr>
        <w:t>) Ensuring</w:t>
      </w:r>
      <w:r w:rsidR="004B4634" w:rsidRPr="002A198E">
        <w:rPr>
          <w:lang w:val="en-CA"/>
        </w:rPr>
        <w:t xml:space="preserve"> a Fully Accessible Federal Government</w:t>
      </w:r>
      <w:bookmarkEnd w:id="24"/>
      <w:r w:rsidR="004B4634" w:rsidRPr="002A198E">
        <w:rPr>
          <w:lang w:val="en-CA"/>
        </w:rPr>
        <w:t xml:space="preserve"> </w:t>
      </w:r>
    </w:p>
    <w:p w14:paraId="32E27775" w14:textId="77777777" w:rsidR="004B4634" w:rsidRPr="002A198E" w:rsidRDefault="004B4634" w:rsidP="002A198E">
      <w:pPr>
        <w:widowControl w:val="0"/>
        <w:rPr>
          <w:lang w:val="en-CA"/>
        </w:rPr>
      </w:pPr>
    </w:p>
    <w:p w14:paraId="350D9913" w14:textId="2FED0908" w:rsidR="006B425E" w:rsidRPr="002A198E" w:rsidRDefault="00C309FB" w:rsidP="002A198E">
      <w:pPr>
        <w:widowControl w:val="0"/>
        <w:rPr>
          <w:lang w:val="en-CA"/>
        </w:rPr>
      </w:pPr>
      <w:r>
        <w:rPr>
          <w:lang w:val="en-CA"/>
        </w:rPr>
        <w:t>T</w:t>
      </w:r>
      <w:r w:rsidR="004B4634" w:rsidRPr="002A198E">
        <w:rPr>
          <w:lang w:val="en-CA"/>
        </w:rPr>
        <w:t xml:space="preserve">he Federal Government </w:t>
      </w:r>
      <w:r>
        <w:rPr>
          <w:lang w:val="en-CA"/>
        </w:rPr>
        <w:t xml:space="preserve">must </w:t>
      </w:r>
      <w:r w:rsidR="004B4634" w:rsidRPr="002A198E">
        <w:rPr>
          <w:lang w:val="en-CA"/>
        </w:rPr>
        <w:t xml:space="preserve">lead </w:t>
      </w:r>
      <w:r w:rsidR="00CA5793" w:rsidRPr="002A198E">
        <w:rPr>
          <w:lang w:val="en-CA"/>
        </w:rPr>
        <w:t xml:space="preserve">by a good </w:t>
      </w:r>
      <w:r>
        <w:rPr>
          <w:lang w:val="en-CA"/>
        </w:rPr>
        <w:t xml:space="preserve">accessibility </w:t>
      </w:r>
      <w:r w:rsidR="00CA5793" w:rsidRPr="002A198E">
        <w:rPr>
          <w:lang w:val="en-CA"/>
        </w:rPr>
        <w:t>example</w:t>
      </w:r>
      <w:r w:rsidR="004B4634" w:rsidRPr="002A198E">
        <w:rPr>
          <w:lang w:val="en-CA"/>
        </w:rPr>
        <w:t>.</w:t>
      </w:r>
      <w:r w:rsidR="00C97E96" w:rsidRPr="002A198E">
        <w:rPr>
          <w:lang w:val="en-CA"/>
        </w:rPr>
        <w:t xml:space="preserve"> If </w:t>
      </w:r>
      <w:r>
        <w:rPr>
          <w:lang w:val="en-CA"/>
        </w:rPr>
        <w:t xml:space="preserve">it </w:t>
      </w:r>
      <w:r w:rsidR="009859CE">
        <w:rPr>
          <w:lang w:val="en-CA"/>
        </w:rPr>
        <w:t xml:space="preserve">doesn't </w:t>
      </w:r>
      <w:r w:rsidR="00C97E96" w:rsidRPr="002A198E">
        <w:rPr>
          <w:lang w:val="en-CA"/>
        </w:rPr>
        <w:t xml:space="preserve">take its accessibility duties sufficiently seriously, </w:t>
      </w:r>
      <w:r w:rsidR="00857D7F">
        <w:rPr>
          <w:lang w:val="en-CA"/>
        </w:rPr>
        <w:t xml:space="preserve">this signals to </w:t>
      </w:r>
      <w:r w:rsidR="00C97E96" w:rsidRPr="002A198E">
        <w:rPr>
          <w:lang w:val="en-CA"/>
        </w:rPr>
        <w:t xml:space="preserve">other organizations that they </w:t>
      </w:r>
      <w:r w:rsidR="003F2F5F">
        <w:rPr>
          <w:lang w:val="en-CA"/>
        </w:rPr>
        <w:t>can too</w:t>
      </w:r>
      <w:r w:rsidR="006B425E" w:rsidRPr="002A198E">
        <w:rPr>
          <w:lang w:val="en-CA"/>
        </w:rPr>
        <w:t>.</w:t>
      </w:r>
    </w:p>
    <w:p w14:paraId="65B63203" w14:textId="77777777" w:rsidR="00C97E96" w:rsidRPr="002A198E" w:rsidRDefault="00C97E96" w:rsidP="002A198E">
      <w:pPr>
        <w:widowControl w:val="0"/>
        <w:rPr>
          <w:lang w:val="en-CA"/>
        </w:rPr>
      </w:pPr>
    </w:p>
    <w:p w14:paraId="19A97B34" w14:textId="55F686C1" w:rsidR="004B4634" w:rsidRPr="002A198E" w:rsidRDefault="00EC78B0" w:rsidP="002A198E">
      <w:pPr>
        <w:widowControl w:val="0"/>
        <w:rPr>
          <w:lang w:val="en-CA"/>
        </w:rPr>
      </w:pPr>
      <w:r>
        <w:rPr>
          <w:lang w:val="en-CA"/>
        </w:rPr>
        <w:t>L</w:t>
      </w:r>
      <w:r w:rsidR="004B4634" w:rsidRPr="002A198E">
        <w:rPr>
          <w:lang w:val="en-CA"/>
        </w:rPr>
        <w:t xml:space="preserve">arge governments can lag behind </w:t>
      </w:r>
      <w:r w:rsidR="0094211B" w:rsidRPr="002A198E">
        <w:rPr>
          <w:lang w:val="en-CA"/>
        </w:rPr>
        <w:t xml:space="preserve">other </w:t>
      </w:r>
      <w:r w:rsidR="00027A88" w:rsidRPr="002A198E">
        <w:rPr>
          <w:lang w:val="en-CA"/>
        </w:rPr>
        <w:t>organizations</w:t>
      </w:r>
      <w:r w:rsidR="004B4634" w:rsidRPr="002A198E">
        <w:rPr>
          <w:lang w:val="en-CA"/>
        </w:rPr>
        <w:t xml:space="preserve"> </w:t>
      </w:r>
      <w:r w:rsidR="00BF5DF8">
        <w:rPr>
          <w:lang w:val="en-CA"/>
        </w:rPr>
        <w:t xml:space="preserve">on </w:t>
      </w:r>
      <w:r w:rsidR="004B4634" w:rsidRPr="002A198E">
        <w:rPr>
          <w:lang w:val="en-CA"/>
        </w:rPr>
        <w:t xml:space="preserve">accessibility. </w:t>
      </w:r>
      <w:r w:rsidR="00D00966">
        <w:rPr>
          <w:lang w:val="en-CA"/>
        </w:rPr>
        <w:t>T</w:t>
      </w:r>
      <w:r w:rsidR="003F2F5F">
        <w:rPr>
          <w:lang w:val="en-CA"/>
        </w:rPr>
        <w:t>he Federal G</w:t>
      </w:r>
      <w:r w:rsidR="00A03C19" w:rsidRPr="002A198E">
        <w:rPr>
          <w:lang w:val="en-CA"/>
        </w:rPr>
        <w:t xml:space="preserve">overnment </w:t>
      </w:r>
      <w:r w:rsidR="00D00966">
        <w:rPr>
          <w:lang w:val="en-CA"/>
        </w:rPr>
        <w:t xml:space="preserve">led </w:t>
      </w:r>
      <w:r w:rsidR="00A03C19" w:rsidRPr="002A198E">
        <w:rPr>
          <w:lang w:val="en-CA"/>
        </w:rPr>
        <w:t xml:space="preserve">by a poor example </w:t>
      </w:r>
      <w:r w:rsidR="00D00966">
        <w:rPr>
          <w:lang w:val="en-CA"/>
        </w:rPr>
        <w:t xml:space="preserve">by </w:t>
      </w:r>
      <w:r w:rsidR="00A03C19" w:rsidRPr="002A198E">
        <w:rPr>
          <w:lang w:val="en-CA"/>
        </w:rPr>
        <w:t xml:space="preserve">its protracted opposition to ensuring that its websites </w:t>
      </w:r>
      <w:r w:rsidR="0051571A">
        <w:rPr>
          <w:lang w:val="en-CA"/>
        </w:rPr>
        <w:t>were disability-accessible.</w:t>
      </w:r>
      <w:r w:rsidR="00787226">
        <w:rPr>
          <w:rStyle w:val="EndnoteReference"/>
          <w:lang w:val="en-CA"/>
        </w:rPr>
        <w:endnoteReference w:id="73"/>
      </w:r>
      <w:r w:rsidR="00787226" w:rsidRPr="002A198E">
        <w:rPr>
          <w:lang w:val="en-CA"/>
        </w:rPr>
        <w:t xml:space="preserve"> </w:t>
      </w:r>
      <w:r w:rsidR="00723A5C" w:rsidRPr="002A198E">
        <w:rPr>
          <w:lang w:val="en-CA"/>
        </w:rPr>
        <w:t>T</w:t>
      </w:r>
      <w:r w:rsidR="004B4634" w:rsidRPr="002A198E">
        <w:rPr>
          <w:lang w:val="en-CA"/>
        </w:rPr>
        <w:t xml:space="preserve">he </w:t>
      </w:r>
      <w:r w:rsidR="00E745FC">
        <w:rPr>
          <w:lang w:val="en-CA"/>
        </w:rPr>
        <w:t xml:space="preserve">CDA </w:t>
      </w:r>
      <w:r w:rsidR="00723A5C" w:rsidRPr="002A198E">
        <w:rPr>
          <w:lang w:val="en-CA"/>
        </w:rPr>
        <w:t xml:space="preserve">should </w:t>
      </w:r>
      <w:r w:rsidR="004B4634" w:rsidRPr="002A198E">
        <w:rPr>
          <w:lang w:val="en-CA"/>
        </w:rPr>
        <w:t xml:space="preserve">include </w:t>
      </w:r>
      <w:r w:rsidR="00A03C19" w:rsidRPr="002A198E">
        <w:rPr>
          <w:lang w:val="en-CA"/>
        </w:rPr>
        <w:t xml:space="preserve">strong </w:t>
      </w:r>
      <w:r w:rsidR="00AF5BAB" w:rsidRPr="002A198E">
        <w:rPr>
          <w:lang w:val="en-CA"/>
        </w:rPr>
        <w:t xml:space="preserve">additional </w:t>
      </w:r>
      <w:r w:rsidR="004B4634" w:rsidRPr="002A198E">
        <w:rPr>
          <w:lang w:val="en-CA"/>
        </w:rPr>
        <w:t>measures</w:t>
      </w:r>
      <w:r w:rsidR="00AF5BAB" w:rsidRPr="002A198E">
        <w:rPr>
          <w:lang w:val="en-CA"/>
        </w:rPr>
        <w:t>,</w:t>
      </w:r>
      <w:r w:rsidR="004B4634" w:rsidRPr="002A198E">
        <w:rPr>
          <w:lang w:val="en-CA"/>
        </w:rPr>
        <w:t xml:space="preserve"> </w:t>
      </w:r>
      <w:r w:rsidR="00A370F8">
        <w:rPr>
          <w:lang w:val="en-CA"/>
        </w:rPr>
        <w:t xml:space="preserve">to ensure </w:t>
      </w:r>
      <w:r w:rsidR="003F2F5F">
        <w:rPr>
          <w:lang w:val="en-CA"/>
        </w:rPr>
        <w:t>that the Federal G</w:t>
      </w:r>
      <w:r w:rsidR="004B4634" w:rsidRPr="002A198E">
        <w:rPr>
          <w:lang w:val="en-CA"/>
        </w:rPr>
        <w:t>overnment become</w:t>
      </w:r>
      <w:r w:rsidR="00A370F8">
        <w:rPr>
          <w:lang w:val="en-CA"/>
        </w:rPr>
        <w:t>s</w:t>
      </w:r>
      <w:r w:rsidR="004B4634" w:rsidRPr="002A198E">
        <w:rPr>
          <w:lang w:val="en-CA"/>
        </w:rPr>
        <w:t xml:space="preserve"> a fully accessible workplace and </w:t>
      </w:r>
      <w:r w:rsidR="00A03C19" w:rsidRPr="002A198E">
        <w:rPr>
          <w:lang w:val="en-CA"/>
        </w:rPr>
        <w:t>service-</w:t>
      </w:r>
      <w:r w:rsidR="004B4634" w:rsidRPr="002A198E">
        <w:rPr>
          <w:lang w:val="en-CA"/>
        </w:rPr>
        <w:t>provider.</w:t>
      </w:r>
      <w:r w:rsidR="00815426" w:rsidRPr="002A198E">
        <w:rPr>
          <w:lang w:val="en-CA"/>
        </w:rPr>
        <w:t xml:space="preserve"> </w:t>
      </w:r>
      <w:r w:rsidR="0027078B">
        <w:rPr>
          <w:lang w:val="en-CA"/>
        </w:rPr>
        <w:t xml:space="preserve">Here are </w:t>
      </w:r>
      <w:r w:rsidR="00126C0D" w:rsidRPr="002A198E">
        <w:rPr>
          <w:lang w:val="en-CA"/>
        </w:rPr>
        <w:t>e</w:t>
      </w:r>
      <w:r w:rsidR="00815426" w:rsidRPr="002A198E">
        <w:rPr>
          <w:lang w:val="en-CA"/>
        </w:rPr>
        <w:t>xamples</w:t>
      </w:r>
      <w:r w:rsidR="0027078B">
        <w:rPr>
          <w:lang w:val="en-CA"/>
        </w:rPr>
        <w:t>.</w:t>
      </w:r>
      <w:r w:rsidR="00815426" w:rsidRPr="002A198E">
        <w:rPr>
          <w:lang w:val="en-CA"/>
        </w:rPr>
        <w:t xml:space="preserve"> </w:t>
      </w:r>
    </w:p>
    <w:p w14:paraId="15E832C4" w14:textId="77777777" w:rsidR="004B4634" w:rsidRPr="002A198E" w:rsidRDefault="004B4634" w:rsidP="002A198E">
      <w:pPr>
        <w:widowControl w:val="0"/>
        <w:rPr>
          <w:lang w:val="en-CA"/>
        </w:rPr>
      </w:pPr>
    </w:p>
    <w:p w14:paraId="07F03783" w14:textId="77777777" w:rsidR="001539EA" w:rsidRPr="002A198E" w:rsidRDefault="0077163A" w:rsidP="002A198E">
      <w:pPr>
        <w:widowControl w:val="0"/>
        <w:rPr>
          <w:lang w:val="en-CA"/>
        </w:rPr>
      </w:pPr>
      <w:r>
        <w:rPr>
          <w:lang w:val="en-CA"/>
        </w:rPr>
        <w:t>T</w:t>
      </w:r>
      <w:r w:rsidR="004B4634" w:rsidRPr="002A198E">
        <w:rPr>
          <w:lang w:val="en-CA"/>
        </w:rPr>
        <w:t xml:space="preserve">he </w:t>
      </w:r>
      <w:r w:rsidR="0027078B">
        <w:rPr>
          <w:lang w:val="en-CA"/>
        </w:rPr>
        <w:t xml:space="preserve">CDA </w:t>
      </w:r>
      <w:r w:rsidR="004B4634" w:rsidRPr="002A198E">
        <w:rPr>
          <w:lang w:val="en-CA"/>
        </w:rPr>
        <w:t>should require the Federal Government</w:t>
      </w:r>
      <w:r w:rsidR="00C83839" w:rsidRPr="002A198E">
        <w:rPr>
          <w:lang w:val="en-CA"/>
        </w:rPr>
        <w:t xml:space="preserve"> </w:t>
      </w:r>
      <w:r w:rsidR="004B4634" w:rsidRPr="002A198E">
        <w:rPr>
          <w:lang w:val="en-CA"/>
        </w:rPr>
        <w:t xml:space="preserve">to designate </w:t>
      </w:r>
      <w:r w:rsidR="0027078B">
        <w:rPr>
          <w:lang w:val="en-CA"/>
        </w:rPr>
        <w:t xml:space="preserve">one </w:t>
      </w:r>
      <w:r w:rsidR="004B4634" w:rsidRPr="002A198E">
        <w:rPr>
          <w:lang w:val="en-CA"/>
        </w:rPr>
        <w:t xml:space="preserve">minister </w:t>
      </w:r>
      <w:r w:rsidR="00B12647" w:rsidRPr="002A198E">
        <w:rPr>
          <w:lang w:val="en-CA"/>
        </w:rPr>
        <w:t xml:space="preserve">and full time </w:t>
      </w:r>
      <w:r w:rsidR="004B4634" w:rsidRPr="002A198E">
        <w:rPr>
          <w:lang w:val="en-CA"/>
        </w:rPr>
        <w:t xml:space="preserve">deputy minister, responsible for ensuring that the Federal Public Service becomes a fully accessible employer and service provider. </w:t>
      </w:r>
      <w:r>
        <w:rPr>
          <w:lang w:val="en-CA"/>
        </w:rPr>
        <w:t xml:space="preserve">Both </w:t>
      </w:r>
      <w:r w:rsidR="001539EA" w:rsidRPr="002A198E">
        <w:rPr>
          <w:lang w:val="en-CA"/>
        </w:rPr>
        <w:t>AODA Independent Reviews recommended this</w:t>
      </w:r>
      <w:r w:rsidR="005D5F34">
        <w:rPr>
          <w:lang w:val="en-CA"/>
        </w:rPr>
        <w:t xml:space="preserve"> for Ontario</w:t>
      </w:r>
      <w:r w:rsidR="001539EA" w:rsidRPr="002A198E">
        <w:rPr>
          <w:lang w:val="en-CA"/>
        </w:rPr>
        <w:t>.</w:t>
      </w:r>
      <w:r>
        <w:rPr>
          <w:lang w:val="en-CA"/>
        </w:rPr>
        <w:t xml:space="preserve"> </w:t>
      </w:r>
      <w:r w:rsidR="001E63F3">
        <w:rPr>
          <w:lang w:val="en-CA"/>
        </w:rPr>
        <w:t>Otherwise</w:t>
      </w:r>
      <w:r>
        <w:rPr>
          <w:lang w:val="en-CA"/>
        </w:rPr>
        <w:t xml:space="preserve">, no one </w:t>
      </w:r>
      <w:r w:rsidR="005575E3">
        <w:rPr>
          <w:lang w:val="en-CA"/>
        </w:rPr>
        <w:t xml:space="preserve">is </w:t>
      </w:r>
      <w:r>
        <w:rPr>
          <w:lang w:val="en-CA"/>
        </w:rPr>
        <w:t xml:space="preserve">in charge. </w:t>
      </w:r>
      <w:r w:rsidR="001539EA" w:rsidRPr="002A198E">
        <w:rPr>
          <w:lang w:val="en-CA"/>
        </w:rPr>
        <w:t xml:space="preserve"> </w:t>
      </w:r>
    </w:p>
    <w:p w14:paraId="258E59CF" w14:textId="77777777" w:rsidR="001539EA" w:rsidRPr="002A198E" w:rsidRDefault="001539EA" w:rsidP="002A198E">
      <w:pPr>
        <w:widowControl w:val="0"/>
        <w:rPr>
          <w:lang w:val="en-CA"/>
        </w:rPr>
      </w:pPr>
    </w:p>
    <w:p w14:paraId="61181D09" w14:textId="77777777" w:rsidR="004B4634" w:rsidRPr="002A198E" w:rsidRDefault="0077163A" w:rsidP="002A198E">
      <w:pPr>
        <w:widowControl w:val="0"/>
        <w:rPr>
          <w:lang w:val="en-CA"/>
        </w:rPr>
      </w:pPr>
      <w:r>
        <w:rPr>
          <w:lang w:val="en-CA"/>
        </w:rPr>
        <w:t>T</w:t>
      </w:r>
      <w:r w:rsidR="004B4634" w:rsidRPr="002A198E">
        <w:rPr>
          <w:lang w:val="en-CA"/>
        </w:rPr>
        <w:t xml:space="preserve">he </w:t>
      </w:r>
      <w:r w:rsidR="007761A5">
        <w:rPr>
          <w:lang w:val="en-CA"/>
        </w:rPr>
        <w:t xml:space="preserve">CDA </w:t>
      </w:r>
      <w:r w:rsidR="004B4634" w:rsidRPr="002A198E">
        <w:rPr>
          <w:lang w:val="en-CA"/>
        </w:rPr>
        <w:t xml:space="preserve">should require the Federal Government to implement a comprehensive program </w:t>
      </w:r>
      <w:r w:rsidR="007525BE">
        <w:rPr>
          <w:lang w:val="en-CA"/>
        </w:rPr>
        <w:t xml:space="preserve">to </w:t>
      </w:r>
      <w:r w:rsidR="00360B4C" w:rsidRPr="002A198E">
        <w:rPr>
          <w:lang w:val="en-CA"/>
        </w:rPr>
        <w:t xml:space="preserve">periodically </w:t>
      </w:r>
      <w:r w:rsidR="004B4634" w:rsidRPr="002A198E">
        <w:rPr>
          <w:lang w:val="en-CA"/>
        </w:rPr>
        <w:t>audit its workplaces and public services and facilities for accessibility</w:t>
      </w:r>
      <w:r w:rsidR="00B171D0">
        <w:rPr>
          <w:lang w:val="en-CA"/>
        </w:rPr>
        <w:t>, with audit results made public</w:t>
      </w:r>
      <w:r w:rsidR="004B4634" w:rsidRPr="002A198E">
        <w:rPr>
          <w:lang w:val="en-CA"/>
        </w:rPr>
        <w:t xml:space="preserve">. This should include on-site audits and inspections, not </w:t>
      </w:r>
      <w:r w:rsidR="007761A5">
        <w:rPr>
          <w:lang w:val="en-CA"/>
        </w:rPr>
        <w:t xml:space="preserve">just </w:t>
      </w:r>
      <w:r w:rsidR="004B4634" w:rsidRPr="002A198E">
        <w:rPr>
          <w:lang w:val="en-CA"/>
        </w:rPr>
        <w:t xml:space="preserve">paper trail audits. </w:t>
      </w:r>
    </w:p>
    <w:p w14:paraId="751EBD01" w14:textId="77777777" w:rsidR="004B4634" w:rsidRPr="002A198E" w:rsidRDefault="004B4634" w:rsidP="002A198E">
      <w:pPr>
        <w:widowControl w:val="0"/>
        <w:rPr>
          <w:lang w:val="en-CA"/>
        </w:rPr>
      </w:pPr>
    </w:p>
    <w:p w14:paraId="3745CE4B" w14:textId="77777777" w:rsidR="00126C0D" w:rsidRPr="002A198E" w:rsidRDefault="0077163A" w:rsidP="002A198E">
      <w:pPr>
        <w:widowControl w:val="0"/>
        <w:rPr>
          <w:lang w:val="en-CA"/>
        </w:rPr>
      </w:pPr>
      <w:r>
        <w:rPr>
          <w:lang w:val="en-CA"/>
        </w:rPr>
        <w:t>T</w:t>
      </w:r>
      <w:r w:rsidR="004B4634" w:rsidRPr="002A198E">
        <w:rPr>
          <w:lang w:val="en-CA"/>
        </w:rPr>
        <w:t xml:space="preserve">he </w:t>
      </w:r>
      <w:r w:rsidR="007761A5">
        <w:rPr>
          <w:lang w:val="en-CA"/>
        </w:rPr>
        <w:t xml:space="preserve">CDA </w:t>
      </w:r>
      <w:r w:rsidR="004B4634" w:rsidRPr="002A198E">
        <w:rPr>
          <w:lang w:val="en-CA"/>
        </w:rPr>
        <w:t xml:space="preserve">should require the Federal Government to implement a program </w:t>
      </w:r>
      <w:r w:rsidR="007761A5">
        <w:rPr>
          <w:lang w:val="en-CA"/>
        </w:rPr>
        <w:t xml:space="preserve">to ensure </w:t>
      </w:r>
      <w:r w:rsidR="004B4634" w:rsidRPr="002A198E">
        <w:rPr>
          <w:lang w:val="en-CA"/>
        </w:rPr>
        <w:t xml:space="preserve">accountability of </w:t>
      </w:r>
      <w:r w:rsidR="00A972CE">
        <w:rPr>
          <w:lang w:val="en-CA"/>
        </w:rPr>
        <w:t>Federal P</w:t>
      </w:r>
      <w:r w:rsidR="004B4634" w:rsidRPr="002A198E">
        <w:rPr>
          <w:lang w:val="en-CA"/>
        </w:rPr>
        <w:t xml:space="preserve">ublic </w:t>
      </w:r>
      <w:r w:rsidR="00A972CE">
        <w:rPr>
          <w:lang w:val="en-CA"/>
        </w:rPr>
        <w:t>S</w:t>
      </w:r>
      <w:r w:rsidR="004B4634" w:rsidRPr="002A198E">
        <w:rPr>
          <w:lang w:val="en-CA"/>
        </w:rPr>
        <w:t xml:space="preserve">ervants for </w:t>
      </w:r>
      <w:r w:rsidR="00A972CE">
        <w:rPr>
          <w:lang w:val="en-CA"/>
        </w:rPr>
        <w:t xml:space="preserve">accessibility </w:t>
      </w:r>
      <w:r w:rsidR="004B4634" w:rsidRPr="002A198E">
        <w:rPr>
          <w:lang w:val="en-CA"/>
        </w:rPr>
        <w:t xml:space="preserve">efforts. Among other things, </w:t>
      </w:r>
      <w:r w:rsidR="00A972CE">
        <w:rPr>
          <w:lang w:val="en-CA"/>
        </w:rPr>
        <w:t xml:space="preserve">it </w:t>
      </w:r>
      <w:r w:rsidR="004B4634" w:rsidRPr="002A198E">
        <w:rPr>
          <w:lang w:val="en-CA"/>
        </w:rPr>
        <w:t xml:space="preserve">should require that every employee include in his or her annual performance review, </w:t>
      </w:r>
      <w:r w:rsidR="00B710E2">
        <w:rPr>
          <w:lang w:val="en-CA"/>
        </w:rPr>
        <w:t xml:space="preserve">accessibility </w:t>
      </w:r>
      <w:r w:rsidR="004B4634" w:rsidRPr="002A198E">
        <w:rPr>
          <w:lang w:val="en-CA"/>
        </w:rPr>
        <w:t xml:space="preserve">performance goals. </w:t>
      </w:r>
      <w:r w:rsidR="007908EB" w:rsidRPr="002A198E">
        <w:rPr>
          <w:lang w:val="en-CA"/>
        </w:rPr>
        <w:t>P</w:t>
      </w:r>
      <w:r w:rsidR="004B4634" w:rsidRPr="002A198E">
        <w:rPr>
          <w:lang w:val="en-CA"/>
        </w:rPr>
        <w:t>ay and promotion decisions</w:t>
      </w:r>
      <w:r w:rsidR="007908EB" w:rsidRPr="002A198E">
        <w:rPr>
          <w:lang w:val="en-CA"/>
        </w:rPr>
        <w:t xml:space="preserve"> should </w:t>
      </w:r>
      <w:r w:rsidR="002447DF">
        <w:rPr>
          <w:lang w:val="en-CA"/>
        </w:rPr>
        <w:t xml:space="preserve">consider </w:t>
      </w:r>
      <w:r w:rsidR="007908EB" w:rsidRPr="002A198E">
        <w:rPr>
          <w:lang w:val="en-CA"/>
        </w:rPr>
        <w:t>accessibility performance.</w:t>
      </w:r>
      <w:r w:rsidR="00B710E2">
        <w:rPr>
          <w:rStyle w:val="EndnoteReference"/>
          <w:lang w:val="en-CA"/>
        </w:rPr>
        <w:endnoteReference w:id="74"/>
      </w:r>
      <w:r w:rsidR="007908EB" w:rsidRPr="002A198E">
        <w:rPr>
          <w:lang w:val="en-CA"/>
        </w:rPr>
        <w:t xml:space="preserve"> </w:t>
      </w:r>
    </w:p>
    <w:p w14:paraId="0C07E1B3" w14:textId="77777777" w:rsidR="002447DF" w:rsidRDefault="002447DF" w:rsidP="002A198E">
      <w:pPr>
        <w:widowControl w:val="0"/>
        <w:rPr>
          <w:lang w:val="en-CA"/>
        </w:rPr>
      </w:pPr>
    </w:p>
    <w:p w14:paraId="256A4A53" w14:textId="77777777" w:rsidR="0082384F" w:rsidRPr="002A198E" w:rsidRDefault="0077163A" w:rsidP="002A198E">
      <w:pPr>
        <w:widowControl w:val="0"/>
        <w:rPr>
          <w:lang w:val="en-CA"/>
        </w:rPr>
      </w:pPr>
      <w:r>
        <w:rPr>
          <w:lang w:val="en-CA"/>
        </w:rPr>
        <w:t>T</w:t>
      </w:r>
      <w:r w:rsidR="004B4634" w:rsidRPr="002A198E">
        <w:rPr>
          <w:lang w:val="en-CA"/>
        </w:rPr>
        <w:t xml:space="preserve">he </w:t>
      </w:r>
      <w:r w:rsidR="007F2310">
        <w:rPr>
          <w:lang w:val="en-CA"/>
        </w:rPr>
        <w:t xml:space="preserve">CDA </w:t>
      </w:r>
      <w:r w:rsidR="004B4634" w:rsidRPr="002A198E">
        <w:rPr>
          <w:lang w:val="en-CA"/>
        </w:rPr>
        <w:t>should require each federal department to designate an accessibility lead in the deputy minister</w:t>
      </w:r>
      <w:r w:rsidR="007F2310">
        <w:rPr>
          <w:lang w:val="en-CA"/>
        </w:rPr>
        <w:t>'s</w:t>
      </w:r>
      <w:r w:rsidR="0082384F" w:rsidRPr="002A198E">
        <w:rPr>
          <w:lang w:val="en-CA"/>
        </w:rPr>
        <w:t xml:space="preserve"> or other chief executive </w:t>
      </w:r>
      <w:r w:rsidR="007F2310">
        <w:rPr>
          <w:lang w:val="en-CA"/>
        </w:rPr>
        <w:t>office</w:t>
      </w:r>
      <w:r w:rsidR="0082384F" w:rsidRPr="002A198E">
        <w:rPr>
          <w:lang w:val="en-CA"/>
        </w:rPr>
        <w:t>r</w:t>
      </w:r>
      <w:r w:rsidR="00720D08">
        <w:rPr>
          <w:lang w:val="en-CA"/>
        </w:rPr>
        <w:t>'s office</w:t>
      </w:r>
      <w:r w:rsidR="0082384F" w:rsidRPr="002A198E">
        <w:rPr>
          <w:lang w:val="en-CA"/>
        </w:rPr>
        <w:t xml:space="preserve">. This official should </w:t>
      </w:r>
      <w:r w:rsidR="005755F3">
        <w:rPr>
          <w:lang w:val="en-CA"/>
        </w:rPr>
        <w:t xml:space="preserve">be mandated </w:t>
      </w:r>
      <w:r w:rsidR="004B4634" w:rsidRPr="002A198E">
        <w:rPr>
          <w:lang w:val="en-CA"/>
        </w:rPr>
        <w:t xml:space="preserve">to ensure from the top, that accessibility is embedded throughout </w:t>
      </w:r>
      <w:r w:rsidR="0082384F" w:rsidRPr="002A198E">
        <w:rPr>
          <w:lang w:val="en-CA"/>
        </w:rPr>
        <w:t xml:space="preserve">the </w:t>
      </w:r>
      <w:r w:rsidR="005755F3">
        <w:rPr>
          <w:lang w:val="en-CA"/>
        </w:rPr>
        <w:t>organization</w:t>
      </w:r>
      <w:r w:rsidR="0082384F" w:rsidRPr="002A198E">
        <w:rPr>
          <w:lang w:val="en-CA"/>
        </w:rPr>
        <w:t xml:space="preserve">. </w:t>
      </w:r>
      <w:r w:rsidR="00720D08">
        <w:rPr>
          <w:lang w:val="en-CA"/>
        </w:rPr>
        <w:t>I</w:t>
      </w:r>
      <w:r w:rsidR="004B4634" w:rsidRPr="002A198E">
        <w:rPr>
          <w:lang w:val="en-CA"/>
        </w:rPr>
        <w:t xml:space="preserve">f left to silos across a large </w:t>
      </w:r>
      <w:r w:rsidR="008E57F2">
        <w:rPr>
          <w:lang w:val="en-CA"/>
        </w:rPr>
        <w:t>department</w:t>
      </w:r>
      <w:r w:rsidR="004B4634" w:rsidRPr="002A198E">
        <w:rPr>
          <w:lang w:val="en-CA"/>
        </w:rPr>
        <w:t xml:space="preserve">, or left to </w:t>
      </w:r>
      <w:r w:rsidR="0095392C">
        <w:rPr>
          <w:lang w:val="en-CA"/>
        </w:rPr>
        <w:t xml:space="preserve">staff </w:t>
      </w:r>
      <w:r w:rsidR="004B4634" w:rsidRPr="002A198E">
        <w:rPr>
          <w:lang w:val="en-CA"/>
        </w:rPr>
        <w:t xml:space="preserve">further down the hierarchy, progress </w:t>
      </w:r>
      <w:r w:rsidR="007525BE">
        <w:rPr>
          <w:lang w:val="en-CA"/>
        </w:rPr>
        <w:t xml:space="preserve">is </w:t>
      </w:r>
      <w:r w:rsidR="0082384F" w:rsidRPr="002A198E">
        <w:rPr>
          <w:lang w:val="en-CA"/>
        </w:rPr>
        <w:t>too slow.</w:t>
      </w:r>
    </w:p>
    <w:p w14:paraId="79B211C3" w14:textId="77777777" w:rsidR="004B4634" w:rsidRPr="002A198E" w:rsidRDefault="004B4634" w:rsidP="002A198E">
      <w:pPr>
        <w:widowControl w:val="0"/>
        <w:rPr>
          <w:lang w:val="en-CA"/>
        </w:rPr>
      </w:pPr>
    </w:p>
    <w:p w14:paraId="3F606E36" w14:textId="77777777" w:rsidR="00217D05" w:rsidRPr="002A198E" w:rsidRDefault="0077163A" w:rsidP="002A198E">
      <w:pPr>
        <w:widowControl w:val="0"/>
        <w:rPr>
          <w:lang w:val="en-CA"/>
        </w:rPr>
      </w:pPr>
      <w:r>
        <w:rPr>
          <w:lang w:val="en-CA"/>
        </w:rPr>
        <w:t xml:space="preserve">The </w:t>
      </w:r>
      <w:r w:rsidR="00E64FD4">
        <w:rPr>
          <w:lang w:val="en-CA"/>
        </w:rPr>
        <w:t xml:space="preserve">CDA </w:t>
      </w:r>
      <w:r w:rsidR="00217D05" w:rsidRPr="002A198E">
        <w:rPr>
          <w:lang w:val="en-CA"/>
        </w:rPr>
        <w:t xml:space="preserve">should require the Federal Government to make public a multi-year plan for implementing the Act. </w:t>
      </w:r>
      <w:r w:rsidR="00E25B11">
        <w:rPr>
          <w:lang w:val="en-CA"/>
        </w:rPr>
        <w:t xml:space="preserve">It </w:t>
      </w:r>
      <w:r w:rsidR="00217D05" w:rsidRPr="002A198E">
        <w:rPr>
          <w:lang w:val="en-CA"/>
        </w:rPr>
        <w:t xml:space="preserve">should be required to report </w:t>
      </w:r>
      <w:r w:rsidR="00470DC8">
        <w:rPr>
          <w:lang w:val="en-CA"/>
        </w:rPr>
        <w:t xml:space="preserve">annually </w:t>
      </w:r>
      <w:r w:rsidR="00217D05" w:rsidRPr="002A198E">
        <w:rPr>
          <w:lang w:val="en-CA"/>
        </w:rPr>
        <w:t xml:space="preserve">on progress on implementing that plan. </w:t>
      </w:r>
      <w:r w:rsidR="00027A88" w:rsidRPr="002A198E">
        <w:rPr>
          <w:lang w:val="en-CA"/>
        </w:rPr>
        <w:t>It</w:t>
      </w:r>
      <w:r w:rsidR="00217D05" w:rsidRPr="002A198E">
        <w:rPr>
          <w:lang w:val="en-CA"/>
        </w:rPr>
        <w:t xml:space="preserve"> should require the Federal Government and key federal agencies to do the same. These plans and reports will </w:t>
      </w:r>
      <w:r w:rsidR="00E25B11">
        <w:rPr>
          <w:lang w:val="en-CA"/>
        </w:rPr>
        <w:t xml:space="preserve">help </w:t>
      </w:r>
      <w:r w:rsidR="00217D05" w:rsidRPr="002A198E">
        <w:rPr>
          <w:lang w:val="en-CA"/>
        </w:rPr>
        <w:t>the public monitor progress.</w:t>
      </w:r>
      <w:r w:rsidR="00E25B11">
        <w:rPr>
          <w:lang w:val="en-CA"/>
        </w:rPr>
        <w:t xml:space="preserve"> The Auditor General should audit them. </w:t>
      </w:r>
      <w:r w:rsidR="008E57F2">
        <w:rPr>
          <w:lang w:val="en-CA"/>
        </w:rPr>
        <w:lastRenderedPageBreak/>
        <w:t xml:space="preserve">Governments tend </w:t>
      </w:r>
      <w:r w:rsidR="00E25B11">
        <w:rPr>
          <w:lang w:val="en-CA"/>
        </w:rPr>
        <w:t>to write wonderful policies , plans and reports, that don't reflect front line action or inaction.</w:t>
      </w:r>
    </w:p>
    <w:p w14:paraId="7170D792" w14:textId="77777777" w:rsidR="00217D05" w:rsidRPr="002A198E" w:rsidRDefault="00217D05" w:rsidP="002A198E">
      <w:pPr>
        <w:widowControl w:val="0"/>
        <w:rPr>
          <w:lang w:val="en-CA"/>
        </w:rPr>
      </w:pPr>
    </w:p>
    <w:p w14:paraId="110AE099" w14:textId="6E39C1FB" w:rsidR="00217D05" w:rsidRPr="002A198E" w:rsidRDefault="0077163A" w:rsidP="00D83FE5">
      <w:pPr>
        <w:widowControl w:val="0"/>
        <w:rPr>
          <w:lang w:val="en-CA"/>
        </w:rPr>
      </w:pPr>
      <w:r>
        <w:rPr>
          <w:lang w:val="en-CA"/>
        </w:rPr>
        <w:t>T</w:t>
      </w:r>
      <w:r w:rsidR="00217D05" w:rsidRPr="002A198E">
        <w:rPr>
          <w:lang w:val="en-CA"/>
        </w:rPr>
        <w:t xml:space="preserve">he </w:t>
      </w:r>
      <w:r w:rsidR="00D83FE5">
        <w:rPr>
          <w:lang w:val="en-CA"/>
        </w:rPr>
        <w:t xml:space="preserve">CDA </w:t>
      </w:r>
      <w:r w:rsidR="003F2F5F">
        <w:rPr>
          <w:lang w:val="en-CA"/>
        </w:rPr>
        <w:t>should require the Federal G</w:t>
      </w:r>
      <w:r w:rsidR="00217D05" w:rsidRPr="002A198E">
        <w:rPr>
          <w:lang w:val="en-CA"/>
        </w:rPr>
        <w:t xml:space="preserve">overnment to maintain a central fund to pay for workplace accommodations for federal public servants with disabilities. </w:t>
      </w:r>
      <w:r w:rsidR="004225A6">
        <w:rPr>
          <w:lang w:val="en-CA"/>
        </w:rPr>
        <w:t>Such a</w:t>
      </w:r>
      <w:r w:rsidR="00217D05" w:rsidRPr="002A198E">
        <w:rPr>
          <w:lang w:val="en-CA"/>
        </w:rPr>
        <w:t xml:space="preserve"> fund has commendably existed in Ontario since the late 1980s</w:t>
      </w:r>
      <w:r w:rsidR="00705E8C">
        <w:rPr>
          <w:lang w:val="en-CA"/>
        </w:rPr>
        <w:t>.</w:t>
      </w:r>
      <w:r w:rsidR="00705E8C">
        <w:rPr>
          <w:rStyle w:val="EndnoteReference"/>
          <w:lang w:val="en-CA"/>
        </w:rPr>
        <w:endnoteReference w:id="75"/>
      </w:r>
      <w:r w:rsidR="004225A6">
        <w:rPr>
          <w:lang w:val="en-CA"/>
        </w:rPr>
        <w:t xml:space="preserve"> </w:t>
      </w:r>
      <w:r w:rsidR="00367257">
        <w:rPr>
          <w:lang w:val="en-CA"/>
        </w:rPr>
        <w:t xml:space="preserve">Legislation must require this fund. </w:t>
      </w:r>
      <w:r w:rsidR="004225A6">
        <w:rPr>
          <w:lang w:val="en-CA"/>
        </w:rPr>
        <w:t xml:space="preserve">In </w:t>
      </w:r>
      <w:r w:rsidR="00AD6C56">
        <w:rPr>
          <w:lang w:val="en-CA"/>
        </w:rPr>
        <w:t>2011</w:t>
      </w:r>
      <w:r w:rsidR="004225A6">
        <w:rPr>
          <w:lang w:val="en-CA"/>
        </w:rPr>
        <w:t>, the Ontario Government wrongly abolish</w:t>
      </w:r>
      <w:r w:rsidR="00367257">
        <w:rPr>
          <w:lang w:val="en-CA"/>
        </w:rPr>
        <w:t>ed</w:t>
      </w:r>
      <w:r w:rsidR="004225A6">
        <w:rPr>
          <w:lang w:val="en-CA"/>
        </w:rPr>
        <w:t xml:space="preserve"> it</w:t>
      </w:r>
      <w:r w:rsidR="00367257">
        <w:rPr>
          <w:lang w:val="en-CA"/>
        </w:rPr>
        <w:t xml:space="preserve">s fund. It </w:t>
      </w:r>
      <w:r w:rsidR="004225A6">
        <w:rPr>
          <w:lang w:val="en-CA"/>
        </w:rPr>
        <w:t xml:space="preserve">restored it </w:t>
      </w:r>
      <w:r w:rsidR="00156704">
        <w:rPr>
          <w:lang w:val="en-CA"/>
        </w:rPr>
        <w:t xml:space="preserve">only </w:t>
      </w:r>
      <w:r w:rsidR="004225A6">
        <w:rPr>
          <w:lang w:val="en-CA"/>
        </w:rPr>
        <w:t>when confronted with the fact that its abolition violated Ontario law.</w:t>
      </w:r>
      <w:r w:rsidR="00E0238D">
        <w:rPr>
          <w:rStyle w:val="EndnoteReference"/>
          <w:lang w:val="en-CA"/>
        </w:rPr>
        <w:endnoteReference w:id="76"/>
      </w:r>
      <w:r w:rsidR="004225A6">
        <w:rPr>
          <w:lang w:val="en-CA"/>
        </w:rPr>
        <w:t xml:space="preserve"> </w:t>
      </w:r>
      <w:r w:rsidR="00217D05" w:rsidRPr="002A198E">
        <w:rPr>
          <w:lang w:val="en-CA"/>
        </w:rPr>
        <w:t xml:space="preserve"> </w:t>
      </w:r>
    </w:p>
    <w:p w14:paraId="6956F810" w14:textId="77777777" w:rsidR="00217D05" w:rsidRDefault="00217D05" w:rsidP="002A198E">
      <w:pPr>
        <w:widowControl w:val="0"/>
        <w:rPr>
          <w:lang w:val="en-CA"/>
        </w:rPr>
      </w:pPr>
    </w:p>
    <w:p w14:paraId="48777DA4" w14:textId="38D3AC26" w:rsidR="006D1DFB" w:rsidRDefault="006D1DFB" w:rsidP="002A198E">
      <w:pPr>
        <w:widowControl w:val="0"/>
        <w:rPr>
          <w:lang w:val="en-CA"/>
        </w:rPr>
      </w:pPr>
      <w:r>
        <w:rPr>
          <w:lang w:val="en-CA"/>
        </w:rPr>
        <w:t xml:space="preserve">The CDA should </w:t>
      </w:r>
      <w:r w:rsidR="002C291C">
        <w:rPr>
          <w:lang w:val="en-CA"/>
        </w:rPr>
        <w:t xml:space="preserve">avoid </w:t>
      </w:r>
      <w:r>
        <w:rPr>
          <w:lang w:val="en-CA"/>
        </w:rPr>
        <w:t>a</w:t>
      </w:r>
      <w:r w:rsidR="00367257">
        <w:rPr>
          <w:lang w:val="en-CA"/>
        </w:rPr>
        <w:t xml:space="preserve">n Ontario </w:t>
      </w:r>
      <w:r>
        <w:rPr>
          <w:lang w:val="en-CA"/>
        </w:rPr>
        <w:t xml:space="preserve">mistake. Ontario accessibility standards proceeded on the </w:t>
      </w:r>
      <w:r w:rsidR="00B04F2C">
        <w:rPr>
          <w:lang w:val="en-CA"/>
        </w:rPr>
        <w:t xml:space="preserve">basis </w:t>
      </w:r>
      <w:r>
        <w:rPr>
          <w:lang w:val="en-CA"/>
        </w:rPr>
        <w:t xml:space="preserve">that no private sector organizations should have to comply with accessibility requirements until the Ontario Government did so first, because the Ontario </w:t>
      </w:r>
      <w:r w:rsidRPr="006D1DFB">
        <w:rPr>
          <w:lang w:val="en-CA"/>
        </w:rPr>
        <w:t>Government</w:t>
      </w:r>
      <w:r>
        <w:rPr>
          <w:lang w:val="en-CA"/>
        </w:rPr>
        <w:t xml:space="preserve"> </w:t>
      </w:r>
      <w:r w:rsidR="00B04F2C">
        <w:rPr>
          <w:lang w:val="en-CA"/>
        </w:rPr>
        <w:t xml:space="preserve">must </w:t>
      </w:r>
      <w:r>
        <w:rPr>
          <w:lang w:val="en-CA"/>
        </w:rPr>
        <w:t xml:space="preserve">lead by example. This </w:t>
      </w:r>
      <w:r w:rsidR="00B04F2C">
        <w:rPr>
          <w:lang w:val="en-CA"/>
        </w:rPr>
        <w:t xml:space="preserve">caused </w:t>
      </w:r>
      <w:r>
        <w:rPr>
          <w:lang w:val="en-CA"/>
        </w:rPr>
        <w:t xml:space="preserve">years of unjustified delay on accessibility in the private sector. </w:t>
      </w:r>
    </w:p>
    <w:p w14:paraId="2B1BD1C6" w14:textId="77777777" w:rsidR="006D1DFB" w:rsidRDefault="006D1DFB" w:rsidP="002A198E">
      <w:pPr>
        <w:widowControl w:val="0"/>
        <w:rPr>
          <w:lang w:val="en-CA"/>
        </w:rPr>
      </w:pPr>
    </w:p>
    <w:p w14:paraId="654B608F" w14:textId="6B4A443F" w:rsidR="006D1DFB" w:rsidRPr="002A198E" w:rsidRDefault="006D1DFB" w:rsidP="002A198E">
      <w:pPr>
        <w:widowControl w:val="0"/>
        <w:rPr>
          <w:lang w:val="en-CA"/>
        </w:rPr>
      </w:pPr>
      <w:r>
        <w:rPr>
          <w:lang w:val="en-CA"/>
        </w:rPr>
        <w:t xml:space="preserve">Under human rights law, the public and private sectors have a </w:t>
      </w:r>
      <w:r w:rsidRPr="006D1DFB">
        <w:rPr>
          <w:i/>
          <w:lang w:val="en-CA"/>
        </w:rPr>
        <w:t>simultaneous</w:t>
      </w:r>
      <w:r>
        <w:rPr>
          <w:lang w:val="en-CA"/>
        </w:rPr>
        <w:t xml:space="preserve"> duty to remove and prevent disability accessibility barriers and to accommodate people with disabilities. A private sector organization cannot justify a failure to meet this duty, on the grounds that the </w:t>
      </w:r>
      <w:r w:rsidRPr="006D1DFB">
        <w:rPr>
          <w:lang w:val="en-CA"/>
        </w:rPr>
        <w:t>Government</w:t>
      </w:r>
      <w:r>
        <w:rPr>
          <w:lang w:val="en-CA"/>
        </w:rPr>
        <w:t xml:space="preserve"> has not yet met </w:t>
      </w:r>
      <w:r w:rsidRPr="003D5A34">
        <w:rPr>
          <w:i/>
          <w:lang w:val="en-CA"/>
        </w:rPr>
        <w:t>its</w:t>
      </w:r>
      <w:r w:rsidR="003F2F5F">
        <w:rPr>
          <w:lang w:val="en-CA"/>
        </w:rPr>
        <w:t xml:space="preserve"> duty. Time</w:t>
      </w:r>
      <w:r>
        <w:rPr>
          <w:lang w:val="en-CA"/>
        </w:rPr>
        <w:t>lines in accessibility standards for taking action should be geared to an organization's capacity</w:t>
      </w:r>
      <w:r w:rsidR="002B74E5">
        <w:rPr>
          <w:lang w:val="en-CA"/>
        </w:rPr>
        <w:t xml:space="preserve">, but </w:t>
      </w:r>
      <w:r>
        <w:rPr>
          <w:lang w:val="en-CA"/>
        </w:rPr>
        <w:t xml:space="preserve">not to time lines for progress in other organizations.    </w:t>
      </w:r>
    </w:p>
    <w:p w14:paraId="17C440AB" w14:textId="77777777" w:rsidR="006D1DFB" w:rsidRDefault="006D1DFB" w:rsidP="002A198E">
      <w:pPr>
        <w:pStyle w:val="Heading2"/>
        <w:keepNext w:val="0"/>
        <w:keepLines w:val="0"/>
        <w:widowControl w:val="0"/>
        <w:spacing w:before="0"/>
        <w:rPr>
          <w:lang w:val="en-CA"/>
        </w:rPr>
      </w:pPr>
      <w:bookmarkStart w:id="25" w:name="_Toc319660893"/>
    </w:p>
    <w:p w14:paraId="5EF1971E" w14:textId="77777777" w:rsidR="004B4634" w:rsidRPr="002A198E" w:rsidRDefault="00D83FE5" w:rsidP="002A198E">
      <w:pPr>
        <w:pStyle w:val="Heading2"/>
        <w:keepNext w:val="0"/>
        <w:keepLines w:val="0"/>
        <w:widowControl w:val="0"/>
        <w:spacing w:before="0"/>
        <w:rPr>
          <w:lang w:val="en-CA"/>
        </w:rPr>
      </w:pPr>
      <w:r>
        <w:rPr>
          <w:lang w:val="en-CA"/>
        </w:rPr>
        <w:t>o</w:t>
      </w:r>
      <w:r w:rsidR="007A4BA2" w:rsidRPr="002A198E">
        <w:rPr>
          <w:lang w:val="en-CA"/>
        </w:rPr>
        <w:t xml:space="preserve">) </w:t>
      </w:r>
      <w:r w:rsidR="004B4634" w:rsidRPr="002A198E">
        <w:rPr>
          <w:lang w:val="en-CA"/>
        </w:rPr>
        <w:t xml:space="preserve">Ensuring Full Accessibility of All Courts </w:t>
      </w:r>
      <w:r w:rsidR="00D37057">
        <w:rPr>
          <w:lang w:val="en-CA"/>
        </w:rPr>
        <w:t>W</w:t>
      </w:r>
      <w:r w:rsidR="004B4634" w:rsidRPr="002A198E">
        <w:rPr>
          <w:lang w:val="en-CA"/>
        </w:rPr>
        <w:t xml:space="preserve">ithin </w:t>
      </w:r>
      <w:r w:rsidR="00470DC8">
        <w:rPr>
          <w:lang w:val="en-CA"/>
        </w:rPr>
        <w:t>F</w:t>
      </w:r>
      <w:r w:rsidR="004B4634" w:rsidRPr="002A198E">
        <w:rPr>
          <w:lang w:val="en-CA"/>
        </w:rPr>
        <w:t>ederal Authority</w:t>
      </w:r>
      <w:bookmarkEnd w:id="25"/>
    </w:p>
    <w:p w14:paraId="753F402C" w14:textId="77777777" w:rsidR="004B4634" w:rsidRPr="002A198E" w:rsidRDefault="004B4634" w:rsidP="002A198E">
      <w:pPr>
        <w:widowControl w:val="0"/>
        <w:rPr>
          <w:lang w:val="en-CA"/>
        </w:rPr>
      </w:pPr>
    </w:p>
    <w:p w14:paraId="168DD5DE" w14:textId="3F4D8564" w:rsidR="004B4634" w:rsidRPr="002A198E" w:rsidRDefault="004B4634" w:rsidP="002A198E">
      <w:pPr>
        <w:widowControl w:val="0"/>
        <w:rPr>
          <w:lang w:val="en-CA"/>
        </w:rPr>
      </w:pPr>
      <w:r w:rsidRPr="002A198E">
        <w:rPr>
          <w:lang w:val="en-CA"/>
        </w:rPr>
        <w:t xml:space="preserve">The </w:t>
      </w:r>
      <w:r w:rsidR="004F7A5C">
        <w:rPr>
          <w:lang w:val="en-CA"/>
        </w:rPr>
        <w:t xml:space="preserve">CDA </w:t>
      </w:r>
      <w:r w:rsidRPr="002A198E">
        <w:rPr>
          <w:lang w:val="en-CA"/>
        </w:rPr>
        <w:t xml:space="preserve">should </w:t>
      </w:r>
      <w:r w:rsidR="00B54F45" w:rsidRPr="002A198E">
        <w:rPr>
          <w:lang w:val="en-CA"/>
        </w:rPr>
        <w:t xml:space="preserve">require </w:t>
      </w:r>
      <w:r w:rsidR="002812F9">
        <w:rPr>
          <w:lang w:val="en-CA"/>
        </w:rPr>
        <w:t>the Federal G</w:t>
      </w:r>
      <w:r w:rsidRPr="002A198E">
        <w:rPr>
          <w:lang w:val="en-CA"/>
        </w:rPr>
        <w:t>overnment to develop and implement a plan to ensure that all federally controlled courts</w:t>
      </w:r>
      <w:r w:rsidR="00603458">
        <w:rPr>
          <w:lang w:val="en-CA"/>
        </w:rPr>
        <w:t xml:space="preserve"> (e.g. the </w:t>
      </w:r>
      <w:r w:rsidR="00603458" w:rsidRPr="00603458">
        <w:rPr>
          <w:lang w:val="en-CA"/>
        </w:rPr>
        <w:t>Supreme Court of Canada</w:t>
      </w:r>
      <w:r w:rsidR="00603458">
        <w:rPr>
          <w:lang w:val="en-CA"/>
        </w:rPr>
        <w:t xml:space="preserve"> and Federal Courts) </w:t>
      </w:r>
      <w:r w:rsidRPr="002A198E">
        <w:rPr>
          <w:lang w:val="en-CA"/>
        </w:rPr>
        <w:t>become fully accessible to court participants with disabilities</w:t>
      </w:r>
      <w:r w:rsidR="005967F0">
        <w:rPr>
          <w:lang w:val="en-CA"/>
        </w:rPr>
        <w:t>,</w:t>
      </w:r>
      <w:r w:rsidR="004B7D5A" w:rsidRPr="002A198E">
        <w:rPr>
          <w:lang w:val="en-CA"/>
        </w:rPr>
        <w:t xml:space="preserve"> by the Act’s accessibility deadline</w:t>
      </w:r>
      <w:r w:rsidRPr="002A198E">
        <w:rPr>
          <w:lang w:val="en-CA"/>
        </w:rPr>
        <w:t>.</w:t>
      </w:r>
      <w:r w:rsidR="00603458">
        <w:rPr>
          <w:lang w:val="en-CA"/>
        </w:rPr>
        <w:t xml:space="preserve"> </w:t>
      </w:r>
      <w:r w:rsidRPr="002A198E">
        <w:rPr>
          <w:lang w:val="en-CA"/>
        </w:rPr>
        <w:t>Court participants</w:t>
      </w:r>
      <w:r w:rsidR="008E3036" w:rsidRPr="002A198E">
        <w:rPr>
          <w:lang w:val="en-CA"/>
        </w:rPr>
        <w:t xml:space="preserve"> with disabilities </w:t>
      </w:r>
      <w:r w:rsidR="00027A88" w:rsidRPr="002A198E">
        <w:rPr>
          <w:lang w:val="en-CA"/>
        </w:rPr>
        <w:t>include judges</w:t>
      </w:r>
      <w:r w:rsidRPr="002A198E">
        <w:rPr>
          <w:lang w:val="en-CA"/>
        </w:rPr>
        <w:t xml:space="preserve">, lawyers, parties, witnesses, court staff, and members of the public who </w:t>
      </w:r>
      <w:r w:rsidR="008E3036" w:rsidRPr="002A198E">
        <w:rPr>
          <w:lang w:val="en-CA"/>
        </w:rPr>
        <w:t xml:space="preserve">exercise their constitutional right to </w:t>
      </w:r>
      <w:r w:rsidRPr="002A198E">
        <w:rPr>
          <w:lang w:val="en-CA"/>
        </w:rPr>
        <w:t>observe court proceedings</w:t>
      </w:r>
      <w:r w:rsidR="008E3036" w:rsidRPr="002A198E">
        <w:rPr>
          <w:lang w:val="en-CA"/>
        </w:rPr>
        <w:t xml:space="preserve">. They </w:t>
      </w:r>
      <w:r w:rsidRPr="002A198E">
        <w:rPr>
          <w:lang w:val="en-CA"/>
        </w:rPr>
        <w:t xml:space="preserve">too often face barriers. Courts, like other organizations, </w:t>
      </w:r>
      <w:r w:rsidR="00500471">
        <w:rPr>
          <w:lang w:val="en-CA"/>
        </w:rPr>
        <w:t xml:space="preserve">were </w:t>
      </w:r>
      <w:r w:rsidRPr="002A198E">
        <w:rPr>
          <w:lang w:val="en-CA"/>
        </w:rPr>
        <w:t>historically designed and operated without ensuring that people with disabilities can fully participate</w:t>
      </w:r>
      <w:r w:rsidR="00500471">
        <w:rPr>
          <w:lang w:val="en-CA"/>
        </w:rPr>
        <w:t xml:space="preserve">. </w:t>
      </w:r>
    </w:p>
    <w:p w14:paraId="5A525F1E" w14:textId="77777777" w:rsidR="004B4634" w:rsidRPr="002A198E" w:rsidRDefault="004B4634" w:rsidP="002A198E">
      <w:pPr>
        <w:widowControl w:val="0"/>
        <w:rPr>
          <w:lang w:val="en-CA"/>
        </w:rPr>
      </w:pPr>
    </w:p>
    <w:p w14:paraId="2517E7F4" w14:textId="55F4D9E9" w:rsidR="004B4634" w:rsidRPr="002A198E" w:rsidRDefault="00202A7B" w:rsidP="002A198E">
      <w:pPr>
        <w:widowControl w:val="0"/>
        <w:rPr>
          <w:lang w:val="en-CA"/>
        </w:rPr>
      </w:pPr>
      <w:r>
        <w:rPr>
          <w:lang w:val="en-CA"/>
        </w:rPr>
        <w:t xml:space="preserve">Ontario has had a </w:t>
      </w:r>
      <w:r w:rsidR="004B4634" w:rsidRPr="002A198E">
        <w:rPr>
          <w:lang w:val="en-CA"/>
        </w:rPr>
        <w:t xml:space="preserve">commendable initiative since 2005 </w:t>
      </w:r>
      <w:r w:rsidR="00E6528D">
        <w:rPr>
          <w:lang w:val="en-CA"/>
        </w:rPr>
        <w:t xml:space="preserve">to </w:t>
      </w:r>
      <w:r w:rsidR="004B4634" w:rsidRPr="002A198E">
        <w:rPr>
          <w:lang w:val="en-CA"/>
        </w:rPr>
        <w:t>mak</w:t>
      </w:r>
      <w:r w:rsidR="00E6528D">
        <w:rPr>
          <w:lang w:val="en-CA"/>
        </w:rPr>
        <w:t>e</w:t>
      </w:r>
      <w:r w:rsidR="004B4634" w:rsidRPr="002A198E">
        <w:rPr>
          <w:lang w:val="en-CA"/>
        </w:rPr>
        <w:t xml:space="preserve"> </w:t>
      </w:r>
      <w:r w:rsidR="00743CCC" w:rsidRPr="002A198E">
        <w:rPr>
          <w:lang w:val="en-CA"/>
        </w:rPr>
        <w:t xml:space="preserve">Ontario </w:t>
      </w:r>
      <w:r w:rsidR="004B4634" w:rsidRPr="002A198E">
        <w:rPr>
          <w:lang w:val="en-CA"/>
        </w:rPr>
        <w:t>courts fully accessible</w:t>
      </w:r>
      <w:r>
        <w:rPr>
          <w:lang w:val="en-CA"/>
        </w:rPr>
        <w:t xml:space="preserve"> by 2025</w:t>
      </w:r>
      <w:r w:rsidR="004B4634" w:rsidRPr="002A198E">
        <w:rPr>
          <w:lang w:val="en-CA"/>
        </w:rPr>
        <w:t xml:space="preserve">. Ontario experience shows </w:t>
      </w:r>
      <w:r w:rsidR="00E6528D">
        <w:rPr>
          <w:lang w:val="en-CA"/>
        </w:rPr>
        <w:t xml:space="preserve">a </w:t>
      </w:r>
      <w:r w:rsidR="004B4634" w:rsidRPr="002A198E">
        <w:rPr>
          <w:lang w:val="en-CA"/>
        </w:rPr>
        <w:t xml:space="preserve">need </w:t>
      </w:r>
      <w:r w:rsidR="00E6528D">
        <w:rPr>
          <w:lang w:val="en-CA"/>
        </w:rPr>
        <w:t xml:space="preserve">for </w:t>
      </w:r>
      <w:r w:rsidR="004B4634" w:rsidRPr="002A198E">
        <w:rPr>
          <w:lang w:val="en-CA"/>
        </w:rPr>
        <w:t xml:space="preserve">joint leadership </w:t>
      </w:r>
      <w:r w:rsidR="00741163">
        <w:rPr>
          <w:lang w:val="en-CA"/>
        </w:rPr>
        <w:t xml:space="preserve">and oversight </w:t>
      </w:r>
      <w:r w:rsidR="004B4634" w:rsidRPr="002A198E">
        <w:rPr>
          <w:lang w:val="en-CA"/>
        </w:rPr>
        <w:t>by the government, judiciary and legal profession.</w:t>
      </w:r>
      <w:r w:rsidR="000D57E3">
        <w:rPr>
          <w:lang w:val="en-CA"/>
        </w:rPr>
        <w:t xml:space="preserve"> </w:t>
      </w:r>
      <w:r w:rsidR="00E64204" w:rsidRPr="002A198E">
        <w:rPr>
          <w:lang w:val="en-CA"/>
        </w:rPr>
        <w:t xml:space="preserve">The </w:t>
      </w:r>
      <w:r>
        <w:rPr>
          <w:lang w:val="en-CA"/>
        </w:rPr>
        <w:t xml:space="preserve">CDA </w:t>
      </w:r>
      <w:r w:rsidR="00E64204" w:rsidRPr="002A198E">
        <w:rPr>
          <w:lang w:val="en-CA"/>
        </w:rPr>
        <w:t xml:space="preserve">should </w:t>
      </w:r>
      <w:r w:rsidR="000D57E3">
        <w:rPr>
          <w:lang w:val="en-CA"/>
        </w:rPr>
        <w:t xml:space="preserve">incorporate Ontario's </w:t>
      </w:r>
      <w:r w:rsidR="004B4634" w:rsidRPr="002A198E">
        <w:rPr>
          <w:lang w:val="en-CA"/>
        </w:rPr>
        <w:t xml:space="preserve">excellent </w:t>
      </w:r>
      <w:r w:rsidR="000D57E3">
        <w:rPr>
          <w:lang w:val="en-CA"/>
        </w:rPr>
        <w:t xml:space="preserve">2007 </w:t>
      </w:r>
      <w:r w:rsidR="004B4634" w:rsidRPr="002A198E">
        <w:rPr>
          <w:lang w:val="en-CA"/>
        </w:rPr>
        <w:t>blueprint</w:t>
      </w:r>
      <w:r w:rsidR="000D57E3">
        <w:rPr>
          <w:lang w:val="en-CA"/>
        </w:rPr>
        <w:t>:</w:t>
      </w:r>
      <w:r w:rsidR="00E64204" w:rsidRPr="002A198E">
        <w:rPr>
          <w:lang w:val="en-CA"/>
        </w:rPr>
        <w:t xml:space="preserve"> </w:t>
      </w:r>
      <w:r w:rsidR="004B4634" w:rsidRPr="002A198E">
        <w:rPr>
          <w:lang w:val="en-CA"/>
        </w:rPr>
        <w:t>“</w:t>
      </w:r>
      <w:r w:rsidR="00470DC8" w:rsidRPr="002A198E">
        <w:rPr>
          <w:lang w:val="en-CA"/>
        </w:rPr>
        <w:t xml:space="preserve">Making Ontario’s Courts Fully Accessible </w:t>
      </w:r>
      <w:r w:rsidR="00470DC8">
        <w:rPr>
          <w:lang w:val="en-CA"/>
        </w:rPr>
        <w:t>t</w:t>
      </w:r>
      <w:r w:rsidR="00470DC8" w:rsidRPr="002A198E">
        <w:rPr>
          <w:lang w:val="en-CA"/>
        </w:rPr>
        <w:t xml:space="preserve">o Persons </w:t>
      </w:r>
      <w:r w:rsidR="00470DC8">
        <w:rPr>
          <w:lang w:val="en-CA"/>
        </w:rPr>
        <w:t>w</w:t>
      </w:r>
      <w:r w:rsidR="00470DC8" w:rsidRPr="002A198E">
        <w:rPr>
          <w:lang w:val="en-CA"/>
        </w:rPr>
        <w:t>ith Disabilities</w:t>
      </w:r>
      <w:r w:rsidR="000D57E3">
        <w:rPr>
          <w:lang w:val="en-CA"/>
        </w:rPr>
        <w:t>."</w:t>
      </w:r>
      <w:r w:rsidR="000D57E3">
        <w:rPr>
          <w:rStyle w:val="EndnoteReference"/>
          <w:lang w:val="en-CA"/>
        </w:rPr>
        <w:endnoteReference w:id="77"/>
      </w:r>
      <w:r w:rsidR="004B4634" w:rsidRPr="002A198E">
        <w:rPr>
          <w:lang w:val="en-CA"/>
        </w:rPr>
        <w:t xml:space="preserve"> </w:t>
      </w:r>
      <w:r w:rsidR="0031675A">
        <w:rPr>
          <w:lang w:val="en-CA"/>
        </w:rPr>
        <w:t xml:space="preserve">It </w:t>
      </w:r>
      <w:r w:rsidR="004B4634" w:rsidRPr="002A198E">
        <w:rPr>
          <w:lang w:val="en-CA"/>
        </w:rPr>
        <w:t xml:space="preserve">should </w:t>
      </w:r>
      <w:r w:rsidR="002812F9">
        <w:rPr>
          <w:lang w:val="en-CA"/>
        </w:rPr>
        <w:t>mandate the Federal G</w:t>
      </w:r>
      <w:r w:rsidR="004B4634" w:rsidRPr="002A198E">
        <w:rPr>
          <w:lang w:val="en-CA"/>
        </w:rPr>
        <w:t xml:space="preserve">overnment to work with provinces and territories to </w:t>
      </w:r>
      <w:r w:rsidR="00002A5C" w:rsidRPr="002A198E">
        <w:rPr>
          <w:lang w:val="en-CA"/>
        </w:rPr>
        <w:t xml:space="preserve">encourage </w:t>
      </w:r>
      <w:r w:rsidR="004B4634" w:rsidRPr="002A198E">
        <w:rPr>
          <w:lang w:val="en-CA"/>
        </w:rPr>
        <w:t xml:space="preserve">similar provincial and territorial </w:t>
      </w:r>
      <w:r w:rsidR="00603458">
        <w:rPr>
          <w:lang w:val="en-CA"/>
        </w:rPr>
        <w:t>strategies,</w:t>
      </w:r>
      <w:r w:rsidR="00B415F1">
        <w:rPr>
          <w:lang w:val="en-CA"/>
        </w:rPr>
        <w:t xml:space="preserve"> w</w:t>
      </w:r>
      <w:r w:rsidR="001C2CAC" w:rsidRPr="002A198E">
        <w:rPr>
          <w:lang w:val="en-CA"/>
        </w:rPr>
        <w:t xml:space="preserve">hile </w:t>
      </w:r>
      <w:r w:rsidR="00E6528D">
        <w:rPr>
          <w:lang w:val="en-CA"/>
        </w:rPr>
        <w:t xml:space="preserve">respecting </w:t>
      </w:r>
      <w:r w:rsidR="001C2CAC" w:rsidRPr="002A198E">
        <w:rPr>
          <w:lang w:val="en-CA"/>
        </w:rPr>
        <w:t>provincial/territorial authority</w:t>
      </w:r>
      <w:r w:rsidR="00B415F1">
        <w:rPr>
          <w:lang w:val="en-CA"/>
        </w:rPr>
        <w:t xml:space="preserve">. </w:t>
      </w:r>
    </w:p>
    <w:p w14:paraId="212A3E41" w14:textId="77777777" w:rsidR="004B4634" w:rsidRPr="002A198E" w:rsidRDefault="004B4634" w:rsidP="002A198E">
      <w:pPr>
        <w:widowControl w:val="0"/>
        <w:rPr>
          <w:lang w:val="en-CA"/>
        </w:rPr>
      </w:pPr>
    </w:p>
    <w:p w14:paraId="6CA30972" w14:textId="77777777" w:rsidR="004B4634" w:rsidRPr="002A198E" w:rsidRDefault="000D57E3" w:rsidP="002A198E">
      <w:pPr>
        <w:pStyle w:val="Heading2"/>
        <w:keepNext w:val="0"/>
        <w:keepLines w:val="0"/>
        <w:widowControl w:val="0"/>
        <w:spacing w:before="0"/>
        <w:rPr>
          <w:lang w:val="en-CA"/>
        </w:rPr>
      </w:pPr>
      <w:bookmarkStart w:id="26" w:name="_Toc319660894"/>
      <w:r>
        <w:rPr>
          <w:lang w:val="en-CA"/>
        </w:rPr>
        <w:t>p</w:t>
      </w:r>
      <w:r w:rsidR="007A4BA2" w:rsidRPr="002A198E">
        <w:rPr>
          <w:lang w:val="en-CA"/>
        </w:rPr>
        <w:t xml:space="preserve">) </w:t>
      </w:r>
      <w:r w:rsidR="004B4634" w:rsidRPr="002A198E">
        <w:rPr>
          <w:lang w:val="en-CA"/>
        </w:rPr>
        <w:t xml:space="preserve">Mandating a Strategy </w:t>
      </w:r>
      <w:r w:rsidR="00254A42">
        <w:rPr>
          <w:lang w:val="en-CA"/>
        </w:rPr>
        <w:t xml:space="preserve">to </w:t>
      </w:r>
      <w:r w:rsidR="007A4BA2" w:rsidRPr="002A198E">
        <w:rPr>
          <w:lang w:val="en-CA"/>
        </w:rPr>
        <w:t xml:space="preserve">Expand </w:t>
      </w:r>
      <w:r w:rsidR="004B4634" w:rsidRPr="002A198E">
        <w:rPr>
          <w:lang w:val="en-CA"/>
        </w:rPr>
        <w:t>Internat</w:t>
      </w:r>
      <w:r w:rsidR="000A4E6F" w:rsidRPr="002A198E">
        <w:rPr>
          <w:lang w:val="en-CA"/>
        </w:rPr>
        <w:t>i</w:t>
      </w:r>
      <w:r w:rsidR="004B4634" w:rsidRPr="002A198E">
        <w:rPr>
          <w:lang w:val="en-CA"/>
        </w:rPr>
        <w:t xml:space="preserve">onal Trade in </w:t>
      </w:r>
      <w:r w:rsidR="007A4BA2" w:rsidRPr="002A198E">
        <w:rPr>
          <w:lang w:val="en-CA"/>
        </w:rPr>
        <w:t xml:space="preserve">Canadian </w:t>
      </w:r>
      <w:r w:rsidR="004B4634" w:rsidRPr="002A198E">
        <w:rPr>
          <w:lang w:val="en-CA"/>
        </w:rPr>
        <w:t>Accessible Goods, Services and Facilities</w:t>
      </w:r>
      <w:bookmarkEnd w:id="26"/>
    </w:p>
    <w:p w14:paraId="45AE3F58" w14:textId="77777777" w:rsidR="004B4634" w:rsidRPr="002A198E" w:rsidRDefault="004B4634" w:rsidP="002A198E">
      <w:pPr>
        <w:widowControl w:val="0"/>
        <w:rPr>
          <w:lang w:val="en-CA"/>
        </w:rPr>
      </w:pPr>
    </w:p>
    <w:p w14:paraId="48C0E038" w14:textId="2D589AAF" w:rsidR="004B4634" w:rsidRPr="002A198E" w:rsidRDefault="004B4634" w:rsidP="002A198E">
      <w:pPr>
        <w:widowControl w:val="0"/>
        <w:rPr>
          <w:lang w:val="en-CA"/>
        </w:rPr>
      </w:pPr>
      <w:r w:rsidRPr="002A198E">
        <w:rPr>
          <w:lang w:val="en-CA"/>
        </w:rPr>
        <w:t xml:space="preserve">Canada needs a strategy </w:t>
      </w:r>
      <w:r w:rsidR="003B3F24">
        <w:rPr>
          <w:lang w:val="en-CA"/>
        </w:rPr>
        <w:t xml:space="preserve">to expand Canadian efforts to serve </w:t>
      </w:r>
      <w:r w:rsidRPr="002A198E">
        <w:rPr>
          <w:lang w:val="en-CA"/>
        </w:rPr>
        <w:t>worldwide markets for accessible goods, services and facilities. Barrier-Free Canada’s 14 principles include:</w:t>
      </w:r>
    </w:p>
    <w:p w14:paraId="2A66A899" w14:textId="77777777" w:rsidR="004B4634" w:rsidRPr="002A198E" w:rsidRDefault="004B4634" w:rsidP="002A198E">
      <w:pPr>
        <w:widowControl w:val="0"/>
        <w:rPr>
          <w:lang w:val="en-CA"/>
        </w:rPr>
      </w:pPr>
    </w:p>
    <w:p w14:paraId="3F5ED0C5" w14:textId="77777777" w:rsidR="004B4634" w:rsidRPr="002A198E" w:rsidRDefault="004B4634" w:rsidP="00470DC8">
      <w:pPr>
        <w:widowControl w:val="0"/>
        <w:ind w:left="720" w:right="720"/>
        <w:rPr>
          <w:lang w:val="en-CA"/>
        </w:rPr>
      </w:pPr>
      <w:r w:rsidRPr="002A198E">
        <w:rPr>
          <w:lang w:val="en-CA"/>
        </w:rPr>
        <w:t xml:space="preserve">“12. </w:t>
      </w:r>
      <w:r w:rsidR="00470DC8">
        <w:rPr>
          <w:lang w:val="en-CA"/>
        </w:rPr>
        <w:t>T</w:t>
      </w:r>
      <w:r w:rsidRPr="002A198E">
        <w:rPr>
          <w:lang w:val="en-CA"/>
        </w:rPr>
        <w:t>he Canadians with Disabilities Act should set as a national policy the fostering of international trade aimed at better meeting the market of up to one billion persons with disabilities around the world.”</w:t>
      </w:r>
    </w:p>
    <w:p w14:paraId="337BF194" w14:textId="77777777" w:rsidR="004B4634" w:rsidRPr="002A198E" w:rsidRDefault="004B4634" w:rsidP="002A198E">
      <w:pPr>
        <w:widowControl w:val="0"/>
        <w:rPr>
          <w:lang w:val="en-CA"/>
        </w:rPr>
      </w:pPr>
    </w:p>
    <w:p w14:paraId="34EF96B4" w14:textId="77777777" w:rsidR="004B4634" w:rsidRPr="002A198E" w:rsidRDefault="00DF7FC7" w:rsidP="002A198E">
      <w:pPr>
        <w:widowControl w:val="0"/>
        <w:rPr>
          <w:lang w:val="en-CA"/>
        </w:rPr>
      </w:pPr>
      <w:r>
        <w:rPr>
          <w:lang w:val="en-CA"/>
        </w:rPr>
        <w:t>Up to o</w:t>
      </w:r>
      <w:r w:rsidR="00033032">
        <w:rPr>
          <w:lang w:val="en-CA"/>
        </w:rPr>
        <w:t>ne billion p</w:t>
      </w:r>
      <w:r w:rsidR="004B4634" w:rsidRPr="002A198E">
        <w:rPr>
          <w:lang w:val="en-CA"/>
        </w:rPr>
        <w:t xml:space="preserve">eople with disabilities around the world need accessible products and services. </w:t>
      </w:r>
      <w:r w:rsidR="003F1C09" w:rsidRPr="002A198E">
        <w:rPr>
          <w:lang w:val="en-CA"/>
        </w:rPr>
        <w:t>T</w:t>
      </w:r>
      <w:r w:rsidR="004B4634" w:rsidRPr="002A198E">
        <w:rPr>
          <w:lang w:val="en-CA"/>
        </w:rPr>
        <w:t xml:space="preserve">he international trend towards enacting accessibility legislation </w:t>
      </w:r>
      <w:r w:rsidR="00EF797F">
        <w:rPr>
          <w:lang w:val="en-CA"/>
        </w:rPr>
        <w:t xml:space="preserve">generates </w:t>
      </w:r>
      <w:r w:rsidR="004B4634" w:rsidRPr="002A198E">
        <w:rPr>
          <w:lang w:val="en-CA"/>
        </w:rPr>
        <w:t>increasing demands on those sell</w:t>
      </w:r>
      <w:r w:rsidR="00A93748">
        <w:rPr>
          <w:lang w:val="en-CA"/>
        </w:rPr>
        <w:t>ing</w:t>
      </w:r>
      <w:r w:rsidR="004B4634" w:rsidRPr="002A198E">
        <w:rPr>
          <w:lang w:val="en-CA"/>
        </w:rPr>
        <w:t xml:space="preserve"> goods and services </w:t>
      </w:r>
      <w:r w:rsidR="00033032">
        <w:rPr>
          <w:lang w:val="en-CA"/>
        </w:rPr>
        <w:t>internationally</w:t>
      </w:r>
      <w:r w:rsidR="003166A1">
        <w:rPr>
          <w:lang w:val="en-CA"/>
        </w:rPr>
        <w:t>,</w:t>
      </w:r>
      <w:r w:rsidR="00033032">
        <w:rPr>
          <w:lang w:val="en-CA"/>
        </w:rPr>
        <w:t xml:space="preserve"> </w:t>
      </w:r>
      <w:r w:rsidR="004B4634" w:rsidRPr="002A198E">
        <w:rPr>
          <w:lang w:val="en-CA"/>
        </w:rPr>
        <w:t xml:space="preserve">to ensure </w:t>
      </w:r>
      <w:r w:rsidR="00033032">
        <w:rPr>
          <w:lang w:val="en-CA"/>
        </w:rPr>
        <w:t>their accessibility</w:t>
      </w:r>
      <w:r w:rsidR="004B4634" w:rsidRPr="002A198E">
        <w:rPr>
          <w:lang w:val="en-CA"/>
        </w:rPr>
        <w:t xml:space="preserve">. </w:t>
      </w:r>
    </w:p>
    <w:p w14:paraId="66754C5B" w14:textId="77777777" w:rsidR="004B4634" w:rsidRPr="002A198E" w:rsidRDefault="004B4634" w:rsidP="002A198E">
      <w:pPr>
        <w:widowControl w:val="0"/>
        <w:rPr>
          <w:lang w:val="en-CA"/>
        </w:rPr>
      </w:pPr>
    </w:p>
    <w:p w14:paraId="3CFF3E83" w14:textId="77777777" w:rsidR="004B4634" w:rsidRPr="002A198E" w:rsidRDefault="00DE51E1" w:rsidP="002A198E">
      <w:pPr>
        <w:widowControl w:val="0"/>
        <w:rPr>
          <w:lang w:val="en-CA"/>
        </w:rPr>
      </w:pPr>
      <w:r>
        <w:rPr>
          <w:lang w:val="en-CA"/>
        </w:rPr>
        <w:t xml:space="preserve">Canadian businesses will make more money and Canadian employment will </w:t>
      </w:r>
      <w:r w:rsidR="00301D36">
        <w:rPr>
          <w:lang w:val="en-CA"/>
        </w:rPr>
        <w:t xml:space="preserve">increase </w:t>
      </w:r>
      <w:r>
        <w:rPr>
          <w:lang w:val="en-CA"/>
        </w:rPr>
        <w:t xml:space="preserve">if </w:t>
      </w:r>
      <w:r w:rsidR="00301D36">
        <w:rPr>
          <w:lang w:val="en-CA"/>
        </w:rPr>
        <w:t xml:space="preserve">they </w:t>
      </w:r>
      <w:r>
        <w:rPr>
          <w:lang w:val="en-CA"/>
        </w:rPr>
        <w:t xml:space="preserve">produce accessible </w:t>
      </w:r>
      <w:r w:rsidR="0018474A">
        <w:rPr>
          <w:lang w:val="en-CA"/>
        </w:rPr>
        <w:t xml:space="preserve">products </w:t>
      </w:r>
      <w:r>
        <w:rPr>
          <w:lang w:val="en-CA"/>
        </w:rPr>
        <w:t xml:space="preserve">to sell </w:t>
      </w:r>
      <w:r w:rsidR="007D7C48">
        <w:rPr>
          <w:lang w:val="en-CA"/>
        </w:rPr>
        <w:t>internationally.</w:t>
      </w:r>
      <w:r w:rsidR="007D7C48" w:rsidRPr="002A198E">
        <w:rPr>
          <w:lang w:val="en-CA"/>
        </w:rPr>
        <w:t xml:space="preserve"> Canada's</w:t>
      </w:r>
      <w:r w:rsidRPr="002A198E">
        <w:rPr>
          <w:lang w:val="en-CA"/>
        </w:rPr>
        <w:t xml:space="preserve"> private sector could </w:t>
      </w:r>
      <w:r w:rsidR="0018474A">
        <w:rPr>
          <w:lang w:val="en-CA"/>
        </w:rPr>
        <w:t xml:space="preserve">also </w:t>
      </w:r>
      <w:r w:rsidRPr="002A198E">
        <w:rPr>
          <w:lang w:val="en-CA"/>
        </w:rPr>
        <w:t xml:space="preserve">sell these </w:t>
      </w:r>
      <w:r w:rsidR="0018474A">
        <w:rPr>
          <w:lang w:val="en-CA"/>
        </w:rPr>
        <w:t xml:space="preserve">products </w:t>
      </w:r>
      <w:r w:rsidRPr="002A198E">
        <w:rPr>
          <w:lang w:val="en-CA"/>
        </w:rPr>
        <w:t>in Canada</w:t>
      </w:r>
      <w:r w:rsidR="0018474A">
        <w:rPr>
          <w:lang w:val="en-CA"/>
        </w:rPr>
        <w:t>, benefitting Canadians with disabilities.</w:t>
      </w:r>
    </w:p>
    <w:p w14:paraId="270E004F" w14:textId="77777777" w:rsidR="004B4634" w:rsidRPr="002A198E" w:rsidRDefault="004B4634" w:rsidP="002A198E">
      <w:pPr>
        <w:widowControl w:val="0"/>
        <w:rPr>
          <w:lang w:val="en-CA"/>
        </w:rPr>
      </w:pPr>
    </w:p>
    <w:p w14:paraId="5F2E8C92" w14:textId="22D3413D" w:rsidR="00804F04" w:rsidRPr="002A198E" w:rsidRDefault="004B4634" w:rsidP="002A198E">
      <w:pPr>
        <w:widowControl w:val="0"/>
        <w:rPr>
          <w:lang w:val="en-CA"/>
        </w:rPr>
      </w:pPr>
      <w:r w:rsidRPr="002A198E">
        <w:rPr>
          <w:lang w:val="en-CA"/>
        </w:rPr>
        <w:t xml:space="preserve">The </w:t>
      </w:r>
      <w:r w:rsidR="008E3043">
        <w:rPr>
          <w:lang w:val="en-CA"/>
        </w:rPr>
        <w:t xml:space="preserve">CDA </w:t>
      </w:r>
      <w:r w:rsidRPr="002A198E">
        <w:rPr>
          <w:lang w:val="en-CA"/>
        </w:rPr>
        <w:t xml:space="preserve">should mandate this </w:t>
      </w:r>
      <w:r w:rsidR="002812F9">
        <w:rPr>
          <w:lang w:val="en-CA"/>
        </w:rPr>
        <w:t>f</w:t>
      </w:r>
      <w:r w:rsidR="00A93748">
        <w:rPr>
          <w:lang w:val="en-CA"/>
        </w:rPr>
        <w:t>ederal strategy</w:t>
      </w:r>
      <w:r w:rsidRPr="002A198E">
        <w:rPr>
          <w:lang w:val="en-CA"/>
        </w:rPr>
        <w:t xml:space="preserve">, </w:t>
      </w:r>
      <w:r w:rsidR="008E3043">
        <w:rPr>
          <w:lang w:val="en-CA"/>
        </w:rPr>
        <w:t xml:space="preserve">and </w:t>
      </w:r>
      <w:r w:rsidRPr="002A198E">
        <w:rPr>
          <w:lang w:val="en-CA"/>
        </w:rPr>
        <w:t>encourag</w:t>
      </w:r>
      <w:r w:rsidR="00A93748">
        <w:rPr>
          <w:lang w:val="en-CA"/>
        </w:rPr>
        <w:t>e</w:t>
      </w:r>
      <w:r w:rsidRPr="002A198E">
        <w:rPr>
          <w:lang w:val="en-CA"/>
        </w:rPr>
        <w:t xml:space="preserve"> </w:t>
      </w:r>
      <w:r w:rsidR="002812F9">
        <w:rPr>
          <w:lang w:val="en-CA"/>
        </w:rPr>
        <w:t>p</w:t>
      </w:r>
      <w:r w:rsidRPr="002A198E">
        <w:rPr>
          <w:lang w:val="en-CA"/>
        </w:rPr>
        <w:t xml:space="preserve">rovincial </w:t>
      </w:r>
      <w:r w:rsidR="003E0B91" w:rsidRPr="002A198E">
        <w:rPr>
          <w:lang w:val="en-CA"/>
        </w:rPr>
        <w:t>participation</w:t>
      </w:r>
      <w:r w:rsidRPr="002A198E">
        <w:rPr>
          <w:lang w:val="en-CA"/>
        </w:rPr>
        <w:t xml:space="preserve">. When Canadian </w:t>
      </w:r>
      <w:r w:rsidR="008E3043">
        <w:rPr>
          <w:lang w:val="en-CA"/>
        </w:rPr>
        <w:t xml:space="preserve">ministers </w:t>
      </w:r>
      <w:r w:rsidRPr="002A198E">
        <w:rPr>
          <w:lang w:val="en-CA"/>
        </w:rPr>
        <w:t xml:space="preserve">board an airplane to fly </w:t>
      </w:r>
      <w:r w:rsidR="00A93748">
        <w:rPr>
          <w:lang w:val="en-CA"/>
        </w:rPr>
        <w:t xml:space="preserve">Canadian business leaders </w:t>
      </w:r>
      <w:r w:rsidRPr="002A198E">
        <w:rPr>
          <w:lang w:val="en-CA"/>
        </w:rPr>
        <w:t xml:space="preserve">around the world, selling our </w:t>
      </w:r>
      <w:r w:rsidR="00CD1487">
        <w:rPr>
          <w:lang w:val="en-CA"/>
        </w:rPr>
        <w:t>goods/ser</w:t>
      </w:r>
      <w:r w:rsidR="00E436B1">
        <w:rPr>
          <w:lang w:val="en-CA"/>
        </w:rPr>
        <w:t>v</w:t>
      </w:r>
      <w:r w:rsidR="00CD1487">
        <w:rPr>
          <w:lang w:val="en-CA"/>
        </w:rPr>
        <w:t>ices</w:t>
      </w:r>
      <w:r w:rsidRPr="002A198E">
        <w:rPr>
          <w:lang w:val="en-CA"/>
        </w:rPr>
        <w:t xml:space="preserve">, </w:t>
      </w:r>
      <w:r w:rsidR="008E3043">
        <w:rPr>
          <w:lang w:val="en-CA"/>
        </w:rPr>
        <w:t xml:space="preserve">they </w:t>
      </w:r>
      <w:r w:rsidRPr="002A198E">
        <w:rPr>
          <w:lang w:val="en-CA"/>
        </w:rPr>
        <w:t xml:space="preserve">should ensure that </w:t>
      </w:r>
      <w:r w:rsidR="00804F04" w:rsidRPr="002A198E">
        <w:rPr>
          <w:lang w:val="en-CA"/>
        </w:rPr>
        <w:t xml:space="preserve">private </w:t>
      </w:r>
      <w:r w:rsidR="00027A88" w:rsidRPr="002A198E">
        <w:rPr>
          <w:lang w:val="en-CA"/>
        </w:rPr>
        <w:t xml:space="preserve">sector </w:t>
      </w:r>
      <w:r w:rsidR="00804F04" w:rsidRPr="002A198E">
        <w:rPr>
          <w:lang w:val="en-CA"/>
        </w:rPr>
        <w:t xml:space="preserve">leaders, invited </w:t>
      </w:r>
      <w:r w:rsidRPr="002A198E">
        <w:rPr>
          <w:lang w:val="en-CA"/>
        </w:rPr>
        <w:t>on the plane</w:t>
      </w:r>
      <w:r w:rsidR="00804F04" w:rsidRPr="002A198E">
        <w:rPr>
          <w:lang w:val="en-CA"/>
        </w:rPr>
        <w:t xml:space="preserve">, </w:t>
      </w:r>
      <w:r w:rsidR="00027A88" w:rsidRPr="002A198E">
        <w:rPr>
          <w:lang w:val="en-CA"/>
        </w:rPr>
        <w:t xml:space="preserve">have </w:t>
      </w:r>
      <w:r w:rsidR="008E3043">
        <w:rPr>
          <w:lang w:val="en-CA"/>
        </w:rPr>
        <w:t xml:space="preserve">striven </w:t>
      </w:r>
      <w:r w:rsidRPr="002A198E">
        <w:rPr>
          <w:lang w:val="en-CA"/>
        </w:rPr>
        <w:t xml:space="preserve">to ensure </w:t>
      </w:r>
      <w:r w:rsidR="002812F9">
        <w:rPr>
          <w:lang w:val="en-CA"/>
        </w:rPr>
        <w:t>the accessibility of their</w:t>
      </w:r>
      <w:r w:rsidR="00E436B1">
        <w:rPr>
          <w:lang w:val="en-CA"/>
        </w:rPr>
        <w:t xml:space="preserve"> goods/services</w:t>
      </w:r>
      <w:r w:rsidR="00301D36">
        <w:rPr>
          <w:lang w:val="en-CA"/>
        </w:rPr>
        <w:t>.</w:t>
      </w:r>
      <w:r w:rsidRPr="002A198E">
        <w:rPr>
          <w:lang w:val="en-CA"/>
        </w:rPr>
        <w:t xml:space="preserve"> </w:t>
      </w:r>
    </w:p>
    <w:p w14:paraId="17D3ADE2" w14:textId="77777777" w:rsidR="00804F04" w:rsidRPr="002A198E" w:rsidRDefault="00804F04" w:rsidP="002A198E">
      <w:pPr>
        <w:widowControl w:val="0"/>
        <w:rPr>
          <w:lang w:val="en-CA"/>
        </w:rPr>
      </w:pPr>
    </w:p>
    <w:p w14:paraId="2EC27FB5" w14:textId="77777777" w:rsidR="004B4634" w:rsidRPr="002A198E" w:rsidRDefault="00060DDC" w:rsidP="002A198E">
      <w:pPr>
        <w:widowControl w:val="0"/>
        <w:rPr>
          <w:lang w:val="en-CA"/>
        </w:rPr>
      </w:pPr>
      <w:r>
        <w:rPr>
          <w:lang w:val="en-CA"/>
        </w:rPr>
        <w:t>I</w:t>
      </w:r>
      <w:r w:rsidR="004B4634" w:rsidRPr="002A198E">
        <w:rPr>
          <w:lang w:val="en-CA"/>
        </w:rPr>
        <w:t xml:space="preserve">n the 2014 Ontario election, the Ontario government proposed to </w:t>
      </w:r>
      <w:r w:rsidR="003166A1">
        <w:rPr>
          <w:lang w:val="en-CA"/>
        </w:rPr>
        <w:t xml:space="preserve">expand </w:t>
      </w:r>
      <w:r w:rsidR="004E4AF5">
        <w:rPr>
          <w:lang w:val="en-CA"/>
        </w:rPr>
        <w:t xml:space="preserve">the </w:t>
      </w:r>
      <w:r w:rsidR="004B4634" w:rsidRPr="002A198E">
        <w:rPr>
          <w:lang w:val="en-CA"/>
        </w:rPr>
        <w:t xml:space="preserve">information technology </w:t>
      </w:r>
      <w:r w:rsidR="003166A1">
        <w:rPr>
          <w:lang w:val="en-CA"/>
        </w:rPr>
        <w:t xml:space="preserve">sector. </w:t>
      </w:r>
      <w:r w:rsidR="004A1744" w:rsidRPr="002A198E">
        <w:rPr>
          <w:lang w:val="en-CA"/>
        </w:rPr>
        <w:t xml:space="preserve">However, </w:t>
      </w:r>
      <w:r w:rsidR="00052CAF">
        <w:rPr>
          <w:lang w:val="en-CA"/>
        </w:rPr>
        <w:t xml:space="preserve">this included no </w:t>
      </w:r>
      <w:r w:rsidR="004B4634" w:rsidRPr="002A198E">
        <w:rPr>
          <w:lang w:val="en-CA"/>
        </w:rPr>
        <w:t xml:space="preserve">plan to </w:t>
      </w:r>
      <w:r w:rsidR="00624975" w:rsidRPr="002A198E">
        <w:rPr>
          <w:lang w:val="en-CA"/>
        </w:rPr>
        <w:t xml:space="preserve">expand accessible information technology. </w:t>
      </w:r>
    </w:p>
    <w:p w14:paraId="76AA1CF7" w14:textId="77777777" w:rsidR="004B4634" w:rsidRPr="002A198E" w:rsidRDefault="004B4634" w:rsidP="002A198E">
      <w:pPr>
        <w:widowControl w:val="0"/>
        <w:rPr>
          <w:lang w:val="en-CA"/>
        </w:rPr>
      </w:pPr>
    </w:p>
    <w:p w14:paraId="7726243E" w14:textId="77777777" w:rsidR="004B4634" w:rsidRPr="002A198E" w:rsidRDefault="00DE7521" w:rsidP="002A198E">
      <w:pPr>
        <w:pStyle w:val="Heading2"/>
        <w:keepNext w:val="0"/>
        <w:keepLines w:val="0"/>
        <w:widowControl w:val="0"/>
        <w:spacing w:before="0"/>
        <w:rPr>
          <w:lang w:val="en-CA"/>
        </w:rPr>
      </w:pPr>
      <w:bookmarkStart w:id="27" w:name="_Toc319660895"/>
      <w:r>
        <w:rPr>
          <w:lang w:val="en-CA"/>
        </w:rPr>
        <w:t>q</w:t>
      </w:r>
      <w:r w:rsidR="007A4BA2" w:rsidRPr="002A198E">
        <w:rPr>
          <w:lang w:val="en-CA"/>
        </w:rPr>
        <w:t xml:space="preserve">) </w:t>
      </w:r>
      <w:r w:rsidR="007E5464" w:rsidRPr="002A198E">
        <w:rPr>
          <w:lang w:val="en-CA"/>
        </w:rPr>
        <w:t xml:space="preserve">Establishing </w:t>
      </w:r>
      <w:r w:rsidR="004B4634" w:rsidRPr="002A198E">
        <w:rPr>
          <w:lang w:val="en-CA"/>
        </w:rPr>
        <w:t xml:space="preserve">Initial </w:t>
      </w:r>
      <w:r w:rsidR="000E61F1">
        <w:rPr>
          <w:lang w:val="en-CA"/>
        </w:rPr>
        <w:t xml:space="preserve">Accessibility </w:t>
      </w:r>
      <w:r w:rsidR="004B4634" w:rsidRPr="002A198E">
        <w:rPr>
          <w:lang w:val="en-CA"/>
        </w:rPr>
        <w:t>Measures Pending Accessibility Standards</w:t>
      </w:r>
      <w:bookmarkEnd w:id="27"/>
      <w:r w:rsidR="004B4634" w:rsidRPr="002A198E">
        <w:rPr>
          <w:lang w:val="en-CA"/>
        </w:rPr>
        <w:t xml:space="preserve"> </w:t>
      </w:r>
    </w:p>
    <w:p w14:paraId="0D4949C0" w14:textId="77777777" w:rsidR="004B4634" w:rsidRPr="002A198E" w:rsidRDefault="004B4634" w:rsidP="002A198E">
      <w:pPr>
        <w:widowControl w:val="0"/>
        <w:rPr>
          <w:lang w:val="en-CA"/>
        </w:rPr>
      </w:pPr>
    </w:p>
    <w:p w14:paraId="4F9EFB87" w14:textId="1637E9AE" w:rsidR="004B4634" w:rsidRPr="002A198E" w:rsidRDefault="00CB1E26" w:rsidP="002A198E">
      <w:pPr>
        <w:widowControl w:val="0"/>
        <w:rPr>
          <w:lang w:val="en-CA"/>
        </w:rPr>
      </w:pPr>
      <w:r>
        <w:rPr>
          <w:lang w:val="en-CA"/>
        </w:rPr>
        <w:t xml:space="preserve">CDA </w:t>
      </w:r>
      <w:r w:rsidR="0042069C" w:rsidRPr="002A198E">
        <w:rPr>
          <w:lang w:val="en-CA"/>
        </w:rPr>
        <w:t xml:space="preserve">accessibility standards will take months to develop. </w:t>
      </w:r>
      <w:r w:rsidR="007D7C48">
        <w:rPr>
          <w:lang w:val="en-CA"/>
        </w:rPr>
        <w:t>O</w:t>
      </w:r>
      <w:r w:rsidR="007D7C48" w:rsidRPr="002A198E">
        <w:rPr>
          <w:lang w:val="en-CA"/>
        </w:rPr>
        <w:t>rganizations</w:t>
      </w:r>
      <w:r w:rsidR="00F62182" w:rsidRPr="002A198E">
        <w:rPr>
          <w:lang w:val="en-CA"/>
        </w:rPr>
        <w:t xml:space="preserve"> </w:t>
      </w:r>
      <w:r w:rsidR="004E4AF5">
        <w:rPr>
          <w:lang w:val="en-CA"/>
        </w:rPr>
        <w:t xml:space="preserve">can </w:t>
      </w:r>
      <w:r w:rsidR="004B4634" w:rsidRPr="002A198E">
        <w:rPr>
          <w:lang w:val="en-CA"/>
        </w:rPr>
        <w:t xml:space="preserve">take a </w:t>
      </w:r>
      <w:r w:rsidR="00F62182" w:rsidRPr="002A198E">
        <w:rPr>
          <w:lang w:val="en-CA"/>
        </w:rPr>
        <w:t>“</w:t>
      </w:r>
      <w:r w:rsidR="004B4634" w:rsidRPr="002A198E">
        <w:rPr>
          <w:lang w:val="en-CA"/>
        </w:rPr>
        <w:t>wait and see</w:t>
      </w:r>
      <w:r w:rsidR="00F62182" w:rsidRPr="002A198E">
        <w:rPr>
          <w:lang w:val="en-CA"/>
        </w:rPr>
        <w:t>”</w:t>
      </w:r>
      <w:r w:rsidR="004B4634" w:rsidRPr="002A198E">
        <w:rPr>
          <w:lang w:val="en-CA"/>
        </w:rPr>
        <w:t xml:space="preserve"> approach, </w:t>
      </w:r>
      <w:r w:rsidR="00F62182" w:rsidRPr="002A198E">
        <w:rPr>
          <w:lang w:val="en-CA"/>
        </w:rPr>
        <w:t xml:space="preserve">holding </w:t>
      </w:r>
      <w:r w:rsidR="004B4634" w:rsidRPr="002A198E">
        <w:rPr>
          <w:lang w:val="en-CA"/>
        </w:rPr>
        <w:t xml:space="preserve">off </w:t>
      </w:r>
      <w:r w:rsidR="000C5B2A">
        <w:rPr>
          <w:lang w:val="en-CA"/>
        </w:rPr>
        <w:t xml:space="preserve">on accessibility action </w:t>
      </w:r>
      <w:r w:rsidR="004B4634" w:rsidRPr="002A198E">
        <w:rPr>
          <w:lang w:val="en-CA"/>
        </w:rPr>
        <w:t xml:space="preserve">until they </w:t>
      </w:r>
      <w:r w:rsidR="000C5B2A">
        <w:rPr>
          <w:lang w:val="en-CA"/>
        </w:rPr>
        <w:t>see the regulations</w:t>
      </w:r>
      <w:r w:rsidR="002812F9">
        <w:rPr>
          <w:lang w:val="en-CA"/>
        </w:rPr>
        <w:t>.</w:t>
      </w:r>
      <w:r w:rsidR="000C5B2A">
        <w:rPr>
          <w:lang w:val="en-CA"/>
        </w:rPr>
        <w:t xml:space="preserve"> </w:t>
      </w:r>
    </w:p>
    <w:p w14:paraId="21244D66" w14:textId="77777777" w:rsidR="004B4634" w:rsidRPr="002A198E" w:rsidRDefault="004B4634" w:rsidP="002A198E">
      <w:pPr>
        <w:widowControl w:val="0"/>
        <w:rPr>
          <w:lang w:val="en-CA"/>
        </w:rPr>
      </w:pPr>
    </w:p>
    <w:p w14:paraId="08BA165A" w14:textId="7A0C6A2F" w:rsidR="004B4634" w:rsidRPr="002A198E" w:rsidRDefault="000D7D76" w:rsidP="002A198E">
      <w:pPr>
        <w:widowControl w:val="0"/>
        <w:rPr>
          <w:lang w:val="en-CA"/>
        </w:rPr>
      </w:pPr>
      <w:r>
        <w:rPr>
          <w:lang w:val="en-CA"/>
        </w:rPr>
        <w:t xml:space="preserve">In Ontario, years of front-line inaction on accessibility took place after the AODA was passed, and before accessibility standards were enacted and their compliance deadlines drew near. </w:t>
      </w:r>
      <w:r w:rsidR="000C5B2A">
        <w:rPr>
          <w:lang w:val="en-CA"/>
        </w:rPr>
        <w:t xml:space="preserve">To avoid </w:t>
      </w:r>
      <w:r w:rsidR="00F94E6A">
        <w:rPr>
          <w:lang w:val="en-CA"/>
        </w:rPr>
        <w:t xml:space="preserve">such </w:t>
      </w:r>
      <w:r w:rsidR="000C5B2A">
        <w:rPr>
          <w:lang w:val="en-CA"/>
        </w:rPr>
        <w:t xml:space="preserve">delay, </w:t>
      </w:r>
      <w:r w:rsidR="00F94E6A">
        <w:rPr>
          <w:lang w:val="en-CA"/>
        </w:rPr>
        <w:t xml:space="preserve">the CDA </w:t>
      </w:r>
      <w:r w:rsidR="004B4634" w:rsidRPr="002A198E">
        <w:rPr>
          <w:lang w:val="en-CA"/>
        </w:rPr>
        <w:t xml:space="preserve">should institute a regime </w:t>
      </w:r>
      <w:r w:rsidR="00DB37EC">
        <w:rPr>
          <w:lang w:val="en-CA"/>
        </w:rPr>
        <w:t xml:space="preserve">to require </w:t>
      </w:r>
      <w:r w:rsidR="00FF64FD" w:rsidRPr="002A198E">
        <w:rPr>
          <w:lang w:val="en-CA"/>
        </w:rPr>
        <w:t xml:space="preserve">interim </w:t>
      </w:r>
      <w:r w:rsidR="004B4634" w:rsidRPr="002A198E">
        <w:rPr>
          <w:lang w:val="en-CA"/>
        </w:rPr>
        <w:t>action on accessibility</w:t>
      </w:r>
      <w:r w:rsidR="00FF64FD" w:rsidRPr="002A198E">
        <w:rPr>
          <w:lang w:val="en-CA"/>
        </w:rPr>
        <w:t>,</w:t>
      </w:r>
      <w:r w:rsidR="004B4634" w:rsidRPr="002A198E">
        <w:rPr>
          <w:lang w:val="en-CA"/>
        </w:rPr>
        <w:t xml:space="preserve"> </w:t>
      </w:r>
      <w:r w:rsidR="004B4634" w:rsidRPr="00DB37EC">
        <w:rPr>
          <w:i/>
          <w:lang w:val="en-CA"/>
        </w:rPr>
        <w:t>before</w:t>
      </w:r>
      <w:r w:rsidR="004B4634" w:rsidRPr="002A198E">
        <w:rPr>
          <w:lang w:val="en-CA"/>
        </w:rPr>
        <w:t xml:space="preserve"> accessibility standards are enacted. </w:t>
      </w:r>
      <w:r w:rsidR="00FF64FD" w:rsidRPr="002A198E">
        <w:rPr>
          <w:lang w:val="en-CA"/>
        </w:rPr>
        <w:t xml:space="preserve">These should </w:t>
      </w:r>
      <w:r w:rsidR="00B21A9F">
        <w:rPr>
          <w:lang w:val="en-CA"/>
        </w:rPr>
        <w:t xml:space="preserve">require </w:t>
      </w:r>
      <w:r w:rsidR="00FF64FD" w:rsidRPr="002A198E">
        <w:rPr>
          <w:lang w:val="en-CA"/>
        </w:rPr>
        <w:t xml:space="preserve">readily-achievable actions or “easy-to-fix” solutions. </w:t>
      </w:r>
      <w:r w:rsidR="004E4AF5">
        <w:rPr>
          <w:lang w:val="en-CA"/>
        </w:rPr>
        <w:t xml:space="preserve">These </w:t>
      </w:r>
      <w:r w:rsidR="00FF64FD" w:rsidRPr="002A198E">
        <w:rPr>
          <w:lang w:val="en-CA"/>
        </w:rPr>
        <w:t xml:space="preserve">should also ensure that no new barriers are created </w:t>
      </w:r>
      <w:r w:rsidR="00B21A9F">
        <w:rPr>
          <w:lang w:val="en-CA"/>
        </w:rPr>
        <w:t xml:space="preserve">while </w:t>
      </w:r>
      <w:r w:rsidR="00FF64FD" w:rsidRPr="002A198E">
        <w:rPr>
          <w:lang w:val="en-CA"/>
        </w:rPr>
        <w:t xml:space="preserve">accessibility standards </w:t>
      </w:r>
      <w:r w:rsidR="00B21A9F">
        <w:rPr>
          <w:lang w:val="en-CA"/>
        </w:rPr>
        <w:t>are being developed</w:t>
      </w:r>
      <w:r w:rsidR="00FF64FD" w:rsidRPr="002A198E">
        <w:rPr>
          <w:lang w:val="en-CA"/>
        </w:rPr>
        <w:t xml:space="preserve">. </w:t>
      </w:r>
    </w:p>
    <w:p w14:paraId="65F83B6E" w14:textId="77777777" w:rsidR="004B4634" w:rsidRPr="002A198E" w:rsidRDefault="004B4634" w:rsidP="002A198E">
      <w:pPr>
        <w:widowControl w:val="0"/>
        <w:rPr>
          <w:lang w:val="en-CA"/>
        </w:rPr>
      </w:pPr>
    </w:p>
    <w:p w14:paraId="7F0CE8C3" w14:textId="168C659B" w:rsidR="004B4634" w:rsidRPr="002A198E" w:rsidRDefault="00B21A9F" w:rsidP="002A198E">
      <w:pPr>
        <w:widowControl w:val="0"/>
        <w:rPr>
          <w:lang w:val="en-CA"/>
        </w:rPr>
      </w:pPr>
      <w:r>
        <w:rPr>
          <w:lang w:val="en-CA"/>
        </w:rPr>
        <w:t xml:space="preserve">The CDA should </w:t>
      </w:r>
      <w:r w:rsidR="004B4634" w:rsidRPr="002A198E">
        <w:rPr>
          <w:lang w:val="en-CA"/>
        </w:rPr>
        <w:t xml:space="preserve">provide a framework for </w:t>
      </w:r>
      <w:r w:rsidR="000D7D76">
        <w:rPr>
          <w:lang w:val="en-CA"/>
        </w:rPr>
        <w:t>this</w:t>
      </w:r>
      <w:r w:rsidR="00A334B3">
        <w:rPr>
          <w:lang w:val="en-CA"/>
        </w:rPr>
        <w:t xml:space="preserve">, e.g. mandating </w:t>
      </w:r>
      <w:r w:rsidR="0091421E" w:rsidRPr="002A198E">
        <w:rPr>
          <w:lang w:val="en-CA"/>
        </w:rPr>
        <w:t xml:space="preserve">the Federal Government </w:t>
      </w:r>
      <w:r w:rsidR="004B4634" w:rsidRPr="002A198E">
        <w:rPr>
          <w:lang w:val="en-CA"/>
        </w:rPr>
        <w:t>to conduct short, focused consultations, if needed</w:t>
      </w:r>
      <w:r w:rsidR="0091421E" w:rsidRPr="002A198E">
        <w:rPr>
          <w:lang w:val="en-CA"/>
        </w:rPr>
        <w:t xml:space="preserve">, and </w:t>
      </w:r>
      <w:r w:rsidR="001A2D5B">
        <w:rPr>
          <w:lang w:val="en-CA"/>
        </w:rPr>
        <w:t xml:space="preserve">then </w:t>
      </w:r>
      <w:r w:rsidR="0091421E" w:rsidRPr="002A198E">
        <w:rPr>
          <w:lang w:val="en-CA"/>
        </w:rPr>
        <w:t>issue directives for interim action</w:t>
      </w:r>
      <w:r w:rsidR="004B4634" w:rsidRPr="002A198E">
        <w:rPr>
          <w:lang w:val="en-CA"/>
        </w:rPr>
        <w:t xml:space="preserve">. </w:t>
      </w:r>
    </w:p>
    <w:p w14:paraId="2D4A8012" w14:textId="77777777" w:rsidR="004B4634" w:rsidRPr="002A198E" w:rsidRDefault="004B4634" w:rsidP="002A198E">
      <w:pPr>
        <w:widowControl w:val="0"/>
        <w:rPr>
          <w:lang w:val="en-CA"/>
        </w:rPr>
      </w:pPr>
    </w:p>
    <w:p w14:paraId="1E1FF680" w14:textId="77777777" w:rsidR="004B4634" w:rsidRPr="002A198E" w:rsidRDefault="00B21A9F" w:rsidP="002A198E">
      <w:pPr>
        <w:widowControl w:val="0"/>
        <w:rPr>
          <w:lang w:val="en-CA"/>
        </w:rPr>
      </w:pPr>
      <w:r>
        <w:rPr>
          <w:lang w:val="en-CA"/>
        </w:rPr>
        <w:t xml:space="preserve">The CDA </w:t>
      </w:r>
      <w:r w:rsidR="00A21C46">
        <w:rPr>
          <w:lang w:val="en-CA"/>
        </w:rPr>
        <w:t xml:space="preserve">shouldn't </w:t>
      </w:r>
      <w:r w:rsidR="007569AC">
        <w:rPr>
          <w:lang w:val="en-CA"/>
        </w:rPr>
        <w:t xml:space="preserve">just let </w:t>
      </w:r>
      <w:r w:rsidR="004B4634" w:rsidRPr="002A198E">
        <w:rPr>
          <w:lang w:val="en-CA"/>
        </w:rPr>
        <w:t xml:space="preserve">the </w:t>
      </w:r>
      <w:r w:rsidR="00A21C46" w:rsidRPr="00A21C46">
        <w:rPr>
          <w:lang w:val="en-CA"/>
        </w:rPr>
        <w:t xml:space="preserve">Government </w:t>
      </w:r>
      <w:r w:rsidR="004B4634" w:rsidRPr="002A198E">
        <w:rPr>
          <w:lang w:val="en-CA"/>
        </w:rPr>
        <w:t xml:space="preserve">consider </w:t>
      </w:r>
      <w:r w:rsidR="00F70475">
        <w:rPr>
          <w:lang w:val="en-CA"/>
        </w:rPr>
        <w:t>imposing</w:t>
      </w:r>
      <w:r w:rsidR="00F70475" w:rsidRPr="002A198E">
        <w:rPr>
          <w:lang w:val="en-CA"/>
        </w:rPr>
        <w:t xml:space="preserve"> taking</w:t>
      </w:r>
      <w:r w:rsidR="004B4634" w:rsidRPr="002A198E">
        <w:rPr>
          <w:lang w:val="en-CA"/>
        </w:rPr>
        <w:t xml:space="preserve"> such </w:t>
      </w:r>
      <w:r w:rsidR="00A21C46">
        <w:rPr>
          <w:lang w:val="en-CA"/>
        </w:rPr>
        <w:t>measures</w:t>
      </w:r>
      <w:r w:rsidR="004B4634" w:rsidRPr="002A198E">
        <w:rPr>
          <w:lang w:val="en-CA"/>
        </w:rPr>
        <w:t xml:space="preserve">. </w:t>
      </w:r>
      <w:r w:rsidR="00774A81">
        <w:rPr>
          <w:lang w:val="en-CA"/>
        </w:rPr>
        <w:t xml:space="preserve">It </w:t>
      </w:r>
      <w:r w:rsidR="004B4634" w:rsidRPr="002A198E">
        <w:rPr>
          <w:lang w:val="en-CA"/>
        </w:rPr>
        <w:t xml:space="preserve">should </w:t>
      </w:r>
      <w:r w:rsidR="004B4634" w:rsidRPr="007569AC">
        <w:rPr>
          <w:i/>
          <w:lang w:val="en-CA"/>
        </w:rPr>
        <w:t xml:space="preserve">require </w:t>
      </w:r>
      <w:r w:rsidR="00A21C46">
        <w:rPr>
          <w:lang w:val="en-CA"/>
        </w:rPr>
        <w:t xml:space="preserve">these </w:t>
      </w:r>
      <w:r w:rsidR="004B4634" w:rsidRPr="002A198E">
        <w:rPr>
          <w:lang w:val="en-CA"/>
        </w:rPr>
        <w:t xml:space="preserve">within a designated time. </w:t>
      </w:r>
    </w:p>
    <w:p w14:paraId="4B405CAC" w14:textId="77777777" w:rsidR="00B605CF" w:rsidRPr="002A198E" w:rsidRDefault="00B605CF" w:rsidP="002A198E">
      <w:pPr>
        <w:widowControl w:val="0"/>
        <w:rPr>
          <w:lang w:val="en-CA"/>
        </w:rPr>
      </w:pPr>
    </w:p>
    <w:p w14:paraId="7F3019F5" w14:textId="77777777" w:rsidR="004B4634" w:rsidRPr="002A198E" w:rsidRDefault="007569AC" w:rsidP="002A198E">
      <w:pPr>
        <w:pStyle w:val="Heading2"/>
        <w:keepNext w:val="0"/>
        <w:keepLines w:val="0"/>
        <w:widowControl w:val="0"/>
        <w:spacing w:before="0"/>
        <w:rPr>
          <w:lang w:val="en-CA"/>
        </w:rPr>
      </w:pPr>
      <w:bookmarkStart w:id="28" w:name="_Toc319660896"/>
      <w:bookmarkStart w:id="29" w:name="OLE_LINK48"/>
      <w:r>
        <w:rPr>
          <w:lang w:val="en-CA"/>
        </w:rPr>
        <w:t>r</w:t>
      </w:r>
      <w:r w:rsidR="007A4BA2" w:rsidRPr="002A198E">
        <w:rPr>
          <w:lang w:val="en-CA"/>
        </w:rPr>
        <w:t xml:space="preserve">) </w:t>
      </w:r>
      <w:r w:rsidR="00470DC8">
        <w:rPr>
          <w:lang w:val="en-CA"/>
        </w:rPr>
        <w:t>E</w:t>
      </w:r>
      <w:r w:rsidR="00E56213" w:rsidRPr="002A198E">
        <w:rPr>
          <w:lang w:val="en-CA"/>
        </w:rPr>
        <w:t xml:space="preserve">nsuring that Efforts at </w:t>
      </w:r>
      <w:r w:rsidR="004B4634" w:rsidRPr="002A198E">
        <w:rPr>
          <w:lang w:val="en-CA"/>
        </w:rPr>
        <w:t xml:space="preserve">Educating the Public on </w:t>
      </w:r>
      <w:r w:rsidR="00027A88" w:rsidRPr="002A198E">
        <w:rPr>
          <w:lang w:val="en-CA"/>
        </w:rPr>
        <w:t>Accessibility</w:t>
      </w:r>
      <w:r w:rsidR="004B4634" w:rsidRPr="002A198E">
        <w:rPr>
          <w:lang w:val="en-CA"/>
        </w:rPr>
        <w:t xml:space="preserve"> </w:t>
      </w:r>
      <w:r w:rsidR="005A5FC0" w:rsidRPr="002A198E">
        <w:rPr>
          <w:lang w:val="en-CA"/>
        </w:rPr>
        <w:t xml:space="preserve">Don’t </w:t>
      </w:r>
      <w:r w:rsidR="00E56213" w:rsidRPr="002A198E">
        <w:rPr>
          <w:lang w:val="en-CA"/>
        </w:rPr>
        <w:t>Delay Implementation and Enforcement</w:t>
      </w:r>
      <w:bookmarkEnd w:id="28"/>
      <w:r w:rsidR="002A198E" w:rsidRPr="002A198E">
        <w:rPr>
          <w:lang w:val="en-CA"/>
        </w:rPr>
        <w:t xml:space="preserve"> </w:t>
      </w:r>
    </w:p>
    <w:bookmarkEnd w:id="29"/>
    <w:p w14:paraId="7360C649" w14:textId="77777777" w:rsidR="004B4634" w:rsidRPr="002A198E" w:rsidRDefault="004B4634" w:rsidP="002A198E">
      <w:pPr>
        <w:widowControl w:val="0"/>
        <w:rPr>
          <w:lang w:val="en-CA"/>
        </w:rPr>
      </w:pPr>
    </w:p>
    <w:p w14:paraId="62A3C924" w14:textId="49529332" w:rsidR="004B4634" w:rsidRPr="002A198E" w:rsidRDefault="004B4634" w:rsidP="002A198E">
      <w:pPr>
        <w:widowControl w:val="0"/>
        <w:rPr>
          <w:lang w:val="en-CA"/>
        </w:rPr>
      </w:pPr>
      <w:r w:rsidRPr="002A198E">
        <w:rPr>
          <w:lang w:val="en-CA"/>
        </w:rPr>
        <w:t xml:space="preserve">Educating obligated organizations on accessibility might seem an appropriate first step </w:t>
      </w:r>
      <w:r w:rsidR="00956806">
        <w:rPr>
          <w:lang w:val="en-CA"/>
        </w:rPr>
        <w:t>under the CDA</w:t>
      </w:r>
      <w:r w:rsidRPr="002A198E">
        <w:rPr>
          <w:lang w:val="en-CA"/>
        </w:rPr>
        <w:t xml:space="preserve">. However, </w:t>
      </w:r>
      <w:r w:rsidR="00A5528A">
        <w:rPr>
          <w:lang w:val="en-CA"/>
        </w:rPr>
        <w:t xml:space="preserve">effective </w:t>
      </w:r>
      <w:r w:rsidR="002462CD">
        <w:rPr>
          <w:lang w:val="en-CA"/>
        </w:rPr>
        <w:t xml:space="preserve">regulatory enforcement </w:t>
      </w:r>
      <w:r w:rsidR="00FE2EDC" w:rsidRPr="002A198E">
        <w:rPr>
          <w:lang w:val="en-CA"/>
        </w:rPr>
        <w:t xml:space="preserve">action </w:t>
      </w:r>
      <w:r w:rsidR="00803FFD">
        <w:rPr>
          <w:lang w:val="en-CA"/>
        </w:rPr>
        <w:t xml:space="preserve">shouldn't </w:t>
      </w:r>
      <w:r w:rsidRPr="002A198E">
        <w:rPr>
          <w:lang w:val="en-CA"/>
        </w:rPr>
        <w:t xml:space="preserve">be </w:t>
      </w:r>
      <w:r w:rsidR="003C40A1">
        <w:rPr>
          <w:lang w:val="en-CA"/>
        </w:rPr>
        <w:t xml:space="preserve">delayed </w:t>
      </w:r>
      <w:r w:rsidR="00FE2EDC" w:rsidRPr="002A198E">
        <w:rPr>
          <w:lang w:val="en-CA"/>
        </w:rPr>
        <w:t xml:space="preserve">pending </w:t>
      </w:r>
      <w:r w:rsidRPr="002A198E">
        <w:rPr>
          <w:lang w:val="en-CA"/>
        </w:rPr>
        <w:t xml:space="preserve">public education. </w:t>
      </w:r>
      <w:r w:rsidR="00470DC8">
        <w:rPr>
          <w:lang w:val="en-CA"/>
        </w:rPr>
        <w:t>C</w:t>
      </w:r>
      <w:r w:rsidRPr="002A198E">
        <w:rPr>
          <w:lang w:val="en-CA"/>
        </w:rPr>
        <w:t>an</w:t>
      </w:r>
      <w:r w:rsidR="00470DC8">
        <w:rPr>
          <w:lang w:val="en-CA"/>
        </w:rPr>
        <w:t>ada</w:t>
      </w:r>
      <w:r w:rsidRPr="002A198E">
        <w:rPr>
          <w:lang w:val="en-CA"/>
        </w:rPr>
        <w:t xml:space="preserve"> is long past the point when large </w:t>
      </w:r>
      <w:r w:rsidR="002A3F94" w:rsidRPr="002A198E">
        <w:rPr>
          <w:lang w:val="en-CA"/>
        </w:rPr>
        <w:t xml:space="preserve">federally regulated </w:t>
      </w:r>
      <w:r w:rsidRPr="002A198E">
        <w:rPr>
          <w:lang w:val="en-CA"/>
        </w:rPr>
        <w:t xml:space="preserve">organizations </w:t>
      </w:r>
      <w:r w:rsidR="002A3F94" w:rsidRPr="002A198E">
        <w:rPr>
          <w:lang w:val="en-CA"/>
        </w:rPr>
        <w:t xml:space="preserve">such as </w:t>
      </w:r>
      <w:r w:rsidRPr="002A198E">
        <w:rPr>
          <w:lang w:val="en-CA"/>
        </w:rPr>
        <w:t xml:space="preserve">the </w:t>
      </w:r>
      <w:r w:rsidR="002A3F94" w:rsidRPr="002A198E">
        <w:rPr>
          <w:lang w:val="en-CA"/>
        </w:rPr>
        <w:t xml:space="preserve">Federal Public Service, </w:t>
      </w:r>
      <w:r w:rsidR="00470DC8">
        <w:rPr>
          <w:lang w:val="en-CA"/>
        </w:rPr>
        <w:t>b</w:t>
      </w:r>
      <w:r w:rsidRPr="002A198E">
        <w:rPr>
          <w:lang w:val="en-CA"/>
        </w:rPr>
        <w:t>anks, Via</w:t>
      </w:r>
      <w:r w:rsidR="00470DC8">
        <w:rPr>
          <w:lang w:val="en-CA"/>
        </w:rPr>
        <w:t xml:space="preserve"> </w:t>
      </w:r>
      <w:r w:rsidR="002A3F94" w:rsidRPr="002A198E">
        <w:rPr>
          <w:lang w:val="en-CA"/>
        </w:rPr>
        <w:t>R</w:t>
      </w:r>
      <w:r w:rsidRPr="002A198E">
        <w:rPr>
          <w:lang w:val="en-CA"/>
        </w:rPr>
        <w:t xml:space="preserve">ail, </w:t>
      </w:r>
      <w:r w:rsidR="002A3F94" w:rsidRPr="002A198E">
        <w:rPr>
          <w:lang w:val="en-CA"/>
        </w:rPr>
        <w:t xml:space="preserve">major </w:t>
      </w:r>
      <w:r w:rsidRPr="002A198E">
        <w:rPr>
          <w:lang w:val="en-CA"/>
        </w:rPr>
        <w:t>airlines</w:t>
      </w:r>
      <w:r w:rsidR="002A198E" w:rsidRPr="002A198E">
        <w:rPr>
          <w:lang w:val="en-CA"/>
        </w:rPr>
        <w:t xml:space="preserve"> </w:t>
      </w:r>
      <w:r w:rsidR="002A3F94" w:rsidRPr="002A198E">
        <w:rPr>
          <w:lang w:val="en-CA"/>
        </w:rPr>
        <w:t xml:space="preserve">or telecommunication companies like Bell Canada or </w:t>
      </w:r>
      <w:r w:rsidR="00470DC8">
        <w:rPr>
          <w:lang w:val="en-CA"/>
        </w:rPr>
        <w:t>R</w:t>
      </w:r>
      <w:r w:rsidR="002A3F94" w:rsidRPr="002A198E">
        <w:rPr>
          <w:lang w:val="en-CA"/>
        </w:rPr>
        <w:t xml:space="preserve">ogers </w:t>
      </w:r>
      <w:r w:rsidR="00470DC8">
        <w:rPr>
          <w:lang w:val="en-CA"/>
        </w:rPr>
        <w:t>C</w:t>
      </w:r>
      <w:r w:rsidR="002A3F94" w:rsidRPr="002A198E">
        <w:rPr>
          <w:lang w:val="en-CA"/>
        </w:rPr>
        <w:t xml:space="preserve">ommunication </w:t>
      </w:r>
      <w:r w:rsidRPr="002A198E">
        <w:rPr>
          <w:lang w:val="en-CA"/>
        </w:rPr>
        <w:t xml:space="preserve">should be treated as newcomers to </w:t>
      </w:r>
      <w:r w:rsidR="002A3F94" w:rsidRPr="002A198E">
        <w:rPr>
          <w:lang w:val="en-CA"/>
        </w:rPr>
        <w:t xml:space="preserve">accessibility. </w:t>
      </w:r>
    </w:p>
    <w:p w14:paraId="40685633" w14:textId="77777777" w:rsidR="004B4634" w:rsidRPr="002A198E" w:rsidRDefault="004B4634" w:rsidP="002A198E">
      <w:pPr>
        <w:widowControl w:val="0"/>
        <w:rPr>
          <w:lang w:val="en-CA"/>
        </w:rPr>
      </w:pPr>
    </w:p>
    <w:p w14:paraId="7DBFC07C" w14:textId="146F4FD8" w:rsidR="003312AD" w:rsidRDefault="00F24F38" w:rsidP="002A198E">
      <w:pPr>
        <w:widowControl w:val="0"/>
        <w:rPr>
          <w:lang w:val="en-CA"/>
        </w:rPr>
      </w:pPr>
      <w:r w:rsidRPr="002A198E">
        <w:rPr>
          <w:lang w:val="en-CA"/>
        </w:rPr>
        <w:t>T</w:t>
      </w:r>
      <w:r w:rsidR="004B4634" w:rsidRPr="002A198E">
        <w:rPr>
          <w:lang w:val="en-CA"/>
        </w:rPr>
        <w:t xml:space="preserve">he </w:t>
      </w:r>
      <w:r w:rsidR="00AA1932">
        <w:rPr>
          <w:lang w:val="en-CA"/>
        </w:rPr>
        <w:t xml:space="preserve">CDA </w:t>
      </w:r>
      <w:r w:rsidRPr="002A198E">
        <w:rPr>
          <w:lang w:val="en-CA"/>
        </w:rPr>
        <w:t xml:space="preserve">should </w:t>
      </w:r>
      <w:r w:rsidR="00DC13B8">
        <w:rPr>
          <w:lang w:val="en-CA"/>
        </w:rPr>
        <w:t xml:space="preserve">require </w:t>
      </w:r>
      <w:r w:rsidR="002812F9">
        <w:rPr>
          <w:lang w:val="en-CA"/>
        </w:rPr>
        <w:t>the Federal G</w:t>
      </w:r>
      <w:r w:rsidR="004B4634" w:rsidRPr="002A198E">
        <w:rPr>
          <w:lang w:val="en-CA"/>
        </w:rPr>
        <w:t xml:space="preserve">overnment to establish a centre to provide </w:t>
      </w:r>
      <w:r w:rsidRPr="002A198E">
        <w:rPr>
          <w:lang w:val="en-CA"/>
        </w:rPr>
        <w:t xml:space="preserve">educational support </w:t>
      </w:r>
      <w:r w:rsidR="004B4634" w:rsidRPr="002A198E">
        <w:rPr>
          <w:lang w:val="en-CA"/>
        </w:rPr>
        <w:t xml:space="preserve">to the public, </w:t>
      </w:r>
      <w:r w:rsidRPr="002A198E">
        <w:rPr>
          <w:lang w:val="en-CA"/>
        </w:rPr>
        <w:t xml:space="preserve">including </w:t>
      </w:r>
      <w:r w:rsidR="004B4634" w:rsidRPr="002A198E">
        <w:rPr>
          <w:lang w:val="en-CA"/>
        </w:rPr>
        <w:t xml:space="preserve">obligated organizations, </w:t>
      </w:r>
      <w:r w:rsidRPr="002A198E">
        <w:rPr>
          <w:lang w:val="en-CA"/>
        </w:rPr>
        <w:t xml:space="preserve">such as </w:t>
      </w:r>
      <w:r w:rsidR="004B4634" w:rsidRPr="002A198E">
        <w:rPr>
          <w:lang w:val="en-CA"/>
        </w:rPr>
        <w:t xml:space="preserve">technical </w:t>
      </w:r>
      <w:r w:rsidRPr="002A198E">
        <w:rPr>
          <w:lang w:val="en-CA"/>
        </w:rPr>
        <w:t xml:space="preserve">accessibility </w:t>
      </w:r>
      <w:r w:rsidR="00940E82" w:rsidRPr="002A198E">
        <w:rPr>
          <w:lang w:val="en-CA"/>
        </w:rPr>
        <w:lastRenderedPageBreak/>
        <w:t xml:space="preserve">compliance </w:t>
      </w:r>
      <w:r w:rsidRPr="002A198E">
        <w:rPr>
          <w:lang w:val="en-CA"/>
        </w:rPr>
        <w:t xml:space="preserve">information. </w:t>
      </w:r>
      <w:r w:rsidR="00940E82" w:rsidRPr="002A198E">
        <w:rPr>
          <w:lang w:val="en-CA"/>
        </w:rPr>
        <w:t xml:space="preserve">It should </w:t>
      </w:r>
      <w:r w:rsidR="002812F9">
        <w:rPr>
          <w:lang w:val="en-CA"/>
        </w:rPr>
        <w:t>mandate the Federal G</w:t>
      </w:r>
      <w:r w:rsidR="004B4634" w:rsidRPr="002A198E">
        <w:rPr>
          <w:lang w:val="en-CA"/>
        </w:rPr>
        <w:t xml:space="preserve">overnment to issue policy guidelines or directives that give organizations </w:t>
      </w:r>
      <w:r w:rsidR="008C5C0B">
        <w:rPr>
          <w:lang w:val="en-CA"/>
        </w:rPr>
        <w:t xml:space="preserve">specific </w:t>
      </w:r>
      <w:r w:rsidR="004B4634" w:rsidRPr="002A198E">
        <w:rPr>
          <w:lang w:val="en-CA"/>
        </w:rPr>
        <w:t>direction on their obligations</w:t>
      </w:r>
      <w:r w:rsidR="00186E1B">
        <w:rPr>
          <w:lang w:val="en-CA"/>
        </w:rPr>
        <w:t>,</w:t>
      </w:r>
      <w:r w:rsidR="004B4634" w:rsidRPr="002A198E">
        <w:rPr>
          <w:lang w:val="en-CA"/>
        </w:rPr>
        <w:t xml:space="preserve"> beyond that spelled out in </w:t>
      </w:r>
      <w:r w:rsidR="00DC13B8">
        <w:rPr>
          <w:lang w:val="en-CA"/>
        </w:rPr>
        <w:t xml:space="preserve">CDA </w:t>
      </w:r>
      <w:r w:rsidR="004B4634" w:rsidRPr="002A198E">
        <w:rPr>
          <w:lang w:val="en-CA"/>
        </w:rPr>
        <w:t xml:space="preserve">accessibility standards. </w:t>
      </w:r>
      <w:r w:rsidR="00940E82" w:rsidRPr="002A198E">
        <w:rPr>
          <w:lang w:val="en-CA"/>
        </w:rPr>
        <w:t xml:space="preserve">This </w:t>
      </w:r>
      <w:r w:rsidR="00DC13B8">
        <w:rPr>
          <w:lang w:val="en-CA"/>
        </w:rPr>
        <w:t xml:space="preserve">makes </w:t>
      </w:r>
      <w:r w:rsidR="00940E82" w:rsidRPr="002A198E">
        <w:rPr>
          <w:lang w:val="en-CA"/>
        </w:rPr>
        <w:t>it easier for organizations to comply</w:t>
      </w:r>
      <w:r w:rsidR="00F32B46">
        <w:rPr>
          <w:lang w:val="en-CA"/>
        </w:rPr>
        <w:t>. It</w:t>
      </w:r>
      <w:r w:rsidR="00940E82" w:rsidRPr="002A198E">
        <w:rPr>
          <w:lang w:val="en-CA"/>
        </w:rPr>
        <w:t xml:space="preserve"> reduce</w:t>
      </w:r>
      <w:r w:rsidR="00DC13B8">
        <w:rPr>
          <w:lang w:val="en-CA"/>
        </w:rPr>
        <w:t>s</w:t>
      </w:r>
      <w:r w:rsidR="00940E82" w:rsidRPr="002A198E">
        <w:rPr>
          <w:lang w:val="en-CA"/>
        </w:rPr>
        <w:t xml:space="preserve"> their </w:t>
      </w:r>
      <w:r w:rsidR="00E1768D" w:rsidRPr="002A198E">
        <w:rPr>
          <w:lang w:val="en-CA"/>
        </w:rPr>
        <w:t>cost</w:t>
      </w:r>
      <w:r w:rsidR="00940E82" w:rsidRPr="002A198E">
        <w:rPr>
          <w:lang w:val="en-CA"/>
        </w:rPr>
        <w:t>.</w:t>
      </w:r>
      <w:r w:rsidR="00FE777D">
        <w:rPr>
          <w:lang w:val="en-CA"/>
        </w:rPr>
        <w:t xml:space="preserve"> </w:t>
      </w:r>
    </w:p>
    <w:p w14:paraId="40484CB5" w14:textId="77777777" w:rsidR="003312AD" w:rsidRDefault="003312AD" w:rsidP="002A198E">
      <w:pPr>
        <w:widowControl w:val="0"/>
        <w:rPr>
          <w:lang w:val="en-CA"/>
        </w:rPr>
      </w:pPr>
    </w:p>
    <w:p w14:paraId="30B398BE" w14:textId="77777777" w:rsidR="00940E82" w:rsidRPr="002A198E" w:rsidRDefault="00FE777D" w:rsidP="002A198E">
      <w:pPr>
        <w:widowControl w:val="0"/>
        <w:rPr>
          <w:lang w:val="en-CA"/>
        </w:rPr>
      </w:pPr>
      <w:r>
        <w:rPr>
          <w:lang w:val="en-CA"/>
        </w:rPr>
        <w:t>Provinces and territories should be invited to opt into this national service. For example, a national "Job Accommodat</w:t>
      </w:r>
      <w:r w:rsidR="003312AD">
        <w:rPr>
          <w:lang w:val="en-CA"/>
        </w:rPr>
        <w:t>i</w:t>
      </w:r>
      <w:r>
        <w:rPr>
          <w:lang w:val="en-CA"/>
        </w:rPr>
        <w:t>on Network", modelled after the successful U.S. service bearing that name,</w:t>
      </w:r>
      <w:r w:rsidR="00601013">
        <w:rPr>
          <w:rStyle w:val="EndnoteReference"/>
          <w:lang w:val="en-CA"/>
        </w:rPr>
        <w:endnoteReference w:id="78"/>
      </w:r>
      <w:r>
        <w:rPr>
          <w:lang w:val="en-CA"/>
        </w:rPr>
        <w:t xml:space="preserve"> could help employers and employees in the federal sphere</w:t>
      </w:r>
      <w:r w:rsidR="00895368">
        <w:rPr>
          <w:lang w:val="en-CA"/>
        </w:rPr>
        <w:t>. It</w:t>
      </w:r>
      <w:r>
        <w:rPr>
          <w:lang w:val="en-CA"/>
        </w:rPr>
        <w:t xml:space="preserve"> could be opened up to those in </w:t>
      </w:r>
      <w:r w:rsidR="003312AD">
        <w:rPr>
          <w:lang w:val="en-CA"/>
        </w:rPr>
        <w:t>provincially-regulated organizations.</w:t>
      </w:r>
    </w:p>
    <w:p w14:paraId="74F77475" w14:textId="77777777" w:rsidR="00940E82" w:rsidRPr="002A198E" w:rsidRDefault="00940E82" w:rsidP="002A198E">
      <w:pPr>
        <w:widowControl w:val="0"/>
        <w:rPr>
          <w:lang w:val="en-CA"/>
        </w:rPr>
      </w:pPr>
    </w:p>
    <w:p w14:paraId="543B98A0" w14:textId="77777777" w:rsidR="004B4634" w:rsidRPr="002A198E" w:rsidRDefault="00F32B46" w:rsidP="002A198E">
      <w:pPr>
        <w:widowControl w:val="0"/>
        <w:rPr>
          <w:lang w:val="en-CA"/>
        </w:rPr>
      </w:pPr>
      <w:r>
        <w:rPr>
          <w:lang w:val="en-CA"/>
        </w:rPr>
        <w:t>F</w:t>
      </w:r>
      <w:r w:rsidR="003312AD">
        <w:rPr>
          <w:lang w:val="en-CA"/>
        </w:rPr>
        <w:t xml:space="preserve">ederal educational supports on accessibility must be </w:t>
      </w:r>
      <w:r w:rsidR="00FF0A0D">
        <w:rPr>
          <w:lang w:val="en-CA"/>
        </w:rPr>
        <w:t xml:space="preserve">provided </w:t>
      </w:r>
      <w:r w:rsidR="003312AD">
        <w:rPr>
          <w:lang w:val="en-CA"/>
        </w:rPr>
        <w:t xml:space="preserve">as a </w:t>
      </w:r>
      <w:r w:rsidR="00FF0A0D">
        <w:rPr>
          <w:lang w:val="en-CA"/>
        </w:rPr>
        <w:t>help</w:t>
      </w:r>
      <w:r w:rsidR="003312AD">
        <w:rPr>
          <w:lang w:val="en-CA"/>
        </w:rPr>
        <w:t xml:space="preserve">, not as an excuse for delaying federal implementation/enforcement action. </w:t>
      </w:r>
      <w:r w:rsidR="00032D3F">
        <w:rPr>
          <w:lang w:val="en-CA"/>
        </w:rPr>
        <w:t>T</w:t>
      </w:r>
      <w:r w:rsidR="004B4634" w:rsidRPr="002A198E">
        <w:rPr>
          <w:lang w:val="en-CA"/>
        </w:rPr>
        <w:t xml:space="preserve">he </w:t>
      </w:r>
      <w:r w:rsidR="00032D3F">
        <w:rPr>
          <w:lang w:val="en-CA"/>
        </w:rPr>
        <w:t xml:space="preserve">CDA </w:t>
      </w:r>
      <w:r w:rsidR="000E6BDC">
        <w:rPr>
          <w:lang w:val="en-CA"/>
        </w:rPr>
        <w:t xml:space="preserve">shouldn't </w:t>
      </w:r>
      <w:r w:rsidR="004B4634" w:rsidRPr="002A198E">
        <w:rPr>
          <w:lang w:val="en-CA"/>
        </w:rPr>
        <w:t xml:space="preserve">proceed on </w:t>
      </w:r>
      <w:r w:rsidR="00940E82" w:rsidRPr="002A198E">
        <w:rPr>
          <w:lang w:val="en-CA"/>
        </w:rPr>
        <w:t xml:space="preserve">a wrong-headed </w:t>
      </w:r>
      <w:r w:rsidR="004B4634" w:rsidRPr="002A198E">
        <w:rPr>
          <w:lang w:val="en-CA"/>
        </w:rPr>
        <w:t xml:space="preserve">basis that until an </w:t>
      </w:r>
      <w:r w:rsidR="00940E82" w:rsidRPr="002A198E">
        <w:rPr>
          <w:lang w:val="en-CA"/>
        </w:rPr>
        <w:t xml:space="preserve">obligated </w:t>
      </w:r>
      <w:r w:rsidR="004B4634" w:rsidRPr="002A198E">
        <w:rPr>
          <w:lang w:val="en-CA"/>
        </w:rPr>
        <w:t xml:space="preserve">organization </w:t>
      </w:r>
      <w:r w:rsidR="004831A7">
        <w:rPr>
          <w:lang w:val="en-CA"/>
        </w:rPr>
        <w:t xml:space="preserve">is </w:t>
      </w:r>
      <w:r w:rsidR="004B4634" w:rsidRPr="002A198E">
        <w:rPr>
          <w:lang w:val="en-CA"/>
        </w:rPr>
        <w:t xml:space="preserve">federally educated on its </w:t>
      </w:r>
      <w:r w:rsidR="00940E82" w:rsidRPr="002A198E">
        <w:rPr>
          <w:lang w:val="en-CA"/>
        </w:rPr>
        <w:t xml:space="preserve">accessibility </w:t>
      </w:r>
      <w:r w:rsidR="004B4634" w:rsidRPr="002A198E">
        <w:rPr>
          <w:lang w:val="en-CA"/>
        </w:rPr>
        <w:t xml:space="preserve">obligations, </w:t>
      </w:r>
      <w:r w:rsidR="00940E82" w:rsidRPr="002A198E">
        <w:rPr>
          <w:lang w:val="en-CA"/>
        </w:rPr>
        <w:t>it</w:t>
      </w:r>
      <w:r w:rsidR="004B4634" w:rsidRPr="002A198E">
        <w:rPr>
          <w:lang w:val="en-CA"/>
        </w:rPr>
        <w:t xml:space="preserve"> is not expected to comply</w:t>
      </w:r>
      <w:r w:rsidR="0044486F" w:rsidRPr="002A198E">
        <w:rPr>
          <w:lang w:val="en-CA"/>
        </w:rPr>
        <w:t xml:space="preserve"> and </w:t>
      </w:r>
      <w:r w:rsidR="00EB109F">
        <w:rPr>
          <w:lang w:val="en-CA"/>
        </w:rPr>
        <w:t xml:space="preserve">won't </w:t>
      </w:r>
      <w:r w:rsidR="0044486F" w:rsidRPr="002A198E">
        <w:rPr>
          <w:lang w:val="en-CA"/>
        </w:rPr>
        <w:t>face enforcement</w:t>
      </w:r>
      <w:r w:rsidR="004B4634" w:rsidRPr="002A198E">
        <w:rPr>
          <w:lang w:val="en-CA"/>
        </w:rPr>
        <w:t xml:space="preserve">. The </w:t>
      </w:r>
      <w:r w:rsidR="00411022">
        <w:rPr>
          <w:lang w:val="en-CA"/>
        </w:rPr>
        <w:t xml:space="preserve">CDA </w:t>
      </w:r>
      <w:r w:rsidR="004B4634" w:rsidRPr="002A198E">
        <w:rPr>
          <w:lang w:val="en-CA"/>
        </w:rPr>
        <w:t xml:space="preserve">will implement </w:t>
      </w:r>
      <w:r w:rsidR="0044486F" w:rsidRPr="002A198E">
        <w:rPr>
          <w:lang w:val="en-CA"/>
        </w:rPr>
        <w:t xml:space="preserve">accessibility duties </w:t>
      </w:r>
      <w:r w:rsidR="004B4634" w:rsidRPr="002A198E">
        <w:rPr>
          <w:lang w:val="en-CA"/>
        </w:rPr>
        <w:t xml:space="preserve">which </w:t>
      </w:r>
      <w:r w:rsidR="0044486F" w:rsidRPr="002A198E">
        <w:rPr>
          <w:lang w:val="en-CA"/>
        </w:rPr>
        <w:t xml:space="preserve">the </w:t>
      </w:r>
      <w:r w:rsidR="0044486F" w:rsidRPr="002812F9">
        <w:rPr>
          <w:i/>
          <w:lang w:val="en-CA"/>
        </w:rPr>
        <w:t>Canada Human Rights Act</w:t>
      </w:r>
      <w:r w:rsidR="0044486F" w:rsidRPr="002A198E">
        <w:rPr>
          <w:lang w:val="en-CA"/>
        </w:rPr>
        <w:t xml:space="preserve"> and, in the case of the public sector, the </w:t>
      </w:r>
      <w:r w:rsidR="00470DC8">
        <w:rPr>
          <w:lang w:val="en-CA"/>
        </w:rPr>
        <w:t>C</w:t>
      </w:r>
      <w:r w:rsidR="0044486F" w:rsidRPr="002A198E">
        <w:rPr>
          <w:lang w:val="en-CA"/>
        </w:rPr>
        <w:t xml:space="preserve">harter have imposed </w:t>
      </w:r>
      <w:r w:rsidR="004B4634" w:rsidRPr="002A198E">
        <w:rPr>
          <w:lang w:val="en-CA"/>
        </w:rPr>
        <w:t xml:space="preserve">for a third of a century. </w:t>
      </w:r>
    </w:p>
    <w:p w14:paraId="0D5B102A" w14:textId="77777777" w:rsidR="002462CD" w:rsidRDefault="002462CD" w:rsidP="00540735"/>
    <w:p w14:paraId="7987CD28" w14:textId="77777777" w:rsidR="00540735" w:rsidRDefault="00540735" w:rsidP="00540735">
      <w:r>
        <w:t xml:space="preserve">The Federal Government's </w:t>
      </w:r>
      <w:r w:rsidR="004831A7">
        <w:t xml:space="preserve">CDA consultation </w:t>
      </w:r>
      <w:r>
        <w:t xml:space="preserve">Discussion Guide </w:t>
      </w:r>
      <w:r w:rsidR="00B220EF">
        <w:t xml:space="preserve">addresses </w:t>
      </w:r>
      <w:r>
        <w:t>goals of "raising awareness" and "changing attitudes" on accessibility. For example, it asks:</w:t>
      </w:r>
    </w:p>
    <w:p w14:paraId="69D676AF" w14:textId="77777777" w:rsidR="00540735" w:rsidRDefault="00540735" w:rsidP="00540735"/>
    <w:p w14:paraId="6393FADA" w14:textId="53B77621" w:rsidR="00540735" w:rsidRDefault="002812F9" w:rsidP="00B220EF">
      <w:pPr>
        <w:ind w:left="720" w:right="720"/>
      </w:pPr>
      <w:r>
        <w:t>"</w:t>
      </w:r>
      <w:r w:rsidR="00540735">
        <w:t>How can the Government of Canada raise awareness of and change attitudes</w:t>
      </w:r>
      <w:r w:rsidR="00455EE1">
        <w:t xml:space="preserve"> </w:t>
      </w:r>
      <w:r w:rsidR="00540735">
        <w:t>in relation to accessibility (in the short term and long term)?"</w:t>
      </w:r>
    </w:p>
    <w:p w14:paraId="3F0B70E3" w14:textId="77777777" w:rsidR="00540735" w:rsidRDefault="00540735" w:rsidP="00540735"/>
    <w:p w14:paraId="34F67953" w14:textId="522FA718" w:rsidR="00540735" w:rsidRDefault="00B64544" w:rsidP="00540735">
      <w:r>
        <w:t xml:space="preserve">Setting "raising </w:t>
      </w:r>
      <w:r w:rsidR="00540735">
        <w:t>awareness</w:t>
      </w:r>
      <w:r>
        <w:t>"</w:t>
      </w:r>
      <w:r w:rsidR="00540735">
        <w:t xml:space="preserve"> and </w:t>
      </w:r>
      <w:r>
        <w:t>"</w:t>
      </w:r>
      <w:r w:rsidR="00540735">
        <w:t>chang</w:t>
      </w:r>
      <w:r>
        <w:t>ing</w:t>
      </w:r>
      <w:r w:rsidR="00540735">
        <w:t xml:space="preserve"> attitudes</w:t>
      </w:r>
      <w:r>
        <w:t xml:space="preserve">" as </w:t>
      </w:r>
      <w:r w:rsidR="004831A7">
        <w:t xml:space="preserve">CDA </w:t>
      </w:r>
      <w:r w:rsidR="0071214D">
        <w:t xml:space="preserve">goals </w:t>
      </w:r>
      <w:r w:rsidR="00540735">
        <w:t xml:space="preserve">can </w:t>
      </w:r>
      <w:r w:rsidR="000A6A27">
        <w:t xml:space="preserve">delay and </w:t>
      </w:r>
      <w:r w:rsidR="00540735">
        <w:t xml:space="preserve">side-track needed regulatory </w:t>
      </w:r>
      <w:r>
        <w:t xml:space="preserve">accessibility </w:t>
      </w:r>
      <w:r w:rsidR="00540735">
        <w:t xml:space="preserve">efforts. The CDA should </w:t>
      </w:r>
      <w:r w:rsidR="00EF3779">
        <w:t xml:space="preserve">instead </w:t>
      </w:r>
      <w:r w:rsidR="00540735">
        <w:t xml:space="preserve">focus on changing organizational </w:t>
      </w:r>
      <w:r w:rsidR="00540735" w:rsidRPr="00FF4420">
        <w:rPr>
          <w:i/>
        </w:rPr>
        <w:t>action</w:t>
      </w:r>
      <w:r w:rsidR="00540735">
        <w:t xml:space="preserve"> on accessibility. </w:t>
      </w:r>
      <w:r w:rsidR="00CD24B6">
        <w:t>A</w:t>
      </w:r>
      <w:r w:rsidR="00540735">
        <w:t xml:space="preserve">wareness changes will </w:t>
      </w:r>
      <w:r w:rsidR="00CD24B6">
        <w:t xml:space="preserve">flow </w:t>
      </w:r>
      <w:r w:rsidR="00540735">
        <w:t>from the</w:t>
      </w:r>
      <w:r w:rsidR="00CD24B6">
        <w:t>se</w:t>
      </w:r>
      <w:r w:rsidR="00540735">
        <w:t xml:space="preserve"> changes in </w:t>
      </w:r>
      <w:r w:rsidR="00540735" w:rsidRPr="004831A7">
        <w:rPr>
          <w:i/>
        </w:rPr>
        <w:t>action</w:t>
      </w:r>
      <w:r w:rsidR="00540735">
        <w:t xml:space="preserve">. </w:t>
      </w:r>
    </w:p>
    <w:p w14:paraId="6E993C37" w14:textId="77777777" w:rsidR="00540735" w:rsidRDefault="00540735" w:rsidP="00540735"/>
    <w:p w14:paraId="07A80CBC" w14:textId="77777777" w:rsidR="00540735" w:rsidRDefault="00540735" w:rsidP="00540735">
      <w:r>
        <w:t xml:space="preserve">It </w:t>
      </w:r>
      <w:r w:rsidR="004831A7">
        <w:t xml:space="preserve">is </w:t>
      </w:r>
      <w:r>
        <w:t xml:space="preserve">proven </w:t>
      </w:r>
      <w:r w:rsidR="00EC7E1E">
        <w:t xml:space="preserve">largely </w:t>
      </w:r>
      <w:r>
        <w:t xml:space="preserve">ineffective to aim to first raise awareness and change attitudes, in the hope that from this, an organization's actions on accessibility </w:t>
      </w:r>
      <w:r w:rsidR="000A6C4D">
        <w:t>eventually improve</w:t>
      </w:r>
      <w:r>
        <w:t xml:space="preserve">. </w:t>
      </w:r>
      <w:r w:rsidR="004831A7">
        <w:t>O</w:t>
      </w:r>
      <w:r>
        <w:t xml:space="preserve">ften, </w:t>
      </w:r>
      <w:r w:rsidR="00FF4420">
        <w:t xml:space="preserve">too </w:t>
      </w:r>
      <w:r w:rsidR="00443946">
        <w:t xml:space="preserve">little if any action </w:t>
      </w:r>
      <w:r w:rsidR="000A6C4D">
        <w:t xml:space="preserve">thereby </w:t>
      </w:r>
      <w:r>
        <w:t xml:space="preserve">changes. If a manager's awareness is raised, this accomplishes little, if they </w:t>
      </w:r>
      <w:r w:rsidR="00443946">
        <w:t xml:space="preserve">then </w:t>
      </w:r>
      <w:r>
        <w:t>shuffle to another job</w:t>
      </w:r>
      <w:r w:rsidR="000A6C4D">
        <w:t>, or if they lack the unique organizational impetus that comes from enforced detailed legal requirements</w:t>
      </w:r>
      <w:r>
        <w:t xml:space="preserve">. </w:t>
      </w:r>
      <w:r w:rsidR="00F454DD">
        <w:t>A</w:t>
      </w:r>
      <w:r>
        <w:t xml:space="preserve"> strong, effectively enforced accessibility law is itself the most effective way to change action on accessibility, and thereby, to change attitudes </w:t>
      </w:r>
      <w:r w:rsidR="004831A7">
        <w:t xml:space="preserve">towards </w:t>
      </w:r>
      <w:r>
        <w:t xml:space="preserve">accessibility. </w:t>
      </w:r>
    </w:p>
    <w:p w14:paraId="54FD3A6C" w14:textId="77777777" w:rsidR="004B4634" w:rsidRDefault="004B4634" w:rsidP="002A198E">
      <w:pPr>
        <w:widowControl w:val="0"/>
        <w:rPr>
          <w:lang w:val="en-CA"/>
        </w:rPr>
      </w:pPr>
    </w:p>
    <w:p w14:paraId="11B72EEF" w14:textId="77777777" w:rsidR="004B4634" w:rsidRPr="002A198E" w:rsidRDefault="00FF0A0D" w:rsidP="002A198E">
      <w:pPr>
        <w:pStyle w:val="Heading2"/>
        <w:keepNext w:val="0"/>
        <w:keepLines w:val="0"/>
        <w:widowControl w:val="0"/>
        <w:spacing w:before="0"/>
        <w:rPr>
          <w:lang w:val="en-CA"/>
        </w:rPr>
      </w:pPr>
      <w:bookmarkStart w:id="30" w:name="_Toc319660897"/>
      <w:bookmarkStart w:id="31" w:name="OLE_LINK49"/>
      <w:bookmarkStart w:id="32" w:name="OLE_LINK50"/>
      <w:r>
        <w:rPr>
          <w:lang w:val="en-CA"/>
        </w:rPr>
        <w:t>s</w:t>
      </w:r>
      <w:r w:rsidR="00BA4303" w:rsidRPr="002A198E">
        <w:rPr>
          <w:lang w:val="en-CA"/>
        </w:rPr>
        <w:t xml:space="preserve">) </w:t>
      </w:r>
      <w:r w:rsidR="004B4634" w:rsidRPr="002A198E">
        <w:rPr>
          <w:lang w:val="en-CA"/>
        </w:rPr>
        <w:t>Assisting and Encouraging Provincial and Territorial Governments to Enact Comprehe</w:t>
      </w:r>
      <w:r w:rsidR="00C3435B" w:rsidRPr="002A198E">
        <w:rPr>
          <w:lang w:val="en-CA"/>
        </w:rPr>
        <w:t>n</w:t>
      </w:r>
      <w:r w:rsidR="004B4634" w:rsidRPr="002A198E">
        <w:rPr>
          <w:lang w:val="en-CA"/>
        </w:rPr>
        <w:t>sive Accessibility Legislation</w:t>
      </w:r>
      <w:bookmarkEnd w:id="30"/>
    </w:p>
    <w:bookmarkEnd w:id="31"/>
    <w:bookmarkEnd w:id="32"/>
    <w:p w14:paraId="3B90374E" w14:textId="77777777" w:rsidR="004B4634" w:rsidRPr="002A198E" w:rsidRDefault="004B4634" w:rsidP="002A198E">
      <w:pPr>
        <w:widowControl w:val="0"/>
        <w:rPr>
          <w:lang w:val="en-CA"/>
        </w:rPr>
      </w:pPr>
    </w:p>
    <w:p w14:paraId="26A672D2" w14:textId="77777777" w:rsidR="003D23AB" w:rsidRDefault="003D23AB" w:rsidP="003D23AB">
      <w:pPr>
        <w:widowControl w:val="0"/>
        <w:rPr>
          <w:lang w:val="en-CA"/>
        </w:rPr>
      </w:pPr>
      <w:r>
        <w:rPr>
          <w:lang w:val="en-CA"/>
        </w:rPr>
        <w:t xml:space="preserve">Many accessibility barriers </w:t>
      </w:r>
      <w:r w:rsidR="00884179">
        <w:rPr>
          <w:lang w:val="en-CA"/>
        </w:rPr>
        <w:t xml:space="preserve">are </w:t>
      </w:r>
      <w:r>
        <w:rPr>
          <w:lang w:val="en-CA"/>
        </w:rPr>
        <w:t xml:space="preserve">within provincial jurisdiction. Parliament's </w:t>
      </w:r>
      <w:r w:rsidR="006C2221" w:rsidRPr="002A198E">
        <w:rPr>
          <w:lang w:val="en-CA"/>
        </w:rPr>
        <w:t>reach is narrower than the US Congress which pass</w:t>
      </w:r>
      <w:r w:rsidR="00470DC8">
        <w:rPr>
          <w:lang w:val="en-CA"/>
        </w:rPr>
        <w:t>ed</w:t>
      </w:r>
      <w:r w:rsidR="006C2221" w:rsidRPr="002A198E">
        <w:rPr>
          <w:lang w:val="en-CA"/>
        </w:rPr>
        <w:t xml:space="preserve"> the Americans with </w:t>
      </w:r>
      <w:r w:rsidR="00470DC8">
        <w:rPr>
          <w:lang w:val="en-CA"/>
        </w:rPr>
        <w:t>D</w:t>
      </w:r>
      <w:r w:rsidR="006C2221" w:rsidRPr="002A198E">
        <w:rPr>
          <w:lang w:val="en-CA"/>
        </w:rPr>
        <w:t xml:space="preserve">isabilities </w:t>
      </w:r>
      <w:r w:rsidR="00470DC8">
        <w:rPr>
          <w:lang w:val="en-CA"/>
        </w:rPr>
        <w:t>A</w:t>
      </w:r>
      <w:r w:rsidR="006C2221" w:rsidRPr="002A198E">
        <w:rPr>
          <w:lang w:val="en-CA"/>
        </w:rPr>
        <w:t xml:space="preserve">ct. </w:t>
      </w:r>
    </w:p>
    <w:p w14:paraId="5A8FA0B4" w14:textId="77777777" w:rsidR="003D23AB" w:rsidRDefault="003D23AB" w:rsidP="003D23AB">
      <w:pPr>
        <w:widowControl w:val="0"/>
        <w:rPr>
          <w:lang w:val="en-CA"/>
        </w:rPr>
      </w:pPr>
    </w:p>
    <w:p w14:paraId="5314FEFE" w14:textId="02E47DB8" w:rsidR="00475547" w:rsidRDefault="00475547" w:rsidP="002A198E">
      <w:pPr>
        <w:widowControl w:val="0"/>
        <w:rPr>
          <w:lang w:val="en-CA"/>
        </w:rPr>
      </w:pPr>
      <w:r>
        <w:rPr>
          <w:lang w:val="en-CA"/>
        </w:rPr>
        <w:t xml:space="preserve">However, the CDA should not be limited to achieving accessibility </w:t>
      </w:r>
      <w:r w:rsidR="002812F9">
        <w:rPr>
          <w:lang w:val="en-CA"/>
        </w:rPr>
        <w:t xml:space="preserve">only </w:t>
      </w:r>
      <w:r>
        <w:rPr>
          <w:lang w:val="en-CA"/>
        </w:rPr>
        <w:t xml:space="preserve">in federally regulated organizations. </w:t>
      </w:r>
      <w:r w:rsidR="003D23AB">
        <w:rPr>
          <w:lang w:val="en-CA"/>
        </w:rPr>
        <w:t xml:space="preserve">The CDA should </w:t>
      </w:r>
      <w:r>
        <w:rPr>
          <w:lang w:val="en-CA"/>
        </w:rPr>
        <w:t xml:space="preserve">also </w:t>
      </w:r>
      <w:r w:rsidR="002812F9">
        <w:rPr>
          <w:lang w:val="en-CA"/>
        </w:rPr>
        <w:t>require the F</w:t>
      </w:r>
      <w:r w:rsidR="003D23AB">
        <w:rPr>
          <w:lang w:val="en-CA"/>
        </w:rPr>
        <w:t>ederal</w:t>
      </w:r>
      <w:r w:rsidR="002812F9">
        <w:rPr>
          <w:lang w:val="en-CA"/>
        </w:rPr>
        <w:t xml:space="preserve"> G</w:t>
      </w:r>
      <w:r w:rsidR="003D23AB">
        <w:rPr>
          <w:lang w:val="en-CA"/>
        </w:rPr>
        <w:t xml:space="preserve">overnment to </w:t>
      </w:r>
      <w:r>
        <w:rPr>
          <w:lang w:val="en-CA"/>
        </w:rPr>
        <w:t xml:space="preserve">address </w:t>
      </w:r>
      <w:r w:rsidR="003D23AB">
        <w:rPr>
          <w:lang w:val="en-CA"/>
        </w:rPr>
        <w:t xml:space="preserve">the removal and prevention of provincially-regulated barriers, while fully respecting </w:t>
      </w:r>
      <w:r w:rsidR="00E56671">
        <w:rPr>
          <w:lang w:val="en-CA"/>
        </w:rPr>
        <w:t xml:space="preserve">provincial </w:t>
      </w:r>
      <w:r w:rsidR="003D23AB">
        <w:rPr>
          <w:lang w:val="en-CA"/>
        </w:rPr>
        <w:t>authority.</w:t>
      </w:r>
      <w:r w:rsidR="0014005C">
        <w:rPr>
          <w:lang w:val="en-CA"/>
        </w:rPr>
        <w:t xml:space="preserve"> </w:t>
      </w:r>
      <w:r w:rsidR="006C2221" w:rsidRPr="002A198E">
        <w:rPr>
          <w:lang w:val="en-CA"/>
        </w:rPr>
        <w:t xml:space="preserve">Only when all </w:t>
      </w:r>
      <w:r w:rsidR="00704EC9">
        <w:rPr>
          <w:lang w:val="en-CA"/>
        </w:rPr>
        <w:t xml:space="preserve">Canadian </w:t>
      </w:r>
      <w:r w:rsidR="006C2221" w:rsidRPr="002A198E">
        <w:rPr>
          <w:lang w:val="en-CA"/>
        </w:rPr>
        <w:t xml:space="preserve">jurisdictions </w:t>
      </w:r>
      <w:r w:rsidR="00704EC9">
        <w:rPr>
          <w:lang w:val="en-CA"/>
        </w:rPr>
        <w:t xml:space="preserve">enact </w:t>
      </w:r>
      <w:r w:rsidR="00612CED">
        <w:rPr>
          <w:lang w:val="en-CA"/>
        </w:rPr>
        <w:t xml:space="preserve">and enforce </w:t>
      </w:r>
      <w:r w:rsidR="006C2221" w:rsidRPr="002A198E">
        <w:rPr>
          <w:lang w:val="en-CA"/>
        </w:rPr>
        <w:t xml:space="preserve">strong accessibility legislation can </w:t>
      </w:r>
      <w:r w:rsidR="00A03B54">
        <w:rPr>
          <w:lang w:val="en-CA"/>
        </w:rPr>
        <w:t xml:space="preserve">all </w:t>
      </w:r>
      <w:r w:rsidR="006C2221" w:rsidRPr="002A198E">
        <w:rPr>
          <w:lang w:val="en-CA"/>
        </w:rPr>
        <w:t xml:space="preserve">people </w:t>
      </w:r>
      <w:r w:rsidR="006C2221" w:rsidRPr="002A198E">
        <w:rPr>
          <w:lang w:val="en-CA"/>
        </w:rPr>
        <w:lastRenderedPageBreak/>
        <w:t xml:space="preserve">with disabilities be assured that Canada </w:t>
      </w:r>
      <w:r w:rsidR="00612CED">
        <w:rPr>
          <w:lang w:val="en-CA"/>
        </w:rPr>
        <w:t xml:space="preserve">will reach </w:t>
      </w:r>
      <w:r w:rsidR="006C2221" w:rsidRPr="002A198E">
        <w:rPr>
          <w:lang w:val="en-CA"/>
        </w:rPr>
        <w:t>full accessibility</w:t>
      </w:r>
      <w:r w:rsidR="00F06310">
        <w:rPr>
          <w:lang w:val="en-CA"/>
        </w:rPr>
        <w:t xml:space="preserve">. </w:t>
      </w:r>
    </w:p>
    <w:p w14:paraId="67873BCD" w14:textId="77777777" w:rsidR="00475547" w:rsidRDefault="00475547" w:rsidP="002A198E">
      <w:pPr>
        <w:widowControl w:val="0"/>
        <w:rPr>
          <w:lang w:val="en-CA"/>
        </w:rPr>
      </w:pPr>
    </w:p>
    <w:p w14:paraId="4A0E0608" w14:textId="41389203" w:rsidR="004B4634" w:rsidRPr="002A198E" w:rsidRDefault="002812F9" w:rsidP="002A198E">
      <w:pPr>
        <w:widowControl w:val="0"/>
        <w:rPr>
          <w:lang w:val="en-CA"/>
        </w:rPr>
      </w:pPr>
      <w:r>
        <w:rPr>
          <w:lang w:val="en-CA"/>
        </w:rPr>
        <w:t>The Federal G</w:t>
      </w:r>
      <w:r w:rsidR="00F12FF5" w:rsidRPr="002A198E">
        <w:rPr>
          <w:lang w:val="en-CA"/>
        </w:rPr>
        <w:t xml:space="preserve">overnment can assist by encouraging all provinces to pass accessibility legislation within their </w:t>
      </w:r>
      <w:r w:rsidR="00F70475" w:rsidRPr="002A198E">
        <w:rPr>
          <w:lang w:val="en-CA"/>
        </w:rPr>
        <w:t>mandates. Barrier</w:t>
      </w:r>
      <w:r w:rsidR="004B4634" w:rsidRPr="002A198E">
        <w:rPr>
          <w:lang w:val="en-CA"/>
        </w:rPr>
        <w:t>-Free Canada’s 14 Principles for the Canadians with Disabilities Act include:</w:t>
      </w:r>
    </w:p>
    <w:p w14:paraId="170A4397" w14:textId="77777777" w:rsidR="004B4634" w:rsidRPr="002A198E" w:rsidRDefault="004B4634" w:rsidP="002A198E">
      <w:pPr>
        <w:widowControl w:val="0"/>
        <w:rPr>
          <w:lang w:val="en-CA"/>
        </w:rPr>
      </w:pPr>
    </w:p>
    <w:p w14:paraId="7FCFB3CB" w14:textId="77777777" w:rsidR="004B4634" w:rsidRPr="002A198E" w:rsidRDefault="004B4634" w:rsidP="00470DC8">
      <w:pPr>
        <w:widowControl w:val="0"/>
        <w:ind w:left="720" w:right="720"/>
        <w:rPr>
          <w:lang w:val="en-CA"/>
        </w:rPr>
      </w:pPr>
      <w:r w:rsidRPr="002A198E">
        <w:rPr>
          <w:lang w:val="en-CA"/>
        </w:rPr>
        <w:t>“13. The Canadians with Disabilities Act should require the Government of Canada to encourage all provincial governments to pass disability accessibility legislation to help ensure that barriers impeding persons with disabilities are removed and prevented throughout Canada and to convene a federal/provincial conference to that end, which will include representatives of persons with disabilities across Canada.”</w:t>
      </w:r>
    </w:p>
    <w:p w14:paraId="5E317EEF" w14:textId="77777777" w:rsidR="004B4634" w:rsidRPr="002A198E" w:rsidRDefault="004B4634" w:rsidP="002A198E">
      <w:pPr>
        <w:widowControl w:val="0"/>
        <w:rPr>
          <w:lang w:val="en-CA"/>
        </w:rPr>
      </w:pPr>
    </w:p>
    <w:p w14:paraId="2BDF9155" w14:textId="5AE50AB7" w:rsidR="00831800" w:rsidRPr="002A198E" w:rsidRDefault="00870E4F" w:rsidP="002A198E">
      <w:pPr>
        <w:widowControl w:val="0"/>
        <w:rPr>
          <w:lang w:val="en-CA"/>
        </w:rPr>
      </w:pPr>
      <w:r>
        <w:rPr>
          <w:lang w:val="en-CA"/>
        </w:rPr>
        <w:t>Federal e</w:t>
      </w:r>
      <w:r w:rsidR="004B4634" w:rsidRPr="002A198E">
        <w:rPr>
          <w:lang w:val="en-CA"/>
        </w:rPr>
        <w:t>ffort</w:t>
      </w:r>
      <w:r>
        <w:rPr>
          <w:lang w:val="en-CA"/>
        </w:rPr>
        <w:t>s</w:t>
      </w:r>
      <w:r w:rsidR="004B4634" w:rsidRPr="002A198E">
        <w:rPr>
          <w:lang w:val="en-CA"/>
        </w:rPr>
        <w:t xml:space="preserve"> at harmonizing </w:t>
      </w:r>
      <w:r w:rsidR="00AF0E4D">
        <w:rPr>
          <w:lang w:val="en-CA"/>
        </w:rPr>
        <w:t xml:space="preserve">accessibility laws </w:t>
      </w:r>
      <w:r w:rsidR="004B4634" w:rsidRPr="002A198E">
        <w:rPr>
          <w:lang w:val="en-CA"/>
        </w:rPr>
        <w:t>across Canada should</w:t>
      </w:r>
      <w:r w:rsidR="00344A44">
        <w:rPr>
          <w:lang w:val="en-CA"/>
        </w:rPr>
        <w:t xml:space="preserve"> </w:t>
      </w:r>
      <w:r w:rsidR="004B4634" w:rsidRPr="002A198E">
        <w:rPr>
          <w:lang w:val="en-CA"/>
        </w:rPr>
        <w:t xml:space="preserve">encourage all provinces </w:t>
      </w:r>
      <w:r w:rsidR="00076DEE" w:rsidRPr="002A198E">
        <w:rPr>
          <w:lang w:val="en-CA"/>
        </w:rPr>
        <w:t xml:space="preserve">and </w:t>
      </w:r>
      <w:r w:rsidR="00E1768D" w:rsidRPr="002A198E">
        <w:rPr>
          <w:lang w:val="en-CA"/>
        </w:rPr>
        <w:t>territories</w:t>
      </w:r>
      <w:r w:rsidR="00076DEE" w:rsidRPr="002A198E">
        <w:rPr>
          <w:lang w:val="en-CA"/>
        </w:rPr>
        <w:t xml:space="preserve">, and all organizations </w:t>
      </w:r>
      <w:r w:rsidR="004B4634" w:rsidRPr="002A198E">
        <w:rPr>
          <w:lang w:val="en-CA"/>
        </w:rPr>
        <w:t xml:space="preserve">to rise to the full accessibility standard set by all human </w:t>
      </w:r>
      <w:r w:rsidR="00E1768D" w:rsidRPr="002A198E">
        <w:rPr>
          <w:lang w:val="en-CA"/>
        </w:rPr>
        <w:t>rights legislation</w:t>
      </w:r>
      <w:r w:rsidR="004B4634" w:rsidRPr="002A198E">
        <w:rPr>
          <w:lang w:val="en-CA"/>
        </w:rPr>
        <w:t xml:space="preserve"> across Canada</w:t>
      </w:r>
      <w:r w:rsidR="00076DEE" w:rsidRPr="002A198E">
        <w:rPr>
          <w:lang w:val="en-CA"/>
        </w:rPr>
        <w:t xml:space="preserve">, and by the </w:t>
      </w:r>
      <w:r w:rsidR="00076DEE" w:rsidRPr="002321B2">
        <w:rPr>
          <w:i/>
          <w:lang w:val="en-CA"/>
        </w:rPr>
        <w:t>Charter</w:t>
      </w:r>
      <w:r w:rsidR="004B4634" w:rsidRPr="002A198E">
        <w:rPr>
          <w:lang w:val="en-CA"/>
        </w:rPr>
        <w:t>.</w:t>
      </w:r>
      <w:r w:rsidR="00AF0E4D">
        <w:rPr>
          <w:lang w:val="en-CA"/>
        </w:rPr>
        <w:t xml:space="preserve"> </w:t>
      </w:r>
      <w:r w:rsidR="004B4634" w:rsidRPr="002A198E">
        <w:rPr>
          <w:lang w:val="en-CA"/>
        </w:rPr>
        <w:t xml:space="preserve">This </w:t>
      </w:r>
      <w:r w:rsidR="00B75BB1">
        <w:rPr>
          <w:lang w:val="en-CA"/>
        </w:rPr>
        <w:t xml:space="preserve">doesn't </w:t>
      </w:r>
      <w:r w:rsidR="004B4634" w:rsidRPr="002A198E">
        <w:rPr>
          <w:lang w:val="en-CA"/>
        </w:rPr>
        <w:t xml:space="preserve">exceed federal </w:t>
      </w:r>
      <w:r w:rsidR="00B75BB1">
        <w:rPr>
          <w:lang w:val="en-CA"/>
        </w:rPr>
        <w:t>authority</w:t>
      </w:r>
      <w:r w:rsidR="004B4634" w:rsidRPr="002A198E">
        <w:rPr>
          <w:lang w:val="en-CA"/>
        </w:rPr>
        <w:t xml:space="preserve">. </w:t>
      </w:r>
      <w:r w:rsidR="00831800" w:rsidRPr="002A198E">
        <w:rPr>
          <w:lang w:val="en-CA"/>
        </w:rPr>
        <w:t xml:space="preserve">Each province </w:t>
      </w:r>
      <w:r w:rsidR="00203FC8">
        <w:rPr>
          <w:lang w:val="en-CA"/>
        </w:rPr>
        <w:t xml:space="preserve">would </w:t>
      </w:r>
      <w:r w:rsidR="00831800" w:rsidRPr="002A198E">
        <w:rPr>
          <w:lang w:val="en-CA"/>
        </w:rPr>
        <w:t xml:space="preserve">remain free to </w:t>
      </w:r>
      <w:r w:rsidR="004B4634" w:rsidRPr="002A198E">
        <w:rPr>
          <w:lang w:val="en-CA"/>
        </w:rPr>
        <w:t xml:space="preserve">decide </w:t>
      </w:r>
      <w:r w:rsidR="00831800" w:rsidRPr="002A198E">
        <w:rPr>
          <w:lang w:val="en-CA"/>
        </w:rPr>
        <w:t>if it will enact a provincial accessibility law</w:t>
      </w:r>
      <w:r w:rsidR="0015064A">
        <w:rPr>
          <w:lang w:val="en-CA"/>
        </w:rPr>
        <w:t xml:space="preserve">, and </w:t>
      </w:r>
      <w:r w:rsidR="00831800" w:rsidRPr="002A198E">
        <w:rPr>
          <w:lang w:val="en-CA"/>
        </w:rPr>
        <w:t xml:space="preserve">what </w:t>
      </w:r>
      <w:r w:rsidR="00D765C3">
        <w:rPr>
          <w:lang w:val="en-CA"/>
        </w:rPr>
        <w:t>it will include.</w:t>
      </w:r>
      <w:r w:rsidR="00831800" w:rsidRPr="002A198E">
        <w:rPr>
          <w:lang w:val="en-CA"/>
        </w:rPr>
        <w:t xml:space="preserve"> </w:t>
      </w:r>
    </w:p>
    <w:p w14:paraId="3AD7430B" w14:textId="77777777" w:rsidR="00831800" w:rsidRPr="002A198E" w:rsidRDefault="00831800" w:rsidP="002A198E">
      <w:pPr>
        <w:widowControl w:val="0"/>
        <w:rPr>
          <w:lang w:val="en-CA"/>
        </w:rPr>
      </w:pPr>
    </w:p>
    <w:p w14:paraId="6F33DCAD" w14:textId="77777777" w:rsidR="004B4634" w:rsidRPr="002A198E" w:rsidRDefault="0070233A" w:rsidP="002A198E">
      <w:pPr>
        <w:widowControl w:val="0"/>
        <w:rPr>
          <w:lang w:val="en-CA"/>
        </w:rPr>
      </w:pPr>
      <w:r>
        <w:rPr>
          <w:lang w:val="en-CA"/>
        </w:rPr>
        <w:t xml:space="preserve">When </w:t>
      </w:r>
      <w:r w:rsidR="004B4634" w:rsidRPr="002A198E">
        <w:rPr>
          <w:lang w:val="en-CA"/>
        </w:rPr>
        <w:t>more provincial</w:t>
      </w:r>
      <w:r>
        <w:rPr>
          <w:lang w:val="en-CA"/>
        </w:rPr>
        <w:t>/</w:t>
      </w:r>
      <w:r w:rsidR="004B4634" w:rsidRPr="002A198E">
        <w:rPr>
          <w:lang w:val="en-CA"/>
        </w:rPr>
        <w:t xml:space="preserve">territorial governments pass </w:t>
      </w:r>
      <w:r w:rsidR="00C259E4">
        <w:rPr>
          <w:lang w:val="en-CA"/>
        </w:rPr>
        <w:t xml:space="preserve">and enforce </w:t>
      </w:r>
      <w:r w:rsidR="004B4634" w:rsidRPr="002A198E">
        <w:rPr>
          <w:lang w:val="en-CA"/>
        </w:rPr>
        <w:t>stron</w:t>
      </w:r>
      <w:r>
        <w:rPr>
          <w:lang w:val="en-CA"/>
        </w:rPr>
        <w:t>g</w:t>
      </w:r>
      <w:r w:rsidR="004B4634" w:rsidRPr="002A198E">
        <w:rPr>
          <w:lang w:val="en-CA"/>
        </w:rPr>
        <w:t xml:space="preserve"> accessibility legislation, </w:t>
      </w:r>
      <w:r>
        <w:rPr>
          <w:lang w:val="en-CA"/>
        </w:rPr>
        <w:t xml:space="preserve">more </w:t>
      </w:r>
      <w:r w:rsidR="004B4634" w:rsidRPr="002A198E">
        <w:rPr>
          <w:lang w:val="en-CA"/>
        </w:rPr>
        <w:t xml:space="preserve">organizations that do business </w:t>
      </w:r>
      <w:r w:rsidR="00672C38" w:rsidRPr="002A198E">
        <w:rPr>
          <w:lang w:val="en-CA"/>
        </w:rPr>
        <w:t xml:space="preserve">in </w:t>
      </w:r>
      <w:r w:rsidR="000F4CD8">
        <w:rPr>
          <w:lang w:val="en-CA"/>
        </w:rPr>
        <w:t xml:space="preserve">multiple </w:t>
      </w:r>
      <w:r w:rsidR="00672C38" w:rsidRPr="002A198E">
        <w:rPr>
          <w:lang w:val="en-CA"/>
        </w:rPr>
        <w:t>province</w:t>
      </w:r>
      <w:r w:rsidR="000F4CD8">
        <w:rPr>
          <w:lang w:val="en-CA"/>
        </w:rPr>
        <w:t>s</w:t>
      </w:r>
      <w:r w:rsidR="00672C38" w:rsidRPr="002A198E">
        <w:rPr>
          <w:lang w:val="en-CA"/>
        </w:rPr>
        <w:t xml:space="preserve"> </w:t>
      </w:r>
      <w:r w:rsidR="004B4634" w:rsidRPr="002A198E">
        <w:rPr>
          <w:lang w:val="en-CA"/>
        </w:rPr>
        <w:t xml:space="preserve">will </w:t>
      </w:r>
      <w:r w:rsidR="000F4CD8">
        <w:rPr>
          <w:lang w:val="en-CA"/>
        </w:rPr>
        <w:t xml:space="preserve">meet </w:t>
      </w:r>
      <w:r w:rsidR="00FD799A" w:rsidRPr="002A198E">
        <w:rPr>
          <w:lang w:val="en-CA"/>
        </w:rPr>
        <w:t>their human rights</w:t>
      </w:r>
      <w:r w:rsidR="002A198E" w:rsidRPr="002A198E">
        <w:rPr>
          <w:lang w:val="en-CA"/>
        </w:rPr>
        <w:t xml:space="preserve"> </w:t>
      </w:r>
      <w:r w:rsidR="00FD799A" w:rsidRPr="002A198E">
        <w:rPr>
          <w:lang w:val="en-CA"/>
        </w:rPr>
        <w:t>accessibility duties</w:t>
      </w:r>
      <w:r w:rsidR="004B4634" w:rsidRPr="002A198E">
        <w:rPr>
          <w:lang w:val="en-CA"/>
        </w:rPr>
        <w:t xml:space="preserve">, even in provinces that have no accessibility legislation. </w:t>
      </w:r>
      <w:r w:rsidR="00672C38" w:rsidRPr="002A198E">
        <w:rPr>
          <w:lang w:val="en-CA"/>
        </w:rPr>
        <w:t xml:space="preserve">Voters in provinces with no provincial Disabilities Act will ask why theirs is a “Have Not” province, when it comes to accessibility. </w:t>
      </w:r>
    </w:p>
    <w:p w14:paraId="33A5D754" w14:textId="77777777" w:rsidR="004B4634" w:rsidRPr="002A198E" w:rsidRDefault="004B4634" w:rsidP="002A198E">
      <w:pPr>
        <w:widowControl w:val="0"/>
        <w:rPr>
          <w:lang w:val="en-CA"/>
        </w:rPr>
      </w:pPr>
    </w:p>
    <w:p w14:paraId="7C427C5E" w14:textId="3E02B98E" w:rsidR="001B340E" w:rsidRPr="002A198E" w:rsidRDefault="009F5965" w:rsidP="002A198E">
      <w:pPr>
        <w:widowControl w:val="0"/>
        <w:rPr>
          <w:lang w:val="en-CA"/>
        </w:rPr>
      </w:pPr>
      <w:r>
        <w:rPr>
          <w:lang w:val="en-CA"/>
        </w:rPr>
        <w:t>As well, b</w:t>
      </w:r>
      <w:r w:rsidR="001B340E" w:rsidRPr="002A198E">
        <w:rPr>
          <w:lang w:val="en-CA"/>
        </w:rPr>
        <w:t xml:space="preserve">eyond the </w:t>
      </w:r>
      <w:r w:rsidR="00827993">
        <w:rPr>
          <w:lang w:val="en-CA"/>
        </w:rPr>
        <w:t xml:space="preserve">CDA </w:t>
      </w:r>
      <w:r w:rsidR="001B340E" w:rsidRPr="002A198E">
        <w:rPr>
          <w:lang w:val="en-CA"/>
        </w:rPr>
        <w:t xml:space="preserve">accessibility standards </w:t>
      </w:r>
      <w:r w:rsidR="00827993">
        <w:rPr>
          <w:lang w:val="en-CA"/>
        </w:rPr>
        <w:t xml:space="preserve">described </w:t>
      </w:r>
      <w:r w:rsidR="001B340E" w:rsidRPr="002A198E">
        <w:rPr>
          <w:lang w:val="en-CA"/>
        </w:rPr>
        <w:t>above, t</w:t>
      </w:r>
      <w:r w:rsidR="004B4634" w:rsidRPr="002A198E">
        <w:rPr>
          <w:lang w:val="en-CA"/>
        </w:rPr>
        <w:t xml:space="preserve">he </w:t>
      </w:r>
      <w:r w:rsidR="00827993">
        <w:rPr>
          <w:lang w:val="en-CA"/>
        </w:rPr>
        <w:t xml:space="preserve">CDA </w:t>
      </w:r>
      <w:r w:rsidR="004B4634" w:rsidRPr="002A198E">
        <w:rPr>
          <w:lang w:val="en-CA"/>
        </w:rPr>
        <w:t xml:space="preserve">should mandate the federal government to develop model </w:t>
      </w:r>
      <w:r w:rsidR="00203FC8">
        <w:rPr>
          <w:lang w:val="en-CA"/>
        </w:rPr>
        <w:t xml:space="preserve">national </w:t>
      </w:r>
      <w:r w:rsidR="004B4634" w:rsidRPr="002A198E">
        <w:rPr>
          <w:lang w:val="en-CA"/>
        </w:rPr>
        <w:t xml:space="preserve">accessibility standards for </w:t>
      </w:r>
      <w:r w:rsidR="0029255A">
        <w:rPr>
          <w:lang w:val="en-CA"/>
        </w:rPr>
        <w:t xml:space="preserve">such </w:t>
      </w:r>
      <w:r w:rsidR="004B4634" w:rsidRPr="002A198E">
        <w:rPr>
          <w:lang w:val="en-CA"/>
        </w:rPr>
        <w:t xml:space="preserve">areas as education, health, employment, transportation, </w:t>
      </w:r>
      <w:r w:rsidR="006845B8" w:rsidRPr="002A198E">
        <w:rPr>
          <w:lang w:val="en-CA"/>
        </w:rPr>
        <w:t xml:space="preserve">residential housing, </w:t>
      </w:r>
      <w:r w:rsidR="004B4634" w:rsidRPr="002A198E">
        <w:rPr>
          <w:lang w:val="en-CA"/>
        </w:rPr>
        <w:t xml:space="preserve">information </w:t>
      </w:r>
      <w:r w:rsidR="006845B8" w:rsidRPr="002A198E">
        <w:rPr>
          <w:lang w:val="en-CA"/>
        </w:rPr>
        <w:t xml:space="preserve">and </w:t>
      </w:r>
      <w:r w:rsidR="004B4634" w:rsidRPr="002A198E">
        <w:rPr>
          <w:lang w:val="en-CA"/>
        </w:rPr>
        <w:t xml:space="preserve">communications, customer service, and the built environment. </w:t>
      </w:r>
      <w:r w:rsidR="001B340E" w:rsidRPr="002A198E">
        <w:rPr>
          <w:lang w:val="en-CA"/>
        </w:rPr>
        <w:t xml:space="preserve">These should aim to meet </w:t>
      </w:r>
      <w:r w:rsidR="0029255A">
        <w:rPr>
          <w:lang w:val="en-CA"/>
        </w:rPr>
        <w:t xml:space="preserve">accessibility </w:t>
      </w:r>
      <w:r w:rsidR="001B340E" w:rsidRPr="002A198E">
        <w:rPr>
          <w:lang w:val="en-CA"/>
        </w:rPr>
        <w:t xml:space="preserve">requirements in human rights legislation and the </w:t>
      </w:r>
      <w:r w:rsidR="00067A8E" w:rsidRPr="002321B2">
        <w:rPr>
          <w:i/>
          <w:lang w:val="en-CA"/>
        </w:rPr>
        <w:t>C</w:t>
      </w:r>
      <w:r w:rsidR="001B340E" w:rsidRPr="002321B2">
        <w:rPr>
          <w:i/>
          <w:lang w:val="en-CA"/>
        </w:rPr>
        <w:t>harter</w:t>
      </w:r>
      <w:r w:rsidR="001B340E" w:rsidRPr="002A198E">
        <w:rPr>
          <w:lang w:val="en-CA"/>
        </w:rPr>
        <w:t xml:space="preserve"> </w:t>
      </w:r>
      <w:r w:rsidR="001B340E" w:rsidRPr="002321B2">
        <w:rPr>
          <w:i/>
          <w:lang w:val="en-CA"/>
        </w:rPr>
        <w:t xml:space="preserve">of </w:t>
      </w:r>
      <w:r w:rsidR="00067A8E" w:rsidRPr="002321B2">
        <w:rPr>
          <w:i/>
          <w:lang w:val="en-CA"/>
        </w:rPr>
        <w:t>R</w:t>
      </w:r>
      <w:r w:rsidR="001B340E" w:rsidRPr="002321B2">
        <w:rPr>
          <w:i/>
          <w:lang w:val="en-CA"/>
        </w:rPr>
        <w:t>ights</w:t>
      </w:r>
      <w:r w:rsidR="001B340E" w:rsidRPr="002A198E">
        <w:rPr>
          <w:lang w:val="en-CA"/>
        </w:rPr>
        <w:t xml:space="preserve">. They should meet or exceed accessibility standards in force in any province. </w:t>
      </w:r>
      <w:r w:rsidR="00E55E43">
        <w:rPr>
          <w:lang w:val="en-CA"/>
        </w:rPr>
        <w:t>A</w:t>
      </w:r>
      <w:r w:rsidR="004B4634" w:rsidRPr="002A198E">
        <w:rPr>
          <w:lang w:val="en-CA"/>
        </w:rPr>
        <w:t xml:space="preserve"> provincial</w:t>
      </w:r>
      <w:r w:rsidR="00E55E43">
        <w:rPr>
          <w:lang w:val="en-CA"/>
        </w:rPr>
        <w:t>/</w:t>
      </w:r>
      <w:r w:rsidR="004B4634" w:rsidRPr="002A198E">
        <w:rPr>
          <w:lang w:val="en-CA"/>
        </w:rPr>
        <w:t xml:space="preserve">territorial government </w:t>
      </w:r>
      <w:r w:rsidR="00E55E43">
        <w:rPr>
          <w:lang w:val="en-CA"/>
        </w:rPr>
        <w:t xml:space="preserve">could </w:t>
      </w:r>
      <w:r w:rsidR="004B4634" w:rsidRPr="002A198E">
        <w:rPr>
          <w:lang w:val="en-CA"/>
        </w:rPr>
        <w:t>adopt</w:t>
      </w:r>
      <w:r>
        <w:rPr>
          <w:lang w:val="en-CA"/>
        </w:rPr>
        <w:t>,</w:t>
      </w:r>
      <w:r w:rsidR="004B4634" w:rsidRPr="002A198E">
        <w:rPr>
          <w:lang w:val="en-CA"/>
        </w:rPr>
        <w:t xml:space="preserve"> </w:t>
      </w:r>
      <w:r w:rsidR="00251A19">
        <w:rPr>
          <w:lang w:val="en-CA"/>
        </w:rPr>
        <w:t>as law</w:t>
      </w:r>
      <w:r>
        <w:rPr>
          <w:lang w:val="en-CA"/>
        </w:rPr>
        <w:t>,</w:t>
      </w:r>
      <w:r w:rsidR="00251A19">
        <w:rPr>
          <w:lang w:val="en-CA"/>
        </w:rPr>
        <w:t xml:space="preserve"> a </w:t>
      </w:r>
      <w:r w:rsidR="004B4634" w:rsidRPr="002A198E">
        <w:rPr>
          <w:lang w:val="en-CA"/>
        </w:rPr>
        <w:t>model national standard, as written</w:t>
      </w:r>
      <w:r>
        <w:rPr>
          <w:lang w:val="en-CA"/>
        </w:rPr>
        <w:t xml:space="preserve"> by the Federal Government</w:t>
      </w:r>
      <w:r w:rsidR="004B4634" w:rsidRPr="002A198E">
        <w:rPr>
          <w:lang w:val="en-CA"/>
        </w:rPr>
        <w:t xml:space="preserve">, or with modifications </w:t>
      </w:r>
      <w:r w:rsidR="00D02619">
        <w:rPr>
          <w:lang w:val="en-CA"/>
        </w:rPr>
        <w:t xml:space="preserve">that </w:t>
      </w:r>
      <w:r w:rsidR="004B4634" w:rsidRPr="002A198E">
        <w:rPr>
          <w:lang w:val="en-CA"/>
        </w:rPr>
        <w:t>the provincial</w:t>
      </w:r>
      <w:r w:rsidR="00251A19">
        <w:rPr>
          <w:lang w:val="en-CA"/>
        </w:rPr>
        <w:t>/</w:t>
      </w:r>
      <w:r w:rsidR="004B4634" w:rsidRPr="002A198E">
        <w:rPr>
          <w:lang w:val="en-CA"/>
        </w:rPr>
        <w:t xml:space="preserve">territorial government </w:t>
      </w:r>
      <w:r w:rsidR="00E55E43">
        <w:rPr>
          <w:lang w:val="en-CA"/>
        </w:rPr>
        <w:t xml:space="preserve">chooses. </w:t>
      </w:r>
    </w:p>
    <w:p w14:paraId="1DAA0D99" w14:textId="77777777" w:rsidR="001B340E" w:rsidRPr="002A198E" w:rsidRDefault="001B340E" w:rsidP="002A198E">
      <w:pPr>
        <w:widowControl w:val="0"/>
        <w:rPr>
          <w:lang w:val="en-CA"/>
        </w:rPr>
      </w:pPr>
    </w:p>
    <w:p w14:paraId="1FD86C58" w14:textId="77777777" w:rsidR="00CD704C" w:rsidRPr="002A198E" w:rsidRDefault="005844E6" w:rsidP="002A198E">
      <w:pPr>
        <w:widowControl w:val="0"/>
        <w:rPr>
          <w:lang w:val="en-CA"/>
        </w:rPr>
      </w:pPr>
      <w:r>
        <w:rPr>
          <w:lang w:val="en-CA"/>
        </w:rPr>
        <w:t>M</w:t>
      </w:r>
      <w:r w:rsidR="004B4634" w:rsidRPr="002A198E">
        <w:rPr>
          <w:lang w:val="en-CA"/>
        </w:rPr>
        <w:t xml:space="preserve">odel national accessibility standards serve important </w:t>
      </w:r>
      <w:r w:rsidR="00F70475" w:rsidRPr="002A198E">
        <w:rPr>
          <w:lang w:val="en-CA"/>
        </w:rPr>
        <w:t>objectives.</w:t>
      </w:r>
      <w:r w:rsidR="00F70475">
        <w:rPr>
          <w:lang w:val="en-CA"/>
        </w:rPr>
        <w:t xml:space="preserve"> </w:t>
      </w:r>
      <w:r w:rsidR="00F70475" w:rsidRPr="002A198E">
        <w:rPr>
          <w:lang w:val="en-CA"/>
        </w:rPr>
        <w:t>They</w:t>
      </w:r>
      <w:r w:rsidR="004B4634" w:rsidRPr="002A198E">
        <w:rPr>
          <w:lang w:val="en-CA"/>
        </w:rPr>
        <w:t xml:space="preserve"> provide an excellent resource for provinces </w:t>
      </w:r>
      <w:r w:rsidR="00142AB9">
        <w:rPr>
          <w:lang w:val="en-CA"/>
        </w:rPr>
        <w:t xml:space="preserve">that </w:t>
      </w:r>
      <w:r w:rsidR="004B4634" w:rsidRPr="002A198E">
        <w:rPr>
          <w:lang w:val="en-CA"/>
        </w:rPr>
        <w:t xml:space="preserve">have </w:t>
      </w:r>
      <w:r w:rsidR="00F504D3">
        <w:rPr>
          <w:lang w:val="en-CA"/>
        </w:rPr>
        <w:t xml:space="preserve">no </w:t>
      </w:r>
      <w:r w:rsidR="00067A8E">
        <w:rPr>
          <w:lang w:val="en-CA"/>
        </w:rPr>
        <w:t>d</w:t>
      </w:r>
      <w:r w:rsidR="00CD704C" w:rsidRPr="002A198E">
        <w:rPr>
          <w:lang w:val="en-CA"/>
        </w:rPr>
        <w:t xml:space="preserve">isabilities </w:t>
      </w:r>
      <w:r w:rsidR="004B4634" w:rsidRPr="002A198E">
        <w:rPr>
          <w:lang w:val="en-CA"/>
        </w:rPr>
        <w:t xml:space="preserve">act, or </w:t>
      </w:r>
      <w:r w:rsidR="00CD704C" w:rsidRPr="002A198E">
        <w:rPr>
          <w:lang w:val="en-CA"/>
        </w:rPr>
        <w:t xml:space="preserve">that </w:t>
      </w:r>
      <w:r w:rsidR="00142AB9">
        <w:rPr>
          <w:lang w:val="en-CA"/>
        </w:rPr>
        <w:t xml:space="preserve">haven't </w:t>
      </w:r>
      <w:r w:rsidR="00CD704C" w:rsidRPr="002A198E">
        <w:rPr>
          <w:lang w:val="en-CA"/>
        </w:rPr>
        <w:t>created accessibility standards in all these areas</w:t>
      </w:r>
      <w:r w:rsidR="00142AB9">
        <w:rPr>
          <w:lang w:val="en-CA"/>
        </w:rPr>
        <w:t xml:space="preserve">. </w:t>
      </w:r>
      <w:r w:rsidR="00022BA8">
        <w:rPr>
          <w:lang w:val="en-CA"/>
        </w:rPr>
        <w:t xml:space="preserve">Each is free to choose what, if anything, to adopt. </w:t>
      </w:r>
      <w:r w:rsidR="004B4634" w:rsidRPr="002A198E">
        <w:rPr>
          <w:lang w:val="en-CA"/>
        </w:rPr>
        <w:t xml:space="preserve">Smaller provinces could get a good head start on accessibility regulation, without </w:t>
      </w:r>
      <w:r w:rsidR="00FA3DBD">
        <w:rPr>
          <w:lang w:val="en-CA"/>
        </w:rPr>
        <w:t xml:space="preserve">having to </w:t>
      </w:r>
      <w:r w:rsidR="003E3D4A">
        <w:rPr>
          <w:lang w:val="en-CA"/>
        </w:rPr>
        <w:t xml:space="preserve">create </w:t>
      </w:r>
      <w:r w:rsidR="00577C50">
        <w:rPr>
          <w:lang w:val="en-CA"/>
        </w:rPr>
        <w:t xml:space="preserve">a </w:t>
      </w:r>
      <w:r w:rsidR="003E3D4A">
        <w:rPr>
          <w:lang w:val="en-CA"/>
        </w:rPr>
        <w:t xml:space="preserve">full </w:t>
      </w:r>
      <w:r w:rsidR="004B4634" w:rsidRPr="002A198E">
        <w:rPr>
          <w:lang w:val="en-CA"/>
        </w:rPr>
        <w:t xml:space="preserve">standards development process </w:t>
      </w:r>
      <w:r w:rsidR="00577C50">
        <w:rPr>
          <w:lang w:val="en-CA"/>
        </w:rPr>
        <w:t xml:space="preserve">like Ontario's. </w:t>
      </w:r>
    </w:p>
    <w:p w14:paraId="4CC12391" w14:textId="77777777" w:rsidR="00CD704C" w:rsidRPr="002A198E" w:rsidRDefault="00CD704C" w:rsidP="002A198E">
      <w:pPr>
        <w:widowControl w:val="0"/>
        <w:rPr>
          <w:lang w:val="en-CA"/>
        </w:rPr>
      </w:pPr>
    </w:p>
    <w:p w14:paraId="287E42FA" w14:textId="2A6AE726" w:rsidR="004B4634" w:rsidRPr="002A198E" w:rsidRDefault="00B86A7E" w:rsidP="002A198E">
      <w:pPr>
        <w:widowControl w:val="0"/>
        <w:rPr>
          <w:lang w:val="en-CA"/>
        </w:rPr>
      </w:pPr>
      <w:r>
        <w:rPr>
          <w:lang w:val="en-CA"/>
        </w:rPr>
        <w:t>M</w:t>
      </w:r>
      <w:r w:rsidR="004B4634" w:rsidRPr="002A198E">
        <w:rPr>
          <w:lang w:val="en-CA"/>
        </w:rPr>
        <w:t xml:space="preserve">odel national accessibility standards </w:t>
      </w:r>
      <w:r w:rsidR="00EB1359" w:rsidRPr="002A198E">
        <w:rPr>
          <w:lang w:val="en-CA"/>
        </w:rPr>
        <w:t xml:space="preserve">can </w:t>
      </w:r>
      <w:r w:rsidR="001D0A23" w:rsidRPr="002A198E">
        <w:rPr>
          <w:lang w:val="en-CA"/>
        </w:rPr>
        <w:t xml:space="preserve">help </w:t>
      </w:r>
      <w:r w:rsidR="001F54DD" w:rsidRPr="002A198E">
        <w:rPr>
          <w:lang w:val="en-CA"/>
        </w:rPr>
        <w:t xml:space="preserve">organizations </w:t>
      </w:r>
      <w:r w:rsidR="001D0A23" w:rsidRPr="002A198E">
        <w:rPr>
          <w:lang w:val="en-CA"/>
        </w:rPr>
        <w:t>operating in different parts of Canada</w:t>
      </w:r>
      <w:r w:rsidR="00D216E5" w:rsidRPr="002A198E">
        <w:rPr>
          <w:lang w:val="en-CA"/>
        </w:rPr>
        <w:t xml:space="preserve">. They </w:t>
      </w:r>
      <w:r w:rsidR="00E1768D" w:rsidRPr="002A198E">
        <w:rPr>
          <w:lang w:val="en-CA"/>
        </w:rPr>
        <w:t xml:space="preserve">now </w:t>
      </w:r>
      <w:r w:rsidR="001F54DD" w:rsidRPr="002A198E">
        <w:rPr>
          <w:lang w:val="en-CA"/>
        </w:rPr>
        <w:t xml:space="preserve">face </w:t>
      </w:r>
      <w:r w:rsidR="004B4634" w:rsidRPr="002A198E">
        <w:rPr>
          <w:lang w:val="en-CA"/>
        </w:rPr>
        <w:t xml:space="preserve">a patchwork of </w:t>
      </w:r>
      <w:r w:rsidR="00EB1359" w:rsidRPr="002A198E">
        <w:rPr>
          <w:lang w:val="en-CA"/>
        </w:rPr>
        <w:t xml:space="preserve">provincial </w:t>
      </w:r>
      <w:r w:rsidR="004B4634" w:rsidRPr="002A198E">
        <w:rPr>
          <w:lang w:val="en-CA"/>
        </w:rPr>
        <w:t xml:space="preserve">accessibility requirements. </w:t>
      </w:r>
      <w:r w:rsidR="001F54DD" w:rsidRPr="002A198E">
        <w:rPr>
          <w:lang w:val="en-CA"/>
        </w:rPr>
        <w:t xml:space="preserve">They prefer </w:t>
      </w:r>
      <w:r w:rsidR="00212EED">
        <w:rPr>
          <w:lang w:val="en-CA"/>
        </w:rPr>
        <w:t xml:space="preserve">to meet </w:t>
      </w:r>
      <w:r w:rsidR="004B4634" w:rsidRPr="002A198E">
        <w:rPr>
          <w:lang w:val="en-CA"/>
        </w:rPr>
        <w:t xml:space="preserve">one national </w:t>
      </w:r>
      <w:r w:rsidR="001F54DD" w:rsidRPr="002A198E">
        <w:rPr>
          <w:lang w:val="en-CA"/>
        </w:rPr>
        <w:t xml:space="preserve">accessibility </w:t>
      </w:r>
      <w:r w:rsidR="004B4634" w:rsidRPr="002A198E">
        <w:rPr>
          <w:lang w:val="en-CA"/>
        </w:rPr>
        <w:t>standard that</w:t>
      </w:r>
      <w:r w:rsidR="001F54DD" w:rsidRPr="002A198E">
        <w:rPr>
          <w:lang w:val="en-CA"/>
        </w:rPr>
        <w:t xml:space="preserve"> ensures that they </w:t>
      </w:r>
      <w:r w:rsidR="000B255E">
        <w:rPr>
          <w:lang w:val="en-CA"/>
        </w:rPr>
        <w:t xml:space="preserve">fulfil </w:t>
      </w:r>
      <w:r w:rsidR="001F54DD" w:rsidRPr="002A198E">
        <w:rPr>
          <w:lang w:val="en-CA"/>
        </w:rPr>
        <w:t xml:space="preserve">all provincial requirements. </w:t>
      </w:r>
      <w:r w:rsidR="004B4634" w:rsidRPr="002A198E">
        <w:rPr>
          <w:lang w:val="en-CA"/>
        </w:rPr>
        <w:t xml:space="preserve">That </w:t>
      </w:r>
      <w:r w:rsidR="001F54DD" w:rsidRPr="002A198E">
        <w:rPr>
          <w:lang w:val="en-CA"/>
        </w:rPr>
        <w:t xml:space="preserve">would </w:t>
      </w:r>
      <w:r w:rsidR="00D02619">
        <w:rPr>
          <w:lang w:val="en-CA"/>
        </w:rPr>
        <w:t xml:space="preserve">cause </w:t>
      </w:r>
      <w:r w:rsidR="001F54DD" w:rsidRPr="002A198E">
        <w:rPr>
          <w:lang w:val="en-CA"/>
        </w:rPr>
        <w:t xml:space="preserve">more accessibility across Canada, </w:t>
      </w:r>
      <w:r w:rsidR="00DE448E">
        <w:rPr>
          <w:lang w:val="en-CA"/>
        </w:rPr>
        <w:t xml:space="preserve">make </w:t>
      </w:r>
      <w:r w:rsidR="001F54DD" w:rsidRPr="002A198E">
        <w:rPr>
          <w:lang w:val="en-CA"/>
        </w:rPr>
        <w:t xml:space="preserve">compliance easier </w:t>
      </w:r>
      <w:r w:rsidR="00D17509" w:rsidRPr="002A198E">
        <w:rPr>
          <w:lang w:val="en-CA"/>
        </w:rPr>
        <w:t>and more</w:t>
      </w:r>
      <w:r w:rsidR="001F54DD" w:rsidRPr="002A198E">
        <w:rPr>
          <w:lang w:val="en-CA"/>
        </w:rPr>
        <w:t xml:space="preserve"> economical</w:t>
      </w:r>
      <w:r w:rsidR="00DE448E">
        <w:rPr>
          <w:lang w:val="en-CA"/>
        </w:rPr>
        <w:t xml:space="preserve">, and reduce </w:t>
      </w:r>
      <w:r w:rsidR="006149C3">
        <w:rPr>
          <w:lang w:val="en-CA"/>
        </w:rPr>
        <w:t xml:space="preserve">each government's </w:t>
      </w:r>
      <w:r w:rsidR="00DE448E">
        <w:rPr>
          <w:lang w:val="en-CA"/>
        </w:rPr>
        <w:t>regulatory costs</w:t>
      </w:r>
      <w:r w:rsidR="001F54DD" w:rsidRPr="002A198E">
        <w:rPr>
          <w:lang w:val="en-CA"/>
        </w:rPr>
        <w:t>.</w:t>
      </w:r>
      <w:r w:rsidR="000B255E">
        <w:rPr>
          <w:lang w:val="en-CA"/>
        </w:rPr>
        <w:t xml:space="preserve"> </w:t>
      </w:r>
      <w:r w:rsidR="00344915" w:rsidRPr="002A198E">
        <w:rPr>
          <w:lang w:val="en-CA"/>
        </w:rPr>
        <w:t xml:space="preserve">To achieve this, </w:t>
      </w:r>
      <w:r w:rsidR="00184A39">
        <w:rPr>
          <w:lang w:val="en-CA"/>
        </w:rPr>
        <w:t xml:space="preserve">a </w:t>
      </w:r>
      <w:r w:rsidR="00344915" w:rsidRPr="002A198E">
        <w:rPr>
          <w:lang w:val="en-CA"/>
        </w:rPr>
        <w:t xml:space="preserve">model accessibility standard must at least meet </w:t>
      </w:r>
      <w:r w:rsidR="00DE448E">
        <w:rPr>
          <w:lang w:val="en-CA"/>
        </w:rPr>
        <w:t xml:space="preserve">each province's </w:t>
      </w:r>
      <w:r w:rsidR="00344915" w:rsidRPr="002A198E">
        <w:rPr>
          <w:lang w:val="en-CA"/>
        </w:rPr>
        <w:t xml:space="preserve">accessibility requirements under </w:t>
      </w:r>
      <w:r w:rsidR="006149C3">
        <w:rPr>
          <w:lang w:val="en-CA"/>
        </w:rPr>
        <w:t xml:space="preserve">its </w:t>
      </w:r>
      <w:r w:rsidR="00344915" w:rsidRPr="002A198E">
        <w:rPr>
          <w:lang w:val="en-CA"/>
        </w:rPr>
        <w:lastRenderedPageBreak/>
        <w:t xml:space="preserve">Human Rights Code. </w:t>
      </w:r>
    </w:p>
    <w:p w14:paraId="0EDC275F" w14:textId="77777777" w:rsidR="004B4634" w:rsidRPr="002A198E" w:rsidRDefault="004B4634" w:rsidP="002A198E">
      <w:pPr>
        <w:widowControl w:val="0"/>
        <w:rPr>
          <w:lang w:val="en-CA"/>
        </w:rPr>
      </w:pPr>
    </w:p>
    <w:p w14:paraId="2EDF23FB" w14:textId="21AB9540" w:rsidR="004B4634" w:rsidRPr="002A198E" w:rsidRDefault="00D02619" w:rsidP="002A198E">
      <w:pPr>
        <w:pStyle w:val="Heading2"/>
        <w:keepNext w:val="0"/>
        <w:keepLines w:val="0"/>
        <w:widowControl w:val="0"/>
        <w:spacing w:before="0"/>
        <w:rPr>
          <w:lang w:val="en-CA"/>
        </w:rPr>
      </w:pPr>
      <w:bookmarkStart w:id="33" w:name="_Toc319660899"/>
      <w:bookmarkStart w:id="34" w:name="OLE_LINK53"/>
      <w:bookmarkStart w:id="35" w:name="OLE_LINK54"/>
      <w:r>
        <w:rPr>
          <w:lang w:val="en-CA"/>
        </w:rPr>
        <w:t>t</w:t>
      </w:r>
      <w:r w:rsidR="00577177" w:rsidRPr="002A198E">
        <w:rPr>
          <w:lang w:val="en-CA"/>
        </w:rPr>
        <w:t xml:space="preserve">) </w:t>
      </w:r>
      <w:r w:rsidR="002812F9">
        <w:rPr>
          <w:lang w:val="en-CA"/>
        </w:rPr>
        <w:t>Setting Timel</w:t>
      </w:r>
      <w:r w:rsidR="004B4634" w:rsidRPr="002A198E">
        <w:rPr>
          <w:lang w:val="en-CA"/>
        </w:rPr>
        <w:t>ines for Federal Government</w:t>
      </w:r>
      <w:r w:rsidR="00D124DF">
        <w:rPr>
          <w:lang w:val="en-CA"/>
        </w:rPr>
        <w:t xml:space="preserve">'s CDA Implementation </w:t>
      </w:r>
      <w:bookmarkEnd w:id="33"/>
    </w:p>
    <w:bookmarkEnd w:id="34"/>
    <w:bookmarkEnd w:id="35"/>
    <w:p w14:paraId="41741E10" w14:textId="77777777" w:rsidR="004B4634" w:rsidRPr="002A198E" w:rsidRDefault="004B4634" w:rsidP="002A198E">
      <w:pPr>
        <w:widowControl w:val="0"/>
        <w:rPr>
          <w:lang w:val="en-CA"/>
        </w:rPr>
      </w:pPr>
    </w:p>
    <w:p w14:paraId="1EB22966" w14:textId="0C6628AC" w:rsidR="002270D9" w:rsidRPr="002A198E" w:rsidRDefault="00C83011" w:rsidP="002A198E">
      <w:pPr>
        <w:widowControl w:val="0"/>
        <w:rPr>
          <w:lang w:val="en-CA"/>
        </w:rPr>
      </w:pPr>
      <w:r>
        <w:rPr>
          <w:lang w:val="en-CA"/>
        </w:rPr>
        <w:t>Long after Parliament’s attention temporarily focuses on enacting the CDA, this law should ensure effective progress by lead minister after l</w:t>
      </w:r>
      <w:r w:rsidR="002812F9">
        <w:rPr>
          <w:lang w:val="en-CA"/>
        </w:rPr>
        <w:t>ead minister, government after g</w:t>
      </w:r>
      <w:r>
        <w:rPr>
          <w:lang w:val="en-CA"/>
        </w:rPr>
        <w:t xml:space="preserve">overnment. </w:t>
      </w:r>
      <w:r w:rsidR="005D0D11">
        <w:rPr>
          <w:lang w:val="en-CA"/>
        </w:rPr>
        <w:t xml:space="preserve">According to </w:t>
      </w:r>
      <w:r>
        <w:rPr>
          <w:lang w:val="en-CA"/>
        </w:rPr>
        <w:t xml:space="preserve">the </w:t>
      </w:r>
      <w:r w:rsidR="005D0D11">
        <w:rPr>
          <w:lang w:val="en-CA"/>
        </w:rPr>
        <w:t>two AODA Independent Reviews, Ontario Government efforts on accessibility waned after politicians moved on to other issues.</w:t>
      </w:r>
      <w:r w:rsidR="00073B74">
        <w:rPr>
          <w:rStyle w:val="EndnoteReference"/>
          <w:lang w:val="en-CA"/>
        </w:rPr>
        <w:endnoteReference w:id="79"/>
      </w:r>
      <w:r w:rsidR="005D0D11">
        <w:rPr>
          <w:lang w:val="en-CA"/>
        </w:rPr>
        <w:t xml:space="preserve"> </w:t>
      </w:r>
    </w:p>
    <w:p w14:paraId="33EB02E0" w14:textId="77777777" w:rsidR="002270D9" w:rsidRPr="002A198E" w:rsidRDefault="002270D9" w:rsidP="002A198E">
      <w:pPr>
        <w:widowControl w:val="0"/>
        <w:rPr>
          <w:lang w:val="en-CA"/>
        </w:rPr>
      </w:pPr>
    </w:p>
    <w:p w14:paraId="59DA1687" w14:textId="40AD31DD" w:rsidR="002270D9" w:rsidRPr="002A198E" w:rsidRDefault="00F30966" w:rsidP="002A198E">
      <w:pPr>
        <w:widowControl w:val="0"/>
        <w:rPr>
          <w:lang w:val="en-CA"/>
        </w:rPr>
      </w:pPr>
      <w:r w:rsidRPr="002A198E">
        <w:rPr>
          <w:lang w:val="en-CA"/>
        </w:rPr>
        <w:t>T</w:t>
      </w:r>
      <w:r w:rsidR="004B4634" w:rsidRPr="002A198E">
        <w:rPr>
          <w:lang w:val="en-CA"/>
        </w:rPr>
        <w:t xml:space="preserve">he </w:t>
      </w:r>
      <w:r w:rsidR="00711448">
        <w:rPr>
          <w:lang w:val="en-CA"/>
        </w:rPr>
        <w:t xml:space="preserve">CDA </w:t>
      </w:r>
      <w:r w:rsidR="00422D13">
        <w:rPr>
          <w:lang w:val="en-CA"/>
        </w:rPr>
        <w:t xml:space="preserve">should </w:t>
      </w:r>
      <w:r w:rsidR="004B4634" w:rsidRPr="002A198E">
        <w:rPr>
          <w:lang w:val="en-CA"/>
        </w:rPr>
        <w:t xml:space="preserve">set mandatory timelines </w:t>
      </w:r>
      <w:r w:rsidR="00422D13">
        <w:rPr>
          <w:lang w:val="en-CA"/>
        </w:rPr>
        <w:t xml:space="preserve">for key </w:t>
      </w:r>
      <w:r w:rsidR="002812F9">
        <w:rPr>
          <w:lang w:val="en-CA"/>
        </w:rPr>
        <w:t>Federal G</w:t>
      </w:r>
      <w:r w:rsidR="004B4634" w:rsidRPr="002A198E">
        <w:rPr>
          <w:lang w:val="en-CA"/>
        </w:rPr>
        <w:t xml:space="preserve">overnment </w:t>
      </w:r>
      <w:r w:rsidR="005D0D11">
        <w:rPr>
          <w:lang w:val="en-CA"/>
        </w:rPr>
        <w:t xml:space="preserve">CDA </w:t>
      </w:r>
      <w:r w:rsidR="00422D13">
        <w:rPr>
          <w:lang w:val="en-CA"/>
        </w:rPr>
        <w:t>implementation/enforcement</w:t>
      </w:r>
      <w:r w:rsidR="00AA6D99">
        <w:rPr>
          <w:lang w:val="en-CA"/>
        </w:rPr>
        <w:t xml:space="preserve"> actions</w:t>
      </w:r>
      <w:r w:rsidR="00422D13">
        <w:rPr>
          <w:lang w:val="en-CA"/>
        </w:rPr>
        <w:t>.</w:t>
      </w:r>
      <w:r w:rsidR="005607F7" w:rsidRPr="002A198E">
        <w:rPr>
          <w:lang w:val="en-CA"/>
        </w:rPr>
        <w:t xml:space="preserve"> I</w:t>
      </w:r>
      <w:r w:rsidR="004B4634" w:rsidRPr="002A198E">
        <w:rPr>
          <w:lang w:val="en-CA"/>
        </w:rPr>
        <w:t>t should provide a mechanism for membe</w:t>
      </w:r>
      <w:r w:rsidR="002812F9">
        <w:rPr>
          <w:lang w:val="en-CA"/>
        </w:rPr>
        <w:t>rs of the public to compel the Federal G</w:t>
      </w:r>
      <w:r w:rsidR="004B4634" w:rsidRPr="002A198E">
        <w:rPr>
          <w:lang w:val="en-CA"/>
        </w:rPr>
        <w:t xml:space="preserve">overnment to meet </w:t>
      </w:r>
      <w:r w:rsidR="00206618">
        <w:rPr>
          <w:lang w:val="en-CA"/>
        </w:rPr>
        <w:t xml:space="preserve">unmet </w:t>
      </w:r>
      <w:r w:rsidR="004B4634" w:rsidRPr="002A198E">
        <w:rPr>
          <w:lang w:val="en-CA"/>
        </w:rPr>
        <w:t>timelines</w:t>
      </w:r>
      <w:r w:rsidR="00D114E1" w:rsidRPr="002A198E">
        <w:rPr>
          <w:lang w:val="en-CA"/>
        </w:rPr>
        <w:t xml:space="preserve">. </w:t>
      </w:r>
    </w:p>
    <w:p w14:paraId="1E9F1A01" w14:textId="77777777" w:rsidR="002270D9" w:rsidRPr="002A198E" w:rsidRDefault="002270D9" w:rsidP="002A198E">
      <w:pPr>
        <w:widowControl w:val="0"/>
        <w:rPr>
          <w:lang w:val="en-CA"/>
        </w:rPr>
      </w:pPr>
    </w:p>
    <w:p w14:paraId="58B54D7C" w14:textId="77777777" w:rsidR="004B4634" w:rsidRPr="002A198E" w:rsidRDefault="005D0D11" w:rsidP="002A198E">
      <w:pPr>
        <w:pStyle w:val="Heading2"/>
        <w:keepNext w:val="0"/>
        <w:keepLines w:val="0"/>
        <w:widowControl w:val="0"/>
        <w:spacing w:before="0"/>
        <w:rPr>
          <w:lang w:val="en-CA"/>
        </w:rPr>
      </w:pPr>
      <w:bookmarkStart w:id="36" w:name="_Toc319660900"/>
      <w:bookmarkStart w:id="37" w:name="OLE_LINK55"/>
      <w:bookmarkStart w:id="38" w:name="OLE_LINK56"/>
      <w:r>
        <w:rPr>
          <w:lang w:val="en-CA"/>
        </w:rPr>
        <w:t>u</w:t>
      </w:r>
      <w:r w:rsidR="00577177" w:rsidRPr="002A198E">
        <w:rPr>
          <w:lang w:val="en-CA"/>
        </w:rPr>
        <w:t xml:space="preserve">) </w:t>
      </w:r>
      <w:r w:rsidR="004B4634" w:rsidRPr="002A198E">
        <w:rPr>
          <w:lang w:val="en-CA"/>
        </w:rPr>
        <w:t xml:space="preserve">Requiring Periodic </w:t>
      </w:r>
      <w:r w:rsidR="00892159">
        <w:rPr>
          <w:lang w:val="en-CA"/>
        </w:rPr>
        <w:t xml:space="preserve">CDA </w:t>
      </w:r>
      <w:r w:rsidR="004B4634" w:rsidRPr="002A198E">
        <w:rPr>
          <w:lang w:val="en-CA"/>
        </w:rPr>
        <w:t xml:space="preserve">Independent Reviews </w:t>
      </w:r>
      <w:bookmarkEnd w:id="36"/>
    </w:p>
    <w:bookmarkEnd w:id="37"/>
    <w:bookmarkEnd w:id="38"/>
    <w:p w14:paraId="3E6A85EF" w14:textId="77777777" w:rsidR="004B4634" w:rsidRPr="002A198E" w:rsidRDefault="004B4634" w:rsidP="002A198E">
      <w:pPr>
        <w:widowControl w:val="0"/>
        <w:rPr>
          <w:lang w:val="en-CA"/>
        </w:rPr>
      </w:pPr>
    </w:p>
    <w:p w14:paraId="17A0ED48" w14:textId="5DEECD19" w:rsidR="000115C0" w:rsidRPr="002A198E" w:rsidRDefault="004B4634" w:rsidP="00EA306B">
      <w:pPr>
        <w:widowControl w:val="0"/>
        <w:rPr>
          <w:lang w:val="en-CA"/>
        </w:rPr>
      </w:pPr>
      <w:r w:rsidRPr="002A198E">
        <w:rPr>
          <w:lang w:val="en-CA"/>
        </w:rPr>
        <w:t xml:space="preserve">The </w:t>
      </w:r>
      <w:r w:rsidR="00BC6929">
        <w:rPr>
          <w:lang w:val="en-CA"/>
        </w:rPr>
        <w:t xml:space="preserve">CDA </w:t>
      </w:r>
      <w:r w:rsidRPr="002A198E">
        <w:rPr>
          <w:lang w:val="en-CA"/>
        </w:rPr>
        <w:t xml:space="preserve">should </w:t>
      </w:r>
      <w:r w:rsidR="00105785">
        <w:rPr>
          <w:lang w:val="en-CA"/>
        </w:rPr>
        <w:t xml:space="preserve">require the </w:t>
      </w:r>
      <w:r w:rsidR="002812F9">
        <w:rPr>
          <w:lang w:val="en-CA"/>
        </w:rPr>
        <w:t xml:space="preserve">Federal Government to appoint </w:t>
      </w:r>
      <w:r w:rsidR="00105785">
        <w:rPr>
          <w:lang w:val="en-CA"/>
        </w:rPr>
        <w:t xml:space="preserve">an Independent Review of progress under the CDA, </w:t>
      </w:r>
      <w:r w:rsidR="006F4595">
        <w:rPr>
          <w:lang w:val="en-CA"/>
        </w:rPr>
        <w:t xml:space="preserve">four years after the CDA's </w:t>
      </w:r>
      <w:r w:rsidR="00F70475">
        <w:rPr>
          <w:lang w:val="en-CA"/>
        </w:rPr>
        <w:t>enactment, and</w:t>
      </w:r>
      <w:r w:rsidR="006F4595">
        <w:rPr>
          <w:lang w:val="en-CA"/>
        </w:rPr>
        <w:t xml:space="preserve"> every three years after that. </w:t>
      </w:r>
      <w:r w:rsidR="00105785">
        <w:rPr>
          <w:lang w:val="en-CA"/>
        </w:rPr>
        <w:t xml:space="preserve">The Review should be required to </w:t>
      </w:r>
      <w:r w:rsidR="008316EC">
        <w:rPr>
          <w:lang w:val="en-CA"/>
        </w:rPr>
        <w:t xml:space="preserve">publicly </w:t>
      </w:r>
      <w:r w:rsidR="00105785">
        <w:rPr>
          <w:lang w:val="en-CA"/>
        </w:rPr>
        <w:t xml:space="preserve">consult (including with people with disabilities), report on sufficiency of progress on accessibility, and recommend needed improvements. </w:t>
      </w:r>
      <w:r w:rsidR="00EA306B">
        <w:rPr>
          <w:lang w:val="en-CA"/>
        </w:rPr>
        <w:t>The Review should be required to report within one year of its appointment.</w:t>
      </w:r>
      <w:r w:rsidR="00EA306B" w:rsidRPr="002A198E">
        <w:rPr>
          <w:lang w:val="en-CA"/>
        </w:rPr>
        <w:t xml:space="preserve"> </w:t>
      </w:r>
      <w:r w:rsidR="000115C0" w:rsidRPr="002A198E">
        <w:rPr>
          <w:lang w:val="en-CA"/>
        </w:rPr>
        <w:t xml:space="preserve">Barrier-Free </w:t>
      </w:r>
      <w:r w:rsidR="00EC6442" w:rsidRPr="002A198E">
        <w:rPr>
          <w:lang w:val="en-CA"/>
        </w:rPr>
        <w:t xml:space="preserve">Canada’s </w:t>
      </w:r>
      <w:r w:rsidR="002812F9">
        <w:rPr>
          <w:lang w:val="en-CA"/>
        </w:rPr>
        <w:t>7</w:t>
      </w:r>
      <w:r w:rsidR="008316EC">
        <w:rPr>
          <w:lang w:val="en-CA"/>
        </w:rPr>
        <w:t xml:space="preserve">th </w:t>
      </w:r>
      <w:r w:rsidR="000115C0" w:rsidRPr="002A198E">
        <w:rPr>
          <w:lang w:val="en-CA"/>
        </w:rPr>
        <w:t xml:space="preserve">Principle </w:t>
      </w:r>
      <w:r w:rsidR="006F4595">
        <w:rPr>
          <w:lang w:val="en-CA"/>
        </w:rPr>
        <w:t>includes</w:t>
      </w:r>
      <w:r w:rsidR="00105785">
        <w:rPr>
          <w:lang w:val="en-CA"/>
        </w:rPr>
        <w:t>:</w:t>
      </w:r>
    </w:p>
    <w:p w14:paraId="13BB9343" w14:textId="77777777" w:rsidR="004B4634" w:rsidRPr="002A198E" w:rsidRDefault="004B4634" w:rsidP="002A198E">
      <w:pPr>
        <w:widowControl w:val="0"/>
        <w:rPr>
          <w:lang w:val="en-CA"/>
        </w:rPr>
      </w:pPr>
    </w:p>
    <w:p w14:paraId="1E0D3C58" w14:textId="77777777" w:rsidR="004B4634" w:rsidRPr="002A198E" w:rsidRDefault="004B4634" w:rsidP="00067A8E">
      <w:pPr>
        <w:widowControl w:val="0"/>
        <w:ind w:left="720" w:right="720"/>
        <w:rPr>
          <w:lang w:val="en-CA"/>
        </w:rPr>
      </w:pPr>
      <w:r w:rsidRPr="002A198E">
        <w:rPr>
          <w:lang w:val="en-CA"/>
        </w:rPr>
        <w:t>“It should also require the Government of Canada to appoint an independent person to periodically review and publicly report on progress towards full accessibility, and to make recommendations on any actions needed to achieve the Act's goals</w:t>
      </w:r>
      <w:r w:rsidR="00067A8E">
        <w:rPr>
          <w:lang w:val="en-CA"/>
        </w:rPr>
        <w:t>.</w:t>
      </w:r>
      <w:r w:rsidRPr="002A198E">
        <w:rPr>
          <w:lang w:val="en-CA"/>
        </w:rPr>
        <w:t>”</w:t>
      </w:r>
    </w:p>
    <w:p w14:paraId="7CD0CEFC" w14:textId="77777777" w:rsidR="004B4634" w:rsidRPr="002A198E" w:rsidRDefault="004B4634" w:rsidP="002A198E">
      <w:pPr>
        <w:widowControl w:val="0"/>
        <w:rPr>
          <w:lang w:val="en-CA"/>
        </w:rPr>
      </w:pPr>
      <w:r w:rsidRPr="002A198E">
        <w:rPr>
          <w:lang w:val="en-CA"/>
        </w:rPr>
        <w:t xml:space="preserve"> </w:t>
      </w:r>
    </w:p>
    <w:p w14:paraId="71A1A3A3" w14:textId="77777777" w:rsidR="004B4634" w:rsidRPr="002A198E" w:rsidRDefault="000F6F7B" w:rsidP="002A198E">
      <w:pPr>
        <w:widowControl w:val="0"/>
        <w:rPr>
          <w:lang w:val="en-CA"/>
        </w:rPr>
      </w:pPr>
      <w:r>
        <w:rPr>
          <w:lang w:val="en-CA"/>
        </w:rPr>
        <w:t>T</w:t>
      </w:r>
      <w:r w:rsidR="00213659">
        <w:rPr>
          <w:lang w:val="en-CA"/>
        </w:rPr>
        <w:t xml:space="preserve">he CDA should follow </w:t>
      </w:r>
      <w:r>
        <w:rPr>
          <w:lang w:val="en-CA"/>
        </w:rPr>
        <w:t xml:space="preserve">AODA </w:t>
      </w:r>
      <w:r w:rsidR="004B4634" w:rsidRPr="002A198E">
        <w:rPr>
          <w:lang w:val="en-CA"/>
        </w:rPr>
        <w:t>s. 41</w:t>
      </w:r>
      <w:r w:rsidR="00CA1897" w:rsidRPr="002A198E">
        <w:rPr>
          <w:lang w:val="en-CA"/>
        </w:rPr>
        <w:t xml:space="preserve">. It required the Ontario </w:t>
      </w:r>
      <w:r w:rsidR="00EC6442" w:rsidRPr="002A198E">
        <w:rPr>
          <w:lang w:val="en-CA"/>
        </w:rPr>
        <w:t>Government to</w:t>
      </w:r>
      <w:r w:rsidR="004B4634" w:rsidRPr="002A198E">
        <w:rPr>
          <w:lang w:val="en-CA"/>
        </w:rPr>
        <w:t xml:space="preserve"> appoint an Independent Review of progress towards full accessibility, within four years after </w:t>
      </w:r>
      <w:r w:rsidR="00CA1897" w:rsidRPr="002A198E">
        <w:rPr>
          <w:lang w:val="en-CA"/>
        </w:rPr>
        <w:t xml:space="preserve">the AODA’s </w:t>
      </w:r>
      <w:r w:rsidR="004B4634" w:rsidRPr="002A198E">
        <w:rPr>
          <w:lang w:val="en-CA"/>
        </w:rPr>
        <w:t xml:space="preserve">enactment, and </w:t>
      </w:r>
      <w:r w:rsidR="00221D8A">
        <w:rPr>
          <w:lang w:val="en-CA"/>
        </w:rPr>
        <w:t>again</w:t>
      </w:r>
      <w:r w:rsidR="004B4634" w:rsidRPr="002A198E">
        <w:rPr>
          <w:lang w:val="en-CA"/>
        </w:rPr>
        <w:t xml:space="preserve">, three years after each successive Independent Review is </w:t>
      </w:r>
      <w:r w:rsidR="00DB244C">
        <w:rPr>
          <w:lang w:val="en-CA"/>
        </w:rPr>
        <w:t>tabled in the Legislature</w:t>
      </w:r>
      <w:r w:rsidR="004B4634" w:rsidRPr="002A198E">
        <w:rPr>
          <w:lang w:val="en-CA"/>
        </w:rPr>
        <w:t>.</w:t>
      </w:r>
      <w:r w:rsidR="00221D8A">
        <w:rPr>
          <w:lang w:val="en-CA"/>
        </w:rPr>
        <w:t xml:space="preserve"> </w:t>
      </w:r>
      <w:r w:rsidR="004B4634" w:rsidRPr="002A198E">
        <w:rPr>
          <w:lang w:val="en-CA"/>
        </w:rPr>
        <w:t xml:space="preserve">The two </w:t>
      </w:r>
      <w:r w:rsidR="007D5DEB" w:rsidRPr="002A198E">
        <w:rPr>
          <w:lang w:val="en-CA"/>
        </w:rPr>
        <w:t xml:space="preserve">AODA </w:t>
      </w:r>
      <w:r w:rsidR="004B4634" w:rsidRPr="002A198E">
        <w:rPr>
          <w:lang w:val="en-CA"/>
        </w:rPr>
        <w:t xml:space="preserve">Independent Review reports to date played an important role in </w:t>
      </w:r>
      <w:r w:rsidR="008316EC">
        <w:rPr>
          <w:lang w:val="en-CA"/>
        </w:rPr>
        <w:t xml:space="preserve">accessibility </w:t>
      </w:r>
      <w:r w:rsidR="004B4634" w:rsidRPr="002A198E">
        <w:rPr>
          <w:lang w:val="en-CA"/>
        </w:rPr>
        <w:t xml:space="preserve">efforts. They showed where progress </w:t>
      </w:r>
      <w:r w:rsidR="007D5DEB" w:rsidRPr="002A198E">
        <w:rPr>
          <w:lang w:val="en-CA"/>
        </w:rPr>
        <w:t xml:space="preserve">was </w:t>
      </w:r>
      <w:r w:rsidR="004B4634" w:rsidRPr="002A198E">
        <w:rPr>
          <w:lang w:val="en-CA"/>
        </w:rPr>
        <w:t xml:space="preserve">too slow, </w:t>
      </w:r>
      <w:r w:rsidR="007D5DEB" w:rsidRPr="002A198E">
        <w:rPr>
          <w:lang w:val="en-CA"/>
        </w:rPr>
        <w:t>tracked down cause</w:t>
      </w:r>
      <w:r w:rsidR="008316EC">
        <w:rPr>
          <w:lang w:val="en-CA"/>
        </w:rPr>
        <w:t>s</w:t>
      </w:r>
      <w:r w:rsidR="007D5DEB" w:rsidRPr="002A198E">
        <w:rPr>
          <w:lang w:val="en-CA"/>
        </w:rPr>
        <w:t xml:space="preserve">, </w:t>
      </w:r>
      <w:r w:rsidR="004B4634" w:rsidRPr="002A198E">
        <w:rPr>
          <w:lang w:val="en-CA"/>
        </w:rPr>
        <w:t>and recommended improvements.</w:t>
      </w:r>
      <w:r w:rsidR="0030049C">
        <w:rPr>
          <w:rStyle w:val="EndnoteReference"/>
          <w:lang w:val="en-CA"/>
        </w:rPr>
        <w:endnoteReference w:id="80"/>
      </w:r>
      <w:r w:rsidR="00213659">
        <w:rPr>
          <w:lang w:val="en-CA"/>
        </w:rPr>
        <w:t xml:space="preserve"> </w:t>
      </w:r>
      <w:r w:rsidR="00DB244C">
        <w:rPr>
          <w:lang w:val="en-CA"/>
        </w:rPr>
        <w:t>L</w:t>
      </w:r>
      <w:r w:rsidR="00213659">
        <w:rPr>
          <w:lang w:val="en-CA"/>
        </w:rPr>
        <w:t xml:space="preserve">onger time lines for </w:t>
      </w:r>
      <w:r w:rsidR="00DB244C">
        <w:rPr>
          <w:lang w:val="en-CA"/>
        </w:rPr>
        <w:t xml:space="preserve">CDA </w:t>
      </w:r>
      <w:r w:rsidR="00213659">
        <w:rPr>
          <w:lang w:val="en-CA"/>
        </w:rPr>
        <w:t xml:space="preserve">Independent Reviews would work against timely progress towards full accessibility. </w:t>
      </w:r>
      <w:r w:rsidR="0030049C">
        <w:rPr>
          <w:lang w:val="en-CA"/>
        </w:rPr>
        <w:t xml:space="preserve"> </w:t>
      </w:r>
      <w:r w:rsidR="002A198E" w:rsidRPr="002A198E">
        <w:rPr>
          <w:lang w:val="en-CA"/>
        </w:rPr>
        <w:t xml:space="preserve"> </w:t>
      </w:r>
    </w:p>
    <w:p w14:paraId="610F9B6D" w14:textId="77777777" w:rsidR="004B4634" w:rsidRPr="002A198E" w:rsidRDefault="004B4634" w:rsidP="002A198E">
      <w:pPr>
        <w:widowControl w:val="0"/>
        <w:rPr>
          <w:lang w:val="en-CA"/>
        </w:rPr>
      </w:pPr>
    </w:p>
    <w:p w14:paraId="2ECA7E23" w14:textId="77777777" w:rsidR="004B4634" w:rsidRPr="002A198E" w:rsidRDefault="00D41A55" w:rsidP="002A198E">
      <w:pPr>
        <w:widowControl w:val="0"/>
        <w:rPr>
          <w:lang w:val="en-CA"/>
        </w:rPr>
      </w:pPr>
      <w:r>
        <w:rPr>
          <w:lang w:val="en-CA"/>
        </w:rPr>
        <w:t>L</w:t>
      </w:r>
      <w:r w:rsidR="004B4634" w:rsidRPr="002A198E">
        <w:rPr>
          <w:lang w:val="en-CA"/>
        </w:rPr>
        <w:t>earning from Ontario</w:t>
      </w:r>
      <w:r w:rsidR="00D536C6">
        <w:rPr>
          <w:lang w:val="en-CA"/>
        </w:rPr>
        <w:t>'s</w:t>
      </w:r>
      <w:r w:rsidR="004B4634" w:rsidRPr="002A198E">
        <w:rPr>
          <w:lang w:val="en-CA"/>
        </w:rPr>
        <w:t xml:space="preserve"> experience, the </w:t>
      </w:r>
      <w:r w:rsidR="001D7559">
        <w:rPr>
          <w:lang w:val="en-CA"/>
        </w:rPr>
        <w:t xml:space="preserve">CDA </w:t>
      </w:r>
      <w:r w:rsidR="004B4634" w:rsidRPr="002A198E">
        <w:rPr>
          <w:lang w:val="en-CA"/>
        </w:rPr>
        <w:t xml:space="preserve">should include a provision that will trigger the appointment of an Independent Review if the Federal Government fails to do so on time. </w:t>
      </w:r>
      <w:r w:rsidR="00067A8E">
        <w:rPr>
          <w:lang w:val="en-CA"/>
        </w:rPr>
        <w:t>I</w:t>
      </w:r>
      <w:r w:rsidR="004B4634" w:rsidRPr="002A198E">
        <w:rPr>
          <w:lang w:val="en-CA"/>
        </w:rPr>
        <w:t xml:space="preserve">t should permit a member of the public to apply to court to appoint the Independent Review if the Government </w:t>
      </w:r>
      <w:r w:rsidR="00EA306B">
        <w:rPr>
          <w:lang w:val="en-CA"/>
        </w:rPr>
        <w:t xml:space="preserve">doesn't </w:t>
      </w:r>
      <w:r w:rsidR="008C7A94">
        <w:rPr>
          <w:lang w:val="en-CA"/>
        </w:rPr>
        <w:t xml:space="preserve">act </w:t>
      </w:r>
      <w:r w:rsidR="00265DF4">
        <w:rPr>
          <w:lang w:val="en-CA"/>
        </w:rPr>
        <w:t xml:space="preserve">on time. In 2013, Ontario inexplicably failed to appoint the second AODA Review for over 100 days past the deadline, and </w:t>
      </w:r>
      <w:r w:rsidR="00EA306B">
        <w:rPr>
          <w:lang w:val="en-CA"/>
        </w:rPr>
        <w:t xml:space="preserve">acted </w:t>
      </w:r>
      <w:r w:rsidR="00265DF4">
        <w:rPr>
          <w:lang w:val="en-CA"/>
        </w:rPr>
        <w:t>only after grassroots pressure.</w:t>
      </w:r>
      <w:r w:rsidR="00BD3576">
        <w:rPr>
          <w:rStyle w:val="EndnoteReference"/>
          <w:lang w:val="en-CA"/>
        </w:rPr>
        <w:endnoteReference w:id="81"/>
      </w:r>
    </w:p>
    <w:p w14:paraId="2955E0E1" w14:textId="77777777" w:rsidR="007D5DEB" w:rsidRPr="002A198E" w:rsidRDefault="007D5DEB" w:rsidP="002A198E">
      <w:pPr>
        <w:widowControl w:val="0"/>
        <w:rPr>
          <w:lang w:val="en-CA"/>
        </w:rPr>
      </w:pPr>
    </w:p>
    <w:p w14:paraId="5EA0DB3F" w14:textId="2D3F0F48" w:rsidR="00C774D1" w:rsidRPr="002A198E" w:rsidRDefault="0017095A" w:rsidP="002A198E">
      <w:pPr>
        <w:widowControl w:val="0"/>
        <w:rPr>
          <w:lang w:val="en-CA"/>
        </w:rPr>
      </w:pPr>
      <w:r>
        <w:rPr>
          <w:lang w:val="en-CA"/>
        </w:rPr>
        <w:t xml:space="preserve">Based on </w:t>
      </w:r>
      <w:r w:rsidR="00C774D1" w:rsidRPr="002A198E">
        <w:rPr>
          <w:lang w:val="en-CA"/>
        </w:rPr>
        <w:t xml:space="preserve">Ontario’s experience, the Federal Government should be required to release </w:t>
      </w:r>
      <w:r>
        <w:rPr>
          <w:lang w:val="en-CA"/>
        </w:rPr>
        <w:t xml:space="preserve">an </w:t>
      </w:r>
      <w:r w:rsidR="00C774D1" w:rsidRPr="002A198E">
        <w:rPr>
          <w:lang w:val="en-CA"/>
        </w:rPr>
        <w:t>Independent Review</w:t>
      </w:r>
      <w:r>
        <w:rPr>
          <w:lang w:val="en-CA"/>
        </w:rPr>
        <w:t xml:space="preserve">'s report </w:t>
      </w:r>
      <w:r w:rsidR="00C774D1" w:rsidRPr="002A198E">
        <w:rPr>
          <w:lang w:val="en-CA"/>
        </w:rPr>
        <w:t xml:space="preserve">immediately upon receiving it. </w:t>
      </w:r>
      <w:r w:rsidR="00067A8E">
        <w:rPr>
          <w:lang w:val="en-CA"/>
        </w:rPr>
        <w:t>T</w:t>
      </w:r>
      <w:r w:rsidR="00C774D1" w:rsidRPr="002A198E">
        <w:rPr>
          <w:lang w:val="en-CA"/>
        </w:rPr>
        <w:t xml:space="preserve">he Ontario Government took </w:t>
      </w:r>
      <w:r w:rsidR="00265DF4">
        <w:rPr>
          <w:lang w:val="en-CA"/>
        </w:rPr>
        <w:t xml:space="preserve">an unnecessary </w:t>
      </w:r>
      <w:r w:rsidR="00C774D1" w:rsidRPr="002A198E">
        <w:rPr>
          <w:lang w:val="en-CA"/>
        </w:rPr>
        <w:t>four months to release each AODA Independent Review</w:t>
      </w:r>
      <w:r w:rsidR="000D639E">
        <w:rPr>
          <w:lang w:val="en-CA"/>
        </w:rPr>
        <w:t xml:space="preserve"> Report</w:t>
      </w:r>
      <w:r w:rsidR="00C774D1" w:rsidRPr="002A198E">
        <w:rPr>
          <w:lang w:val="en-CA"/>
        </w:rPr>
        <w:t xml:space="preserve">. </w:t>
      </w:r>
    </w:p>
    <w:p w14:paraId="5C07F2FA" w14:textId="77777777" w:rsidR="00B94768" w:rsidRDefault="00B94768" w:rsidP="002A198E">
      <w:pPr>
        <w:widowControl w:val="0"/>
        <w:rPr>
          <w:lang w:val="en-CA"/>
        </w:rPr>
      </w:pPr>
    </w:p>
    <w:p w14:paraId="38013AA9" w14:textId="77777777" w:rsidR="00C774D1" w:rsidRDefault="00231B84" w:rsidP="002A198E">
      <w:pPr>
        <w:widowControl w:val="0"/>
        <w:rPr>
          <w:lang w:val="en-CA"/>
        </w:rPr>
      </w:pPr>
      <w:r>
        <w:rPr>
          <w:lang w:val="en-CA"/>
        </w:rPr>
        <w:t>For the CDA to also r</w:t>
      </w:r>
      <w:r w:rsidR="00022153">
        <w:rPr>
          <w:lang w:val="en-CA"/>
        </w:rPr>
        <w:t>equir</w:t>
      </w:r>
      <w:r>
        <w:rPr>
          <w:lang w:val="en-CA"/>
        </w:rPr>
        <w:t>e</w:t>
      </w:r>
      <w:r w:rsidR="00022153">
        <w:rPr>
          <w:lang w:val="en-CA"/>
        </w:rPr>
        <w:t xml:space="preserve"> the Federal Government to make public </w:t>
      </w:r>
      <w:r>
        <w:rPr>
          <w:lang w:val="en-CA"/>
        </w:rPr>
        <w:t xml:space="preserve">its own </w:t>
      </w:r>
      <w:r w:rsidR="00022153">
        <w:rPr>
          <w:lang w:val="en-CA"/>
        </w:rPr>
        <w:t xml:space="preserve">periodic progress </w:t>
      </w:r>
      <w:r w:rsidR="00022153">
        <w:rPr>
          <w:lang w:val="en-CA"/>
        </w:rPr>
        <w:lastRenderedPageBreak/>
        <w:t>reports and commitments of future action helps to a limited degree. However, experience in Ontario and elsewhere shows that such reports tend to be self-congratulatory</w:t>
      </w:r>
      <w:r>
        <w:rPr>
          <w:lang w:val="en-CA"/>
        </w:rPr>
        <w:t xml:space="preserve">, lacking objectivity and balance. </w:t>
      </w:r>
      <w:r w:rsidR="00307346">
        <w:rPr>
          <w:lang w:val="en-CA"/>
        </w:rPr>
        <w:t xml:space="preserve">If </w:t>
      </w:r>
      <w:r>
        <w:rPr>
          <w:lang w:val="en-CA"/>
        </w:rPr>
        <w:t>the Auditor General audited them, they could improve</w:t>
      </w:r>
      <w:r w:rsidR="00307346">
        <w:rPr>
          <w:lang w:val="en-CA"/>
        </w:rPr>
        <w:t xml:space="preserve">. </w:t>
      </w:r>
    </w:p>
    <w:p w14:paraId="22343712" w14:textId="77777777" w:rsidR="00022153" w:rsidRPr="002A198E" w:rsidRDefault="00022153" w:rsidP="002A198E">
      <w:pPr>
        <w:widowControl w:val="0"/>
        <w:rPr>
          <w:lang w:val="en-CA"/>
        </w:rPr>
      </w:pPr>
    </w:p>
    <w:p w14:paraId="48316091" w14:textId="77777777" w:rsidR="000E1351" w:rsidRDefault="000E1351" w:rsidP="000E1351">
      <w:pPr>
        <w:pStyle w:val="Heading1"/>
        <w:keepNext w:val="0"/>
        <w:keepLines w:val="0"/>
        <w:widowControl w:val="0"/>
        <w:spacing w:before="0"/>
        <w:rPr>
          <w:lang w:val="en-CA"/>
        </w:rPr>
      </w:pPr>
      <w:bookmarkStart w:id="39" w:name="_Toc319660902"/>
      <w:r>
        <w:rPr>
          <w:lang w:val="en-CA"/>
        </w:rPr>
        <w:t>4. Conclusion</w:t>
      </w:r>
      <w:bookmarkEnd w:id="39"/>
    </w:p>
    <w:p w14:paraId="295268E7" w14:textId="77777777" w:rsidR="00496167" w:rsidRPr="002A198E" w:rsidRDefault="00496167" w:rsidP="002A198E">
      <w:pPr>
        <w:widowControl w:val="0"/>
        <w:rPr>
          <w:lang w:val="en-CA"/>
        </w:rPr>
      </w:pPr>
    </w:p>
    <w:p w14:paraId="598F31AB" w14:textId="14A5A394" w:rsidR="00B7681A" w:rsidRDefault="003E6B03" w:rsidP="002A198E">
      <w:pPr>
        <w:widowControl w:val="0"/>
        <w:rPr>
          <w:lang w:val="en-CA"/>
        </w:rPr>
      </w:pPr>
      <w:r>
        <w:rPr>
          <w:lang w:val="en-CA"/>
        </w:rPr>
        <w:t xml:space="preserve">Grassroots </w:t>
      </w:r>
      <w:r w:rsidR="00EE319E">
        <w:rPr>
          <w:lang w:val="en-CA"/>
        </w:rPr>
        <w:t xml:space="preserve">disability </w:t>
      </w:r>
      <w:r>
        <w:rPr>
          <w:lang w:val="en-CA"/>
        </w:rPr>
        <w:t xml:space="preserve">advocacy led </w:t>
      </w:r>
      <w:r w:rsidR="00221CEA">
        <w:rPr>
          <w:lang w:val="en-CA"/>
        </w:rPr>
        <w:t xml:space="preserve">Parliament </w:t>
      </w:r>
      <w:r>
        <w:rPr>
          <w:lang w:val="en-CA"/>
        </w:rPr>
        <w:t xml:space="preserve">to amend the </w:t>
      </w:r>
      <w:r w:rsidRPr="002812F9">
        <w:rPr>
          <w:i/>
          <w:lang w:val="en-CA"/>
        </w:rPr>
        <w:t>Charter of Rights</w:t>
      </w:r>
      <w:r>
        <w:rPr>
          <w:lang w:val="en-CA"/>
        </w:rPr>
        <w:t xml:space="preserve"> in 198</w:t>
      </w:r>
      <w:r w:rsidR="00EE319E">
        <w:rPr>
          <w:lang w:val="en-CA"/>
        </w:rPr>
        <w:t>1</w:t>
      </w:r>
      <w:r>
        <w:rPr>
          <w:lang w:val="en-CA"/>
        </w:rPr>
        <w:t xml:space="preserve">, to add disability </w:t>
      </w:r>
      <w:r w:rsidR="00F70475">
        <w:rPr>
          <w:lang w:val="en-CA"/>
        </w:rPr>
        <w:t>equality.</w:t>
      </w:r>
      <w:r w:rsidR="00F70475" w:rsidRPr="002A198E">
        <w:rPr>
          <w:lang w:val="en-CA"/>
        </w:rPr>
        <w:t xml:space="preserve"> Canada</w:t>
      </w:r>
      <w:r w:rsidR="00577177" w:rsidRPr="002A198E">
        <w:rPr>
          <w:lang w:val="en-CA"/>
        </w:rPr>
        <w:t xml:space="preserve"> </w:t>
      </w:r>
      <w:r w:rsidR="00221CEA">
        <w:rPr>
          <w:lang w:val="en-CA"/>
        </w:rPr>
        <w:t xml:space="preserve">then </w:t>
      </w:r>
      <w:r w:rsidR="002812F9">
        <w:rPr>
          <w:lang w:val="en-CA"/>
        </w:rPr>
        <w:t>led the western w</w:t>
      </w:r>
      <w:r w:rsidR="00577177" w:rsidRPr="002A198E">
        <w:rPr>
          <w:lang w:val="en-CA"/>
        </w:rPr>
        <w:t>orld by enshrining in its new constitution</w:t>
      </w:r>
      <w:r w:rsidR="001B4856">
        <w:rPr>
          <w:lang w:val="en-CA"/>
        </w:rPr>
        <w:t>,</w:t>
      </w:r>
      <w:r w:rsidR="00577177" w:rsidRPr="002A198E">
        <w:rPr>
          <w:lang w:val="en-CA"/>
        </w:rPr>
        <w:t xml:space="preserve"> the only explicit </w:t>
      </w:r>
      <w:r w:rsidR="004E2037">
        <w:rPr>
          <w:lang w:val="en-CA"/>
        </w:rPr>
        <w:t xml:space="preserve">disability equality </w:t>
      </w:r>
      <w:r w:rsidR="00577177" w:rsidRPr="002A198E">
        <w:rPr>
          <w:lang w:val="en-CA"/>
        </w:rPr>
        <w:t xml:space="preserve">guarantee then in </w:t>
      </w:r>
      <w:r w:rsidR="004E2037">
        <w:rPr>
          <w:lang w:val="en-CA"/>
        </w:rPr>
        <w:t xml:space="preserve">a </w:t>
      </w:r>
      <w:r w:rsidR="00577177" w:rsidRPr="002A198E">
        <w:rPr>
          <w:lang w:val="en-CA"/>
        </w:rPr>
        <w:t>western constitution.</w:t>
      </w:r>
      <w:r w:rsidR="00B7681A">
        <w:rPr>
          <w:lang w:val="en-CA"/>
        </w:rPr>
        <w:t xml:space="preserve"> </w:t>
      </w:r>
    </w:p>
    <w:p w14:paraId="65715F76" w14:textId="77777777" w:rsidR="00B7681A" w:rsidRDefault="00B7681A" w:rsidP="002A198E">
      <w:pPr>
        <w:widowControl w:val="0"/>
        <w:rPr>
          <w:lang w:val="en-CA"/>
        </w:rPr>
      </w:pPr>
    </w:p>
    <w:p w14:paraId="496812C0" w14:textId="77777777" w:rsidR="000E1351" w:rsidRDefault="00B7681A" w:rsidP="000E1351">
      <w:pPr>
        <w:widowControl w:val="0"/>
        <w:rPr>
          <w:lang w:val="en-CA"/>
        </w:rPr>
      </w:pPr>
      <w:r>
        <w:rPr>
          <w:lang w:val="en-CA"/>
        </w:rPr>
        <w:t xml:space="preserve">Canada now has </w:t>
      </w:r>
      <w:r w:rsidR="00577177" w:rsidRPr="002A198E">
        <w:rPr>
          <w:lang w:val="en-CA"/>
        </w:rPr>
        <w:t xml:space="preserve">an extraordinary opportunity to make </w:t>
      </w:r>
      <w:r>
        <w:rPr>
          <w:lang w:val="en-CA"/>
        </w:rPr>
        <w:t xml:space="preserve">its </w:t>
      </w:r>
      <w:r w:rsidR="00577177" w:rsidRPr="002A198E">
        <w:rPr>
          <w:lang w:val="en-CA"/>
        </w:rPr>
        <w:t xml:space="preserve">constitutional right to </w:t>
      </w:r>
      <w:r>
        <w:rPr>
          <w:lang w:val="en-CA"/>
        </w:rPr>
        <w:t xml:space="preserve">disability </w:t>
      </w:r>
      <w:r w:rsidR="00577177" w:rsidRPr="002A198E">
        <w:rPr>
          <w:lang w:val="en-CA"/>
        </w:rPr>
        <w:t>equality become a reality in the lives of all Canadians</w:t>
      </w:r>
      <w:r>
        <w:rPr>
          <w:lang w:val="en-CA"/>
        </w:rPr>
        <w:t xml:space="preserve">. </w:t>
      </w:r>
      <w:r w:rsidR="000E1351">
        <w:rPr>
          <w:lang w:val="en-CA"/>
        </w:rPr>
        <w:t>It is insufficient for the CDA to lead organizations to create a paper trail on accessibility. They must create a trail of real action leading to full accessibility.</w:t>
      </w:r>
    </w:p>
    <w:p w14:paraId="38A42445" w14:textId="77777777" w:rsidR="000E1351" w:rsidRDefault="000E1351" w:rsidP="000E1351">
      <w:pPr>
        <w:widowControl w:val="0"/>
        <w:rPr>
          <w:lang w:val="en-CA"/>
        </w:rPr>
      </w:pPr>
    </w:p>
    <w:p w14:paraId="0C1040B7" w14:textId="70C58699" w:rsidR="00702A1C" w:rsidRDefault="00A43A7B" w:rsidP="00A43A7B">
      <w:pPr>
        <w:rPr>
          <w:lang w:val="en-CA"/>
        </w:rPr>
      </w:pPr>
      <w:r>
        <w:t xml:space="preserve">The Federal Government's Discussion Guide asks: "How will we know if the legislation is effective in improving accessibility and removing </w:t>
      </w:r>
      <w:r w:rsidR="002812F9">
        <w:t>barriers?</w:t>
      </w:r>
      <w:r w:rsidR="001548B0">
        <w:t>"</w:t>
      </w:r>
      <w:r w:rsidR="002812F9">
        <w:t xml:space="preserve"> </w:t>
      </w:r>
      <w:r w:rsidR="001548B0">
        <w:t>Ultimately</w:t>
      </w:r>
      <w:r>
        <w:t xml:space="preserve">, the test </w:t>
      </w:r>
      <w:r w:rsidR="000568A8">
        <w:t xml:space="preserve">is </w:t>
      </w:r>
      <w:r>
        <w:t xml:space="preserve">whether people with disabilities </w:t>
      </w:r>
      <w:r w:rsidR="000568A8">
        <w:t xml:space="preserve">will </w:t>
      </w:r>
      <w:r>
        <w:t>fac</w:t>
      </w:r>
      <w:r w:rsidR="000568A8">
        <w:t>e</w:t>
      </w:r>
      <w:r>
        <w:t xml:space="preserve"> no </w:t>
      </w:r>
      <w:r w:rsidR="00533772">
        <w:t xml:space="preserve">accessibility </w:t>
      </w:r>
      <w:r>
        <w:t xml:space="preserve">barriers when dealing with organizations to which the CDA applies, in order to get jobs, goods, services or facilities. </w:t>
      </w:r>
      <w:r w:rsidR="00702A1C">
        <w:rPr>
          <w:lang w:val="en-CA"/>
        </w:rPr>
        <w:t>Barrier-Free Canada’s Principle</w:t>
      </w:r>
      <w:r w:rsidR="00D1514E">
        <w:rPr>
          <w:lang w:val="en-CA"/>
        </w:rPr>
        <w:t>s</w:t>
      </w:r>
      <w:r w:rsidR="00702A1C">
        <w:rPr>
          <w:lang w:val="en-CA"/>
        </w:rPr>
        <w:t xml:space="preserve"> state:</w:t>
      </w:r>
    </w:p>
    <w:p w14:paraId="668F5131" w14:textId="77777777" w:rsidR="00702A1C" w:rsidRDefault="00702A1C" w:rsidP="00702A1C">
      <w:pPr>
        <w:widowControl w:val="0"/>
        <w:rPr>
          <w:lang w:val="en-CA"/>
        </w:rPr>
      </w:pPr>
    </w:p>
    <w:p w14:paraId="232AC528" w14:textId="77777777" w:rsidR="00702A1C" w:rsidRDefault="00702A1C" w:rsidP="00702A1C">
      <w:pPr>
        <w:widowControl w:val="0"/>
        <w:ind w:left="720" w:right="720"/>
        <w:rPr>
          <w:lang w:val="en-CA"/>
        </w:rPr>
      </w:pPr>
      <w:r>
        <w:rPr>
          <w:lang w:val="en-CA"/>
        </w:rPr>
        <w:t>“14. The Canadians with Disabilities Act must be more than mere window dressing. It should contribute meaningfully to the improvement of the position of persons with disabilities in Canada. It must have real force, effect and teeth.”</w:t>
      </w:r>
    </w:p>
    <w:p w14:paraId="3ADA48C7" w14:textId="77777777" w:rsidR="00702A1C" w:rsidRDefault="00702A1C" w:rsidP="00702A1C">
      <w:pPr>
        <w:widowControl w:val="0"/>
        <w:rPr>
          <w:lang w:val="en-CA"/>
        </w:rPr>
      </w:pPr>
    </w:p>
    <w:p w14:paraId="6326CB70" w14:textId="6709D5EC" w:rsidR="00B7681A" w:rsidRDefault="00B7681A" w:rsidP="000E1351">
      <w:pPr>
        <w:widowControl w:val="0"/>
        <w:rPr>
          <w:lang w:val="en-CA"/>
        </w:rPr>
      </w:pPr>
      <w:r>
        <w:rPr>
          <w:lang w:val="en-CA"/>
        </w:rPr>
        <w:t xml:space="preserve">A strong, effectively enforced CDA </w:t>
      </w:r>
      <w:r w:rsidR="00842978">
        <w:rPr>
          <w:lang w:val="en-CA"/>
        </w:rPr>
        <w:t xml:space="preserve">can </w:t>
      </w:r>
      <w:r>
        <w:rPr>
          <w:lang w:val="en-CA"/>
        </w:rPr>
        <w:t>restore Canada to its 1982 global leadership role on disability equality</w:t>
      </w:r>
      <w:r w:rsidR="000E1351">
        <w:rPr>
          <w:lang w:val="en-CA"/>
        </w:rPr>
        <w:t xml:space="preserve">. Canada could </w:t>
      </w:r>
      <w:r w:rsidR="0005613C">
        <w:rPr>
          <w:lang w:val="en-CA"/>
        </w:rPr>
        <w:t xml:space="preserve">and should </w:t>
      </w:r>
      <w:bookmarkStart w:id="40" w:name="_GoBack"/>
      <w:bookmarkEnd w:id="40"/>
      <w:r>
        <w:rPr>
          <w:lang w:val="en-CA"/>
        </w:rPr>
        <w:t xml:space="preserve">catch up to the US, which </w:t>
      </w:r>
      <w:r w:rsidR="00842978">
        <w:rPr>
          <w:lang w:val="en-CA"/>
        </w:rPr>
        <w:t xml:space="preserve">enacted </w:t>
      </w:r>
      <w:r>
        <w:rPr>
          <w:lang w:val="en-CA"/>
        </w:rPr>
        <w:t xml:space="preserve">its world-leading </w:t>
      </w:r>
      <w:r w:rsidRPr="002812F9">
        <w:rPr>
          <w:i/>
          <w:lang w:val="en-CA"/>
        </w:rPr>
        <w:t>Americans with Disabilities Act</w:t>
      </w:r>
      <w:r>
        <w:rPr>
          <w:lang w:val="en-CA"/>
        </w:rPr>
        <w:t xml:space="preserve"> over</w:t>
      </w:r>
      <w:r w:rsidR="002812F9">
        <w:rPr>
          <w:lang w:val="en-CA"/>
        </w:rPr>
        <w:t xml:space="preserve"> </w:t>
      </w:r>
      <w:r>
        <w:rPr>
          <w:lang w:val="en-CA"/>
        </w:rPr>
        <w:t xml:space="preserve">26 years ago. </w:t>
      </w:r>
    </w:p>
    <w:p w14:paraId="62577D06" w14:textId="77777777" w:rsidR="00577177" w:rsidRPr="002A198E" w:rsidRDefault="00B7681A" w:rsidP="002A198E">
      <w:pPr>
        <w:widowControl w:val="0"/>
        <w:rPr>
          <w:lang w:val="en-CA"/>
        </w:rPr>
      </w:pPr>
      <w:r>
        <w:rPr>
          <w:lang w:val="en-CA"/>
        </w:rPr>
        <w:t xml:space="preserve"> </w:t>
      </w:r>
    </w:p>
    <w:sectPr w:rsidR="00577177" w:rsidRPr="002A198E" w:rsidSect="005C691B">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9EB91" w14:textId="77777777" w:rsidR="00180D86" w:rsidRDefault="00180D86" w:rsidP="00672551">
      <w:r>
        <w:separator/>
      </w:r>
    </w:p>
  </w:endnote>
  <w:endnote w:type="continuationSeparator" w:id="0">
    <w:p w14:paraId="5652DC8B" w14:textId="77777777" w:rsidR="00180D86" w:rsidRDefault="00180D86" w:rsidP="00672551">
      <w:r>
        <w:continuationSeparator/>
      </w:r>
    </w:p>
  </w:endnote>
  <w:endnote w:id="1">
    <w:p w14:paraId="24BA469D" w14:textId="483E1150" w:rsidR="003A2AE4" w:rsidRPr="00D16CBF" w:rsidRDefault="003A2AE4">
      <w:pPr>
        <w:pStyle w:val="EndnoteText"/>
      </w:pPr>
      <w:r w:rsidRPr="00D16CBF">
        <w:rPr>
          <w:rStyle w:val="EndnoteReference"/>
        </w:rPr>
        <w:endnoteRef/>
      </w:r>
      <w:r w:rsidRPr="00D16CBF">
        <w:t xml:space="preserve"> </w:t>
      </w:r>
      <w:r w:rsidRPr="00D16CBF">
        <w:rPr>
          <w:lang w:val="en-CA"/>
        </w:rPr>
        <w:t>The author is a visiting professor at the Osgoode Hall Law School, an adjunct faculty member at the University of Toronto Faculty of Law, co-chair of Barrier-Free Canada, chair of the Accessibility for Ontarians with Disabilities Act Alliance, and chair of the special Education Advisory Committee of the Toronto District School Board. This article is written in the author’s personal capacity and does not purport to represent the views of those organizations.</w:t>
      </w:r>
      <w:r w:rsidRPr="00D16CBF">
        <w:rPr>
          <w:rFonts w:eastAsia="Times New Roman"/>
          <w:shd w:val="clear" w:color="auto" w:fill="FFFFFF"/>
          <w:lang w:val="en-CA"/>
        </w:rPr>
        <w:t xml:space="preserve"> The tremendous help with text editing and footnote finalization by the talented Julie Goldstein is acknowledged with deep gratitude.</w:t>
      </w:r>
    </w:p>
  </w:endnote>
  <w:endnote w:id="2">
    <w:p w14:paraId="1933C6C9" w14:textId="3D2A1E38" w:rsidR="003A2AE4" w:rsidRPr="00D16CBF" w:rsidRDefault="003A2AE4" w:rsidP="00AA184A">
      <w:pPr>
        <w:rPr>
          <w:rFonts w:ascii="Times" w:eastAsia="Times New Roman" w:hAnsi="Times"/>
          <w:sz w:val="20"/>
          <w:szCs w:val="20"/>
          <w:lang w:val="en-CA"/>
        </w:rPr>
      </w:pPr>
      <w:r w:rsidRPr="00D16CBF">
        <w:rPr>
          <w:rStyle w:val="EndnoteReference"/>
          <w:sz w:val="20"/>
          <w:szCs w:val="20"/>
        </w:rPr>
        <w:endnoteRef/>
      </w:r>
      <w:r w:rsidRPr="00D16CBF">
        <w:rPr>
          <w:sz w:val="20"/>
          <w:szCs w:val="20"/>
        </w:rPr>
        <w:t xml:space="preserve"> </w:t>
      </w:r>
      <w:r w:rsidRPr="00D16CBF">
        <w:rPr>
          <w:i/>
          <w:sz w:val="20"/>
          <w:szCs w:val="20"/>
        </w:rPr>
        <w:t>Americans with Disabilities Act</w:t>
      </w:r>
      <w:r w:rsidRPr="00D16CBF">
        <w:rPr>
          <w:sz w:val="20"/>
          <w:szCs w:val="20"/>
        </w:rPr>
        <w:t xml:space="preserve">, 42 U.S.C. s. 12101 (1990).  </w:t>
      </w:r>
    </w:p>
  </w:endnote>
  <w:endnote w:id="3">
    <w:p w14:paraId="725DC703" w14:textId="473CD585" w:rsidR="003A2AE4" w:rsidRPr="00D16CBF" w:rsidRDefault="003A2AE4">
      <w:pPr>
        <w:pStyle w:val="EndnoteText"/>
      </w:pPr>
      <w:r w:rsidRPr="00D16CBF">
        <w:rPr>
          <w:rStyle w:val="EndnoteReference"/>
        </w:rPr>
        <w:endnoteRef/>
      </w:r>
      <w:r w:rsidRPr="00D16CBF">
        <w:t xml:space="preserve"> </w:t>
      </w:r>
      <w:r w:rsidRPr="00D16CBF">
        <w:rPr>
          <w:i/>
        </w:rPr>
        <w:t xml:space="preserve">Rehabilitation Act, </w:t>
      </w:r>
      <w:r w:rsidRPr="00D16CBF">
        <w:t>29 U.S.C. 794d (1973).</w:t>
      </w:r>
    </w:p>
  </w:endnote>
  <w:endnote w:id="4">
    <w:p w14:paraId="12A8AE8F" w14:textId="182B3A6C" w:rsidR="003A2AE4" w:rsidRPr="00D16CBF" w:rsidRDefault="003A2AE4" w:rsidP="00392C0E">
      <w:pPr>
        <w:rPr>
          <w:rFonts w:ascii="Times" w:eastAsia="Times New Roman" w:hAnsi="Times"/>
          <w:sz w:val="20"/>
          <w:szCs w:val="20"/>
          <w:lang w:val="en-CA"/>
        </w:rPr>
      </w:pPr>
      <w:r w:rsidRPr="00D16CBF">
        <w:rPr>
          <w:rStyle w:val="EndnoteReference"/>
          <w:sz w:val="20"/>
          <w:szCs w:val="20"/>
        </w:rPr>
        <w:endnoteRef/>
      </w:r>
      <w:r w:rsidRPr="00D16CBF">
        <w:rPr>
          <w:sz w:val="20"/>
          <w:szCs w:val="20"/>
        </w:rPr>
        <w:t xml:space="preserve"> </w:t>
      </w:r>
      <w:r w:rsidRPr="00D16CBF">
        <w:rPr>
          <w:i/>
          <w:sz w:val="20"/>
          <w:szCs w:val="20"/>
        </w:rPr>
        <w:t>Twenty-First Century Communications and Video Accessibility Act</w:t>
      </w:r>
      <w:r w:rsidRPr="00D16CBF">
        <w:rPr>
          <w:sz w:val="20"/>
          <w:szCs w:val="20"/>
        </w:rPr>
        <w:t xml:space="preserve">, </w:t>
      </w:r>
      <w:r w:rsidRPr="00D16CBF">
        <w:rPr>
          <w:rFonts w:ascii="Times" w:eastAsia="Times New Roman" w:hAnsi="Times"/>
          <w:sz w:val="20"/>
          <w:szCs w:val="20"/>
          <w:lang w:val="en-CA"/>
        </w:rPr>
        <w:t>Pub. L. No. 111-260, 124 Stat. 2751 (2010) (as codified in various sections of 47 U.S.C.); Pub. L. 111-265, 124 Stat. 2795 (2010) (making technical corrections to the CVAA).</w:t>
      </w:r>
    </w:p>
  </w:endnote>
  <w:endnote w:id="5">
    <w:p w14:paraId="6C3D7026" w14:textId="36B92B23" w:rsidR="003A2AE4" w:rsidRPr="00D16CBF" w:rsidRDefault="003A2AE4">
      <w:pPr>
        <w:pStyle w:val="EndnoteText"/>
      </w:pPr>
      <w:r w:rsidRPr="00D16CBF">
        <w:rPr>
          <w:rStyle w:val="EndnoteReference"/>
        </w:rPr>
        <w:endnoteRef/>
      </w:r>
      <w:r w:rsidRPr="00D16CBF">
        <w:t xml:space="preserve"> </w:t>
      </w:r>
      <w:r w:rsidRPr="00D16CBF">
        <w:rPr>
          <w:i/>
          <w:lang w:val="en-CA"/>
        </w:rPr>
        <w:t>Eldridge v. BC.</w:t>
      </w:r>
      <w:r w:rsidRPr="00D16CBF">
        <w:rPr>
          <w:lang w:val="en-CA"/>
        </w:rPr>
        <w:t xml:space="preserve"> [1997] 3 S.C.R. 624 [</w:t>
      </w:r>
      <w:r w:rsidRPr="00D16CBF">
        <w:rPr>
          <w:i/>
          <w:lang w:val="en-CA"/>
        </w:rPr>
        <w:t>Eldridge</w:t>
      </w:r>
      <w:r w:rsidRPr="00D16CBF">
        <w:rPr>
          <w:lang w:val="en-CA"/>
        </w:rPr>
        <w:t>].</w:t>
      </w:r>
    </w:p>
  </w:endnote>
  <w:endnote w:id="6">
    <w:p w14:paraId="0C045798" w14:textId="022D3BAA" w:rsidR="003A2AE4" w:rsidRPr="00D16CBF" w:rsidRDefault="003A2AE4">
      <w:pPr>
        <w:pStyle w:val="EndnoteText"/>
      </w:pPr>
      <w:r w:rsidRPr="00D16CBF">
        <w:rPr>
          <w:rStyle w:val="EndnoteReference"/>
        </w:rPr>
        <w:endnoteRef/>
      </w:r>
      <w:r w:rsidRPr="00D16CBF">
        <w:t xml:space="preserve"> </w:t>
      </w:r>
      <w:r w:rsidRPr="00D16CBF">
        <w:rPr>
          <w:i/>
        </w:rPr>
        <w:t>Eaton v. Brant County Board of Education,</w:t>
      </w:r>
      <w:r w:rsidRPr="00D16CBF">
        <w:t xml:space="preserve"> [1997] 1 S.C.R. 241 at 67.</w:t>
      </w:r>
    </w:p>
  </w:endnote>
  <w:endnote w:id="7">
    <w:p w14:paraId="1DA12A61" w14:textId="58BFAC7D" w:rsidR="003A2AE4" w:rsidRPr="00D16CBF" w:rsidRDefault="003A2AE4">
      <w:pPr>
        <w:pStyle w:val="EndnoteText"/>
      </w:pPr>
      <w:r w:rsidRPr="00D16CBF">
        <w:rPr>
          <w:rStyle w:val="EndnoteReference"/>
        </w:rPr>
        <w:endnoteRef/>
      </w:r>
      <w:r w:rsidRPr="00D16CBF">
        <w:t xml:space="preserve">  </w:t>
      </w:r>
      <w:r w:rsidRPr="00D16CBF">
        <w:rPr>
          <w:i/>
        </w:rPr>
        <w:t xml:space="preserve">Eldridge, supra </w:t>
      </w:r>
      <w:r w:rsidRPr="00D16CBF">
        <w:t>note 5 at 72-73.</w:t>
      </w:r>
    </w:p>
  </w:endnote>
  <w:endnote w:id="8">
    <w:p w14:paraId="4AE37BA4" w14:textId="307F664F" w:rsidR="003A2AE4" w:rsidRPr="00D16CBF" w:rsidRDefault="003A2AE4" w:rsidP="00D16CBF">
      <w:pPr>
        <w:rPr>
          <w:rFonts w:ascii="Times" w:eastAsia="Times New Roman" w:hAnsi="Times"/>
          <w:sz w:val="20"/>
          <w:szCs w:val="20"/>
          <w:lang w:val="en-CA"/>
        </w:rPr>
      </w:pPr>
      <w:r w:rsidRPr="00D16CBF">
        <w:rPr>
          <w:rStyle w:val="EndnoteReference"/>
          <w:sz w:val="20"/>
          <w:szCs w:val="20"/>
        </w:rPr>
        <w:endnoteRef/>
      </w:r>
      <w:r w:rsidRPr="00D16CBF">
        <w:rPr>
          <w:sz w:val="20"/>
          <w:szCs w:val="20"/>
        </w:rPr>
        <w:t xml:space="preserve">  </w:t>
      </w:r>
      <w:r w:rsidRPr="00D16CBF">
        <w:rPr>
          <w:i/>
          <w:sz w:val="20"/>
          <w:szCs w:val="20"/>
        </w:rPr>
        <w:t xml:space="preserve">Convention on the Rights of Persons with Disabilities, </w:t>
      </w:r>
      <w:r w:rsidRPr="00D16CBF">
        <w:rPr>
          <w:rFonts w:ascii="Times" w:eastAsia="Times New Roman" w:hAnsi="Times"/>
          <w:sz w:val="20"/>
          <w:szCs w:val="20"/>
          <w:lang w:val="en-CA"/>
        </w:rPr>
        <w:t>G.A. Res. 61/106 (2007) [CRPD].</w:t>
      </w:r>
    </w:p>
  </w:endnote>
  <w:endnote w:id="9">
    <w:p w14:paraId="140B2975" w14:textId="10AD02D3" w:rsidR="003A2AE4" w:rsidRPr="00D16CBF" w:rsidRDefault="003A2AE4">
      <w:pPr>
        <w:pStyle w:val="EndnoteText"/>
      </w:pPr>
      <w:r w:rsidRPr="00D16CBF">
        <w:rPr>
          <w:rStyle w:val="EndnoteReference"/>
        </w:rPr>
        <w:endnoteRef/>
      </w:r>
      <w:r w:rsidRPr="00D16CBF">
        <w:t xml:space="preserve"> Employment and Social Development Canada, “What does an accessible Canada mean to you?  A Discussion Guide” (July 2016), s. 3.3.</w:t>
      </w:r>
      <w:r>
        <w:t xml:space="preserve"> [Discussion Guide]</w:t>
      </w:r>
    </w:p>
  </w:endnote>
  <w:endnote w:id="10">
    <w:p w14:paraId="0B42300B" w14:textId="0EA75D33" w:rsidR="003A2AE4" w:rsidRPr="00D16CBF" w:rsidRDefault="003A2AE4">
      <w:pPr>
        <w:pStyle w:val="EndnoteText"/>
      </w:pPr>
      <w:r w:rsidRPr="00D16CBF">
        <w:rPr>
          <w:rStyle w:val="EndnoteReference"/>
        </w:rPr>
        <w:endnoteRef/>
      </w:r>
      <w:r w:rsidRPr="00D16CBF">
        <w:t xml:space="preserve"> </w:t>
      </w:r>
      <w:r w:rsidRPr="00D16CBF">
        <w:rPr>
          <w:i/>
        </w:rPr>
        <w:t>Accessibility for Ontarians with Disabilities Act</w:t>
      </w:r>
      <w:r>
        <w:t xml:space="preserve">, 2005, S.O. 2005, </w:t>
      </w:r>
      <w:proofErr w:type="spellStart"/>
      <w:r>
        <w:t>ch.</w:t>
      </w:r>
      <w:proofErr w:type="spellEnd"/>
      <w:r>
        <w:t xml:space="preserve"> 11 [AODA].</w:t>
      </w:r>
    </w:p>
  </w:endnote>
  <w:endnote w:id="11">
    <w:p w14:paraId="0539D4DD" w14:textId="65AA4EEF" w:rsidR="003A2AE4" w:rsidRPr="00D16CBF" w:rsidRDefault="003A2AE4">
      <w:pPr>
        <w:pStyle w:val="EndnoteText"/>
      </w:pPr>
      <w:r w:rsidRPr="00D16CBF">
        <w:rPr>
          <w:rStyle w:val="EndnoteReference"/>
        </w:rPr>
        <w:endnoteRef/>
      </w:r>
      <w:r w:rsidRPr="00D16CBF">
        <w:t xml:space="preserve"> </w:t>
      </w:r>
      <w:r w:rsidRPr="00D16CBF">
        <w:rPr>
          <w:i/>
        </w:rPr>
        <w:t>Accessibility for Manitobans Act,</w:t>
      </w:r>
      <w:r w:rsidRPr="00D16CBF">
        <w:t xml:space="preserve"> C.C.S.M. 2013, c. A1.7.</w:t>
      </w:r>
    </w:p>
  </w:endnote>
  <w:endnote w:id="12">
    <w:p w14:paraId="16A7E4F9" w14:textId="39E17B25" w:rsidR="003A2AE4" w:rsidRPr="00D16CBF" w:rsidRDefault="003A2AE4">
      <w:pPr>
        <w:pStyle w:val="EndnoteText"/>
      </w:pPr>
      <w:r w:rsidRPr="00D16CBF">
        <w:rPr>
          <w:rStyle w:val="EndnoteReference"/>
        </w:rPr>
        <w:endnoteRef/>
      </w:r>
      <w:r w:rsidRPr="00D16CBF">
        <w:t xml:space="preserve"> Barrier-Free Canada, </w:t>
      </w:r>
      <w:r w:rsidRPr="00D16CBF">
        <w:rPr>
          <w:i/>
        </w:rPr>
        <w:t>Principles for the Canadians With Disabilities A</w:t>
      </w:r>
      <w:r w:rsidRPr="00D16CBF">
        <w:t>ct, online: &lt;</w:t>
      </w:r>
      <w:hyperlink r:id="rId1" w:history="1">
        <w:r w:rsidRPr="00D16CBF">
          <w:rPr>
            <w:rStyle w:val="Hyperlink"/>
            <w:color w:val="auto"/>
            <w:u w:val="none"/>
          </w:rPr>
          <w:t>http://barrierfreecanada.org/principles/</w:t>
        </w:r>
      </w:hyperlink>
      <w:r w:rsidRPr="00D16CBF">
        <w:rPr>
          <w:rStyle w:val="Hyperlink"/>
          <w:color w:val="auto"/>
          <w:u w:val="none"/>
        </w:rPr>
        <w:t>&gt;.</w:t>
      </w:r>
      <w:r w:rsidRPr="00D16CBF">
        <w:t xml:space="preserve"> </w:t>
      </w:r>
    </w:p>
  </w:endnote>
  <w:endnote w:id="13">
    <w:p w14:paraId="4207F142" w14:textId="17422808" w:rsidR="003A2AE4" w:rsidRPr="00D16CBF" w:rsidRDefault="003A2AE4">
      <w:pPr>
        <w:pStyle w:val="EndnoteText"/>
      </w:pPr>
      <w:r w:rsidRPr="00D16CBF">
        <w:rPr>
          <w:rStyle w:val="EndnoteReference"/>
        </w:rPr>
        <w:endnoteRef/>
      </w:r>
      <w:r w:rsidRPr="00D16CBF">
        <w:t xml:space="preserve">  To learn about Canadians with Disabilities Act, visit Barrier-Free Canada, online: &lt;</w:t>
      </w:r>
      <w:hyperlink r:id="rId2" w:history="1">
        <w:r w:rsidRPr="00D16CBF">
          <w:rPr>
            <w:rStyle w:val="Hyperlink"/>
            <w:color w:val="auto"/>
            <w:u w:val="none"/>
          </w:rPr>
          <w:t>http://barrierfreecanada.org/home/</w:t>
        </w:r>
      </w:hyperlink>
      <w:r w:rsidRPr="00D16CBF">
        <w:t xml:space="preserve"> &gt;</w:t>
      </w:r>
    </w:p>
  </w:endnote>
  <w:endnote w:id="14">
    <w:p w14:paraId="45BF51C9" w14:textId="3426B416" w:rsidR="003A2AE4" w:rsidRPr="00D16CBF" w:rsidRDefault="003A2AE4" w:rsidP="00B716B9">
      <w:pPr>
        <w:pStyle w:val="EndnoteText"/>
      </w:pPr>
      <w:r w:rsidRPr="00D16CBF">
        <w:rPr>
          <w:rStyle w:val="EndnoteReference"/>
        </w:rPr>
        <w:endnoteRef/>
      </w:r>
      <w:r w:rsidRPr="00D16CBF">
        <w:t xml:space="preserve"> </w:t>
      </w:r>
      <w:r w:rsidRPr="00D16CBF">
        <w:rPr>
          <w:i/>
        </w:rPr>
        <w:t xml:space="preserve">Jodhan v. Canada (Attorney General), </w:t>
      </w:r>
      <w:r w:rsidRPr="00D16CBF">
        <w:rPr>
          <w:lang w:val="en-CA"/>
        </w:rPr>
        <w:t>2010 FC 1197.</w:t>
      </w:r>
    </w:p>
  </w:endnote>
  <w:endnote w:id="15">
    <w:p w14:paraId="57B15992" w14:textId="4F31D67D" w:rsidR="003A2AE4" w:rsidRDefault="003A2AE4" w:rsidP="00E34452">
      <w:pPr>
        <w:pStyle w:val="EndnoteText"/>
      </w:pPr>
      <w:r w:rsidRPr="00D16CBF">
        <w:rPr>
          <w:rStyle w:val="EndnoteReference"/>
        </w:rPr>
        <w:endnoteRef/>
      </w:r>
      <w:r w:rsidRPr="00D16CBF">
        <w:t xml:space="preserve"> </w:t>
      </w:r>
      <w:r w:rsidRPr="00D16CBF">
        <w:rPr>
          <w:i/>
          <w:lang w:val="en-CA"/>
        </w:rPr>
        <w:t>Canada (Attorney General) v. Jodhan,</w:t>
      </w:r>
      <w:r w:rsidRPr="00D16CBF">
        <w:rPr>
          <w:lang w:val="en-CA"/>
        </w:rPr>
        <w:t xml:space="preserve"> 2012 FCA 161.</w:t>
      </w:r>
    </w:p>
  </w:endnote>
  <w:endnote w:id="16">
    <w:p w14:paraId="49C60FCE" w14:textId="57AD2637" w:rsidR="003A2AE4" w:rsidRDefault="003A2AE4">
      <w:pPr>
        <w:pStyle w:val="EndnoteText"/>
      </w:pPr>
      <w:r>
        <w:rPr>
          <w:rStyle w:val="EndnoteReference"/>
        </w:rPr>
        <w:endnoteRef/>
      </w:r>
      <w:r>
        <w:t xml:space="preserve"> CRPD, </w:t>
      </w:r>
      <w:r>
        <w:rPr>
          <w:i/>
        </w:rPr>
        <w:t>supra</w:t>
      </w:r>
      <w:r>
        <w:t xml:space="preserve"> note 8, Art. 4, s. 1. </w:t>
      </w:r>
    </w:p>
  </w:endnote>
  <w:endnote w:id="17">
    <w:p w14:paraId="00EA784B" w14:textId="5A30C4D3" w:rsidR="003A2AE4" w:rsidRPr="00D16CBF" w:rsidRDefault="003A2AE4" w:rsidP="00AE4A11">
      <w:pPr>
        <w:pStyle w:val="EndnoteText"/>
      </w:pPr>
      <w:r>
        <w:rPr>
          <w:rStyle w:val="EndnoteReference"/>
        </w:rPr>
        <w:endnoteRef/>
      </w:r>
      <w:r>
        <w:t xml:space="preserve">  </w:t>
      </w:r>
      <w:r>
        <w:rPr>
          <w:i/>
        </w:rPr>
        <w:t>Ibid</w:t>
      </w:r>
      <w:r>
        <w:t xml:space="preserve"> at Art. 4., s. 1(a).</w:t>
      </w:r>
    </w:p>
  </w:endnote>
  <w:endnote w:id="18">
    <w:p w14:paraId="4BA8B7A5" w14:textId="5174705F" w:rsidR="003A2AE4" w:rsidRPr="00D16CBF" w:rsidRDefault="003A2AE4">
      <w:pPr>
        <w:pStyle w:val="EndnoteText"/>
      </w:pPr>
      <w:r>
        <w:rPr>
          <w:rStyle w:val="EndnoteReference"/>
        </w:rPr>
        <w:endnoteRef/>
      </w:r>
      <w:r>
        <w:t xml:space="preserve"> </w:t>
      </w:r>
      <w:r>
        <w:rPr>
          <w:i/>
        </w:rPr>
        <w:t>Ibid</w:t>
      </w:r>
      <w:r>
        <w:t xml:space="preserve"> at Art. 4, s. 1(b).</w:t>
      </w:r>
    </w:p>
  </w:endnote>
  <w:endnote w:id="19">
    <w:p w14:paraId="229A02CB" w14:textId="01E0385A" w:rsidR="003A2AE4" w:rsidRPr="00D16CBF" w:rsidRDefault="003A2AE4">
      <w:pPr>
        <w:pStyle w:val="EndnoteText"/>
      </w:pPr>
      <w:r>
        <w:rPr>
          <w:rStyle w:val="EndnoteReference"/>
        </w:rPr>
        <w:endnoteRef/>
      </w:r>
      <w:r>
        <w:t xml:space="preserve"> </w:t>
      </w:r>
      <w:r>
        <w:rPr>
          <w:i/>
        </w:rPr>
        <w:t>Ibid</w:t>
      </w:r>
      <w:r>
        <w:t xml:space="preserve"> at Art. 4, s.1(c)</w:t>
      </w:r>
    </w:p>
  </w:endnote>
  <w:endnote w:id="20">
    <w:p w14:paraId="0969F506" w14:textId="3D4727E2" w:rsidR="003A2AE4" w:rsidRPr="00D16CBF" w:rsidRDefault="003A2AE4">
      <w:pPr>
        <w:pStyle w:val="EndnoteText"/>
      </w:pPr>
      <w:r>
        <w:rPr>
          <w:rStyle w:val="EndnoteReference"/>
        </w:rPr>
        <w:endnoteRef/>
      </w:r>
      <w:r>
        <w:t xml:space="preserve"> </w:t>
      </w:r>
      <w:r>
        <w:rPr>
          <w:i/>
        </w:rPr>
        <w:t>Ibid</w:t>
      </w:r>
      <w:r>
        <w:t xml:space="preserve"> at Art. 4, s. 1(d)-(e)</w:t>
      </w:r>
    </w:p>
  </w:endnote>
  <w:endnote w:id="21">
    <w:p w14:paraId="40E9A166" w14:textId="18A83CF1" w:rsidR="003A2AE4" w:rsidRPr="00D16CBF" w:rsidRDefault="003A2AE4">
      <w:pPr>
        <w:pStyle w:val="EndnoteText"/>
      </w:pPr>
      <w:r>
        <w:rPr>
          <w:rStyle w:val="EndnoteReference"/>
        </w:rPr>
        <w:endnoteRef/>
      </w:r>
      <w:r>
        <w:t xml:space="preserve"> </w:t>
      </w:r>
      <w:r>
        <w:rPr>
          <w:i/>
        </w:rPr>
        <w:t>Ibid</w:t>
      </w:r>
      <w:r>
        <w:t xml:space="preserve"> at Art. 5, s.3.</w:t>
      </w:r>
    </w:p>
  </w:endnote>
  <w:endnote w:id="22">
    <w:p w14:paraId="281FB273" w14:textId="3E333FFD" w:rsidR="003A2AE4" w:rsidRPr="00D16CBF" w:rsidRDefault="003A2AE4">
      <w:pPr>
        <w:pStyle w:val="EndnoteText"/>
      </w:pPr>
      <w:r>
        <w:rPr>
          <w:rStyle w:val="EndnoteReference"/>
        </w:rPr>
        <w:endnoteRef/>
      </w:r>
      <w:r>
        <w:t xml:space="preserve"> </w:t>
      </w:r>
      <w:r>
        <w:rPr>
          <w:i/>
        </w:rPr>
        <w:t xml:space="preserve">Ibid </w:t>
      </w:r>
      <w:r>
        <w:t>at Art. 9, s. 1.</w:t>
      </w:r>
    </w:p>
  </w:endnote>
  <w:endnote w:id="23">
    <w:p w14:paraId="5DE1A510" w14:textId="7B07D9D4" w:rsidR="003A2AE4" w:rsidRPr="00D16CBF" w:rsidRDefault="003A2AE4">
      <w:pPr>
        <w:pStyle w:val="EndnoteText"/>
      </w:pPr>
      <w:r>
        <w:rPr>
          <w:rStyle w:val="EndnoteReference"/>
        </w:rPr>
        <w:endnoteRef/>
      </w:r>
      <w:r>
        <w:t xml:space="preserve"> </w:t>
      </w:r>
      <w:r>
        <w:rPr>
          <w:i/>
        </w:rPr>
        <w:t>Ibid</w:t>
      </w:r>
      <w:r>
        <w:t xml:space="preserve"> at Art. 9, s. 1.(a)-(b).</w:t>
      </w:r>
    </w:p>
  </w:endnote>
  <w:endnote w:id="24">
    <w:p w14:paraId="6F0377A6" w14:textId="456E862E" w:rsidR="003A2AE4" w:rsidRDefault="003A2AE4">
      <w:pPr>
        <w:pStyle w:val="EndnoteText"/>
      </w:pPr>
      <w:r>
        <w:rPr>
          <w:rStyle w:val="EndnoteReference"/>
        </w:rPr>
        <w:endnoteRef/>
      </w:r>
      <w:r>
        <w:t xml:space="preserve"> </w:t>
      </w:r>
      <w:r>
        <w:rPr>
          <w:i/>
        </w:rPr>
        <w:t>Ibid</w:t>
      </w:r>
      <w:r>
        <w:t xml:space="preserve"> at Art. 9, s. 2(a).</w:t>
      </w:r>
    </w:p>
  </w:endnote>
  <w:endnote w:id="25">
    <w:p w14:paraId="34863CF1" w14:textId="3C1E710C" w:rsidR="003A2AE4" w:rsidRDefault="003A2AE4">
      <w:pPr>
        <w:pStyle w:val="EndnoteText"/>
      </w:pPr>
      <w:r>
        <w:rPr>
          <w:rStyle w:val="EndnoteReference"/>
        </w:rPr>
        <w:endnoteRef/>
      </w:r>
      <w:r>
        <w:t xml:space="preserve"> </w:t>
      </w:r>
      <w:r>
        <w:rPr>
          <w:i/>
        </w:rPr>
        <w:t>Ibid</w:t>
      </w:r>
      <w:r>
        <w:t xml:space="preserve"> at Art. 9 s. 2(b).</w:t>
      </w:r>
    </w:p>
  </w:endnote>
  <w:endnote w:id="26">
    <w:p w14:paraId="1CDCB322" w14:textId="21AD4E99" w:rsidR="003A2AE4" w:rsidRDefault="003A2AE4">
      <w:pPr>
        <w:pStyle w:val="EndnoteText"/>
      </w:pPr>
      <w:r>
        <w:rPr>
          <w:rStyle w:val="EndnoteReference"/>
        </w:rPr>
        <w:endnoteRef/>
      </w:r>
      <w:r>
        <w:t xml:space="preserve"> </w:t>
      </w:r>
      <w:r>
        <w:rPr>
          <w:i/>
        </w:rPr>
        <w:t>Ibid</w:t>
      </w:r>
      <w:r>
        <w:t xml:space="preserve"> at Art. 9 s. 2(d)-(g).</w:t>
      </w:r>
    </w:p>
  </w:endnote>
  <w:endnote w:id="27">
    <w:p w14:paraId="21A90F68" w14:textId="4C377AE1" w:rsidR="003A2AE4" w:rsidRPr="00C043F1" w:rsidRDefault="003A2AE4" w:rsidP="00C043F1">
      <w:pPr>
        <w:rPr>
          <w:sz w:val="20"/>
          <w:szCs w:val="20"/>
        </w:rPr>
      </w:pPr>
      <w:r w:rsidRPr="00C043F1">
        <w:rPr>
          <w:rStyle w:val="EndnoteReference"/>
          <w:sz w:val="20"/>
          <w:szCs w:val="20"/>
        </w:rPr>
        <w:endnoteRef/>
      </w:r>
      <w:r w:rsidRPr="00C043F1">
        <w:rPr>
          <w:sz w:val="20"/>
          <w:szCs w:val="20"/>
        </w:rPr>
        <w:t xml:space="preserve"> Discussion Guide, </w:t>
      </w:r>
      <w:r w:rsidRPr="00C043F1">
        <w:rPr>
          <w:i/>
          <w:sz w:val="20"/>
          <w:szCs w:val="20"/>
        </w:rPr>
        <w:t>supra</w:t>
      </w:r>
      <w:r w:rsidRPr="00C043F1">
        <w:rPr>
          <w:sz w:val="20"/>
          <w:szCs w:val="20"/>
        </w:rPr>
        <w:t xml:space="preserve"> note 9, s. 4.1.  </w:t>
      </w:r>
    </w:p>
  </w:endnote>
  <w:endnote w:id="28">
    <w:p w14:paraId="63568044" w14:textId="64761C5C" w:rsidR="003A2AE4" w:rsidRDefault="003A2AE4">
      <w:pPr>
        <w:pStyle w:val="EndnoteText"/>
      </w:pPr>
      <w:r>
        <w:rPr>
          <w:rStyle w:val="EndnoteReference"/>
        </w:rPr>
        <w:endnoteRef/>
      </w:r>
      <w:r>
        <w:t xml:space="preserve">  AODA, </w:t>
      </w:r>
      <w:r>
        <w:rPr>
          <w:i/>
        </w:rPr>
        <w:t xml:space="preserve">supra </w:t>
      </w:r>
      <w:r>
        <w:t>note 10 at s. 1(a).</w:t>
      </w:r>
    </w:p>
  </w:endnote>
  <w:endnote w:id="29">
    <w:p w14:paraId="088391E4" w14:textId="77777777" w:rsidR="003A2AE4" w:rsidRDefault="003A2AE4">
      <w:pPr>
        <w:pStyle w:val="EndnoteText"/>
      </w:pPr>
      <w:r>
        <w:rPr>
          <w:rStyle w:val="EndnoteReference"/>
        </w:rPr>
        <w:endnoteRef/>
      </w:r>
      <w:r>
        <w:t xml:space="preserve"> </w:t>
      </w:r>
      <w:r w:rsidRPr="004D495A">
        <w:rPr>
          <w:i/>
        </w:rPr>
        <w:t>O'Malley v. Simpson</w:t>
      </w:r>
      <w:r w:rsidRPr="004D495A">
        <w:rPr>
          <w:i/>
        </w:rPr>
        <w:noBreakHyphen/>
        <w:t>Sears Ltd.,</w:t>
      </w:r>
      <w:r w:rsidRPr="00D21E3D">
        <w:t xml:space="preserve"> [1985] 2 S.C.R. 536</w:t>
      </w:r>
    </w:p>
  </w:endnote>
  <w:endnote w:id="30">
    <w:p w14:paraId="3A807B7F" w14:textId="0A9EEE6E" w:rsidR="003A2AE4" w:rsidRDefault="003A2AE4">
      <w:pPr>
        <w:pStyle w:val="EndnoteText"/>
      </w:pPr>
      <w:r>
        <w:rPr>
          <w:rStyle w:val="EndnoteReference"/>
        </w:rPr>
        <w:endnoteRef/>
      </w:r>
      <w:r>
        <w:t xml:space="preserve"> </w:t>
      </w:r>
      <w:r w:rsidRPr="00231C62">
        <w:rPr>
          <w:i/>
        </w:rPr>
        <w:t>Central Okanagan School District No. 23 v. Renaud</w:t>
      </w:r>
      <w:r>
        <w:t xml:space="preserve">, </w:t>
      </w:r>
      <w:r w:rsidRPr="00C327F1">
        <w:t>[1992] 2 S.C.R. 970</w:t>
      </w:r>
      <w:r>
        <w:t xml:space="preserve"> at p. 984</w:t>
      </w:r>
      <w:r>
        <w:rPr>
          <w:i/>
        </w:rPr>
        <w:t>j</w:t>
      </w:r>
      <w:r>
        <w:t>.</w:t>
      </w:r>
    </w:p>
  </w:endnote>
  <w:endnote w:id="31">
    <w:p w14:paraId="6E0E7C4B" w14:textId="5BE76CF3" w:rsidR="003A2AE4" w:rsidRPr="00231C62" w:rsidRDefault="003A2AE4" w:rsidP="000D4187">
      <w:pPr>
        <w:pStyle w:val="EndnoteText"/>
        <w:rPr>
          <w:i/>
        </w:rPr>
      </w:pPr>
      <w:r>
        <w:rPr>
          <w:rStyle w:val="EndnoteReference"/>
        </w:rPr>
        <w:endnoteRef/>
      </w:r>
      <w:r>
        <w:t xml:space="preserve"> </w:t>
      </w:r>
      <w:r>
        <w:rPr>
          <w:i/>
        </w:rPr>
        <w:t xml:space="preserve">Ibid </w:t>
      </w:r>
      <w:r>
        <w:t>at p. 984</w:t>
      </w:r>
      <w:r>
        <w:rPr>
          <w:i/>
        </w:rPr>
        <w:t>a.</w:t>
      </w:r>
    </w:p>
  </w:endnote>
  <w:endnote w:id="32">
    <w:p w14:paraId="3CC33C30" w14:textId="6EE8D26A" w:rsidR="003A2AE4" w:rsidRDefault="003A2AE4">
      <w:pPr>
        <w:pStyle w:val="EndnoteText"/>
      </w:pPr>
      <w:r>
        <w:rPr>
          <w:rStyle w:val="EndnoteReference"/>
        </w:rPr>
        <w:endnoteRef/>
      </w:r>
      <w:r>
        <w:t xml:space="preserve"> AODA, </w:t>
      </w:r>
      <w:r>
        <w:rPr>
          <w:i/>
        </w:rPr>
        <w:t xml:space="preserve">supra </w:t>
      </w:r>
      <w:r>
        <w:t xml:space="preserve">note 10 at ss. 1,7. </w:t>
      </w:r>
    </w:p>
  </w:endnote>
  <w:endnote w:id="33">
    <w:p w14:paraId="28E8C97E" w14:textId="2C4C0DEE" w:rsidR="003A2AE4" w:rsidRPr="00C043F1" w:rsidRDefault="003A2AE4">
      <w:pPr>
        <w:pStyle w:val="EndnoteText"/>
      </w:pPr>
      <w:r w:rsidRPr="00C043F1">
        <w:rPr>
          <w:rStyle w:val="EndnoteReference"/>
        </w:rPr>
        <w:endnoteRef/>
      </w:r>
      <w:r w:rsidRPr="00C043F1">
        <w:t xml:space="preserve"> Discussion Guide, </w:t>
      </w:r>
      <w:r w:rsidRPr="00C043F1">
        <w:rPr>
          <w:i/>
        </w:rPr>
        <w:t xml:space="preserve">supra </w:t>
      </w:r>
      <w:r w:rsidRPr="00C043F1">
        <w:t>note 9, s. 4.2.</w:t>
      </w:r>
    </w:p>
  </w:endnote>
  <w:endnote w:id="34">
    <w:p w14:paraId="0586A844" w14:textId="29FFF5DD" w:rsidR="003A2AE4" w:rsidRPr="00C043F1" w:rsidRDefault="003A2AE4">
      <w:pPr>
        <w:pStyle w:val="EndnoteText"/>
      </w:pPr>
      <w:r w:rsidRPr="00C043F1">
        <w:rPr>
          <w:rStyle w:val="EndnoteReference"/>
        </w:rPr>
        <w:endnoteRef/>
      </w:r>
      <w:r w:rsidRPr="00C043F1">
        <w:t xml:space="preserve"> </w:t>
      </w:r>
      <w:r w:rsidRPr="00C043F1">
        <w:rPr>
          <w:i/>
        </w:rPr>
        <w:t>Ontarians with Disabilities Act</w:t>
      </w:r>
      <w:r w:rsidRPr="00C043F1">
        <w:t xml:space="preserve"> 2001, S.O. 2001, c. 32 at s. 17.</w:t>
      </w:r>
      <w:r>
        <w:t xml:space="preserve"> [ODA]</w:t>
      </w:r>
    </w:p>
  </w:endnote>
  <w:endnote w:id="35">
    <w:p w14:paraId="19F1E2BE" w14:textId="5E966D72" w:rsidR="003A2AE4" w:rsidRPr="00C043F1" w:rsidRDefault="003A2AE4">
      <w:pPr>
        <w:pStyle w:val="EndnoteText"/>
      </w:pPr>
      <w:r w:rsidRPr="00C043F1">
        <w:rPr>
          <w:rStyle w:val="EndnoteReference"/>
        </w:rPr>
        <w:endnoteRef/>
      </w:r>
      <w:r w:rsidRPr="00C043F1">
        <w:t xml:space="preserve"> </w:t>
      </w:r>
      <w:r w:rsidRPr="00C043F1">
        <w:rPr>
          <w:i/>
        </w:rPr>
        <w:t>Integrated Accessibility Standards Regulation</w:t>
      </w:r>
      <w:r w:rsidRPr="00C043F1">
        <w:t xml:space="preserve">, </w:t>
      </w:r>
      <w:proofErr w:type="spellStart"/>
      <w:r w:rsidRPr="00C043F1">
        <w:t>O.Reg</w:t>
      </w:r>
      <w:proofErr w:type="spellEnd"/>
      <w:r w:rsidRPr="00C043F1">
        <w:t>. 191/11 s. 6.</w:t>
      </w:r>
      <w:r>
        <w:t xml:space="preserve"> [IASR]</w:t>
      </w:r>
    </w:p>
  </w:endnote>
  <w:endnote w:id="36">
    <w:p w14:paraId="25CED4C5" w14:textId="347DFD6E" w:rsidR="003A2AE4" w:rsidRPr="00C043F1" w:rsidRDefault="003A2AE4" w:rsidP="00C043F1">
      <w:pPr>
        <w:rPr>
          <w:sz w:val="20"/>
          <w:szCs w:val="20"/>
        </w:rPr>
      </w:pPr>
      <w:r w:rsidRPr="00C043F1">
        <w:rPr>
          <w:rStyle w:val="EndnoteReference"/>
          <w:sz w:val="20"/>
          <w:szCs w:val="20"/>
        </w:rPr>
        <w:endnoteRef/>
      </w:r>
      <w:r w:rsidRPr="00C043F1">
        <w:rPr>
          <w:sz w:val="20"/>
          <w:szCs w:val="20"/>
        </w:rPr>
        <w:t xml:space="preserve"> </w:t>
      </w:r>
      <w:r w:rsidRPr="00C043F1">
        <w:rPr>
          <w:i/>
          <w:sz w:val="20"/>
          <w:szCs w:val="20"/>
        </w:rPr>
        <w:t xml:space="preserve">Ibid </w:t>
      </w:r>
      <w:r w:rsidRPr="00C043F1">
        <w:rPr>
          <w:sz w:val="20"/>
          <w:szCs w:val="20"/>
        </w:rPr>
        <w:t>at s. 80.41(1).</w:t>
      </w:r>
    </w:p>
  </w:endnote>
  <w:endnote w:id="37">
    <w:p w14:paraId="4E7581A1" w14:textId="34535C79" w:rsidR="003A2AE4" w:rsidRPr="004C47FB" w:rsidRDefault="003A2AE4" w:rsidP="004C47FB">
      <w:pPr>
        <w:rPr>
          <w:sz w:val="20"/>
          <w:szCs w:val="20"/>
        </w:rPr>
      </w:pPr>
      <w:r w:rsidRPr="00C043F1">
        <w:rPr>
          <w:rStyle w:val="EndnoteReference"/>
          <w:sz w:val="20"/>
          <w:szCs w:val="20"/>
        </w:rPr>
        <w:endnoteRef/>
      </w:r>
      <w:r w:rsidRPr="00C043F1">
        <w:rPr>
          <w:sz w:val="20"/>
          <w:szCs w:val="20"/>
        </w:rPr>
        <w:t xml:space="preserve"> </w:t>
      </w:r>
      <w:r w:rsidRPr="00C043F1">
        <w:rPr>
          <w:i/>
          <w:sz w:val="20"/>
          <w:szCs w:val="20"/>
        </w:rPr>
        <w:t xml:space="preserve">Ibid </w:t>
      </w:r>
      <w:r w:rsidRPr="00C043F1">
        <w:rPr>
          <w:sz w:val="20"/>
          <w:szCs w:val="20"/>
        </w:rPr>
        <w:t>at s. 80.20.</w:t>
      </w:r>
    </w:p>
  </w:endnote>
  <w:endnote w:id="38">
    <w:p w14:paraId="0CFADF46" w14:textId="06FC977E" w:rsidR="003A2AE4" w:rsidRDefault="003A2AE4">
      <w:pPr>
        <w:pStyle w:val="EndnoteText"/>
      </w:pPr>
      <w:r>
        <w:rPr>
          <w:rStyle w:val="EndnoteReference"/>
        </w:rPr>
        <w:endnoteRef/>
      </w:r>
      <w:r>
        <w:t xml:space="preserve"> Mayo Moran, “Second Legislative Review of the Accessibility for Ontarians with Disabilities Act, 2005” (November 2014), at p. 31. </w:t>
      </w:r>
    </w:p>
  </w:endnote>
  <w:endnote w:id="39">
    <w:p w14:paraId="0F54357B" w14:textId="7D2430A5" w:rsidR="003A2AE4" w:rsidRDefault="003A2AE4">
      <w:pPr>
        <w:pStyle w:val="EndnoteText"/>
      </w:pPr>
      <w:r>
        <w:rPr>
          <w:rStyle w:val="EndnoteReference"/>
        </w:rPr>
        <w:endnoteRef/>
      </w:r>
      <w:r>
        <w:t xml:space="preserve"> IASR, </w:t>
      </w:r>
      <w:r>
        <w:rPr>
          <w:i/>
        </w:rPr>
        <w:t xml:space="preserve">supra </w:t>
      </w:r>
      <w:r>
        <w:t xml:space="preserve">note 35 at s. 14. </w:t>
      </w:r>
    </w:p>
  </w:endnote>
  <w:endnote w:id="40">
    <w:p w14:paraId="2C947A3D" w14:textId="6E54103D" w:rsidR="003A2AE4" w:rsidRPr="00AC32FF" w:rsidRDefault="003A2AE4" w:rsidP="00B740A8">
      <w:pPr>
        <w:pStyle w:val="EndnoteText"/>
      </w:pPr>
      <w:r w:rsidRPr="00AC32FF">
        <w:rPr>
          <w:rStyle w:val="EndnoteReference"/>
        </w:rPr>
        <w:endnoteRef/>
      </w:r>
      <w:r w:rsidRPr="00AC32FF">
        <w:t xml:space="preserve">  </w:t>
      </w:r>
      <w:r w:rsidRPr="00AC32FF">
        <w:rPr>
          <w:i/>
        </w:rPr>
        <w:t xml:space="preserve">Accessibility Standards for Customer Service, </w:t>
      </w:r>
      <w:proofErr w:type="spellStart"/>
      <w:r w:rsidRPr="00AC32FF">
        <w:t>O.Reg</w:t>
      </w:r>
      <w:proofErr w:type="spellEnd"/>
      <w:r w:rsidRPr="00AC32FF">
        <w:t xml:space="preserve">. 429/07 s.6. </w:t>
      </w:r>
    </w:p>
  </w:endnote>
  <w:endnote w:id="41">
    <w:p w14:paraId="572245BC" w14:textId="77777777" w:rsidR="003A2AE4" w:rsidRPr="00AC32FF" w:rsidRDefault="003A2AE4">
      <w:pPr>
        <w:pStyle w:val="EndnoteText"/>
      </w:pPr>
      <w:r w:rsidRPr="00AC32FF">
        <w:rPr>
          <w:rStyle w:val="EndnoteReference"/>
        </w:rPr>
        <w:endnoteRef/>
      </w:r>
      <w:r w:rsidRPr="00AC32FF">
        <w:t xml:space="preserve"> </w:t>
      </w:r>
      <w:r w:rsidRPr="00AC32FF">
        <w:rPr>
          <w:lang w:val="en-CA"/>
        </w:rPr>
        <w:t xml:space="preserve">See </w:t>
      </w:r>
      <w:hyperlink r:id="rId3" w:tgtFrame="_blank" w:history="1">
        <w:r w:rsidRPr="00AC32FF">
          <w:rPr>
            <w:rStyle w:val="Hyperlink"/>
            <w:color w:val="auto"/>
            <w:u w:val="none"/>
          </w:rPr>
          <w:t>http://www.aodaalliance.org/strong-effective-aoda/03212011.asp</w:t>
        </w:r>
      </w:hyperlink>
    </w:p>
  </w:endnote>
  <w:endnote w:id="42">
    <w:p w14:paraId="1C0802C0" w14:textId="77777777" w:rsidR="00BE17B2" w:rsidRDefault="00BE17B2" w:rsidP="00BE17B2">
      <w:pPr>
        <w:pStyle w:val="EndnoteText"/>
      </w:pPr>
      <w:r>
        <w:rPr>
          <w:rStyle w:val="EndnoteReference"/>
        </w:rPr>
        <w:endnoteRef/>
      </w:r>
      <w:r>
        <w:t xml:space="preserve">  ODA, </w:t>
      </w:r>
      <w:r>
        <w:rPr>
          <w:i/>
        </w:rPr>
        <w:t xml:space="preserve">supra </w:t>
      </w:r>
      <w:r>
        <w:t>note 34.</w:t>
      </w:r>
    </w:p>
  </w:endnote>
  <w:endnote w:id="43">
    <w:p w14:paraId="05745D26" w14:textId="710D43EA" w:rsidR="003A2AE4" w:rsidRPr="00AC32FF" w:rsidRDefault="003A2AE4" w:rsidP="0018476F">
      <w:pPr>
        <w:pStyle w:val="BodyText"/>
        <w:rPr>
          <w:rFonts w:ascii="Times New Roman" w:hAnsi="Times New Roman" w:cs="Times New Roman"/>
          <w:b w:val="0"/>
          <w:sz w:val="20"/>
          <w:szCs w:val="20"/>
        </w:rPr>
      </w:pPr>
      <w:r w:rsidRPr="00AC32FF">
        <w:rPr>
          <w:rStyle w:val="EndnoteReference"/>
          <w:rFonts w:ascii="Times New Roman" w:hAnsi="Times New Roman" w:cs="Times New Roman"/>
          <w:b w:val="0"/>
          <w:sz w:val="20"/>
          <w:szCs w:val="20"/>
        </w:rPr>
        <w:endnoteRef/>
      </w:r>
      <w:r w:rsidRPr="00AC32FF">
        <w:rPr>
          <w:rFonts w:ascii="Times New Roman" w:hAnsi="Times New Roman" w:cs="Times New Roman"/>
          <w:b w:val="0"/>
          <w:sz w:val="20"/>
          <w:szCs w:val="20"/>
        </w:rPr>
        <w:t xml:space="preserve"> Ontario Human Rights Commission, "The opportunity to succeed: </w:t>
      </w:r>
      <w:bookmarkStart w:id="13" w:name="OLE_LINK1"/>
      <w:bookmarkStart w:id="14" w:name="OLE_LINK2"/>
      <w:r w:rsidRPr="00AC32FF">
        <w:rPr>
          <w:rFonts w:ascii="Times New Roman" w:hAnsi="Times New Roman" w:cs="Times New Roman"/>
          <w:b w:val="0"/>
          <w:sz w:val="20"/>
          <w:szCs w:val="20"/>
        </w:rPr>
        <w:t>Achieving barrier-free education for students with disabilities - Consultation Report</w:t>
      </w:r>
      <w:bookmarkEnd w:id="13"/>
      <w:bookmarkEnd w:id="14"/>
      <w:r w:rsidRPr="00AC32FF">
        <w:rPr>
          <w:rFonts w:ascii="Times New Roman" w:hAnsi="Times New Roman" w:cs="Times New Roman"/>
          <w:b w:val="0"/>
          <w:sz w:val="20"/>
          <w:szCs w:val="20"/>
        </w:rPr>
        <w:t>” 2003, online: &lt;</w:t>
      </w:r>
      <w:hyperlink r:id="rId4" w:history="1">
        <w:r w:rsidRPr="00AC32FF">
          <w:rPr>
            <w:rStyle w:val="Hyperlink"/>
            <w:rFonts w:ascii="Times New Roman" w:hAnsi="Times New Roman" w:cs="Times New Roman"/>
            <w:b w:val="0"/>
            <w:color w:val="auto"/>
            <w:sz w:val="20"/>
            <w:szCs w:val="20"/>
            <w:u w:val="none"/>
          </w:rPr>
          <w:t>http://www.ohrc.on.ca/en/opportunity-succeed-achieving-barrier-free-education-students-disabilities</w:t>
        </w:r>
      </w:hyperlink>
      <w:r w:rsidRPr="00AC32FF">
        <w:rPr>
          <w:rStyle w:val="Hyperlink"/>
          <w:rFonts w:ascii="Times New Roman" w:hAnsi="Times New Roman" w:cs="Times New Roman"/>
          <w:b w:val="0"/>
          <w:color w:val="auto"/>
          <w:sz w:val="20"/>
          <w:szCs w:val="20"/>
          <w:u w:val="none"/>
        </w:rPr>
        <w:t>&gt;</w:t>
      </w:r>
      <w:r w:rsidRPr="00AC32FF">
        <w:rPr>
          <w:rFonts w:ascii="Times New Roman" w:hAnsi="Times New Roman" w:cs="Times New Roman"/>
          <w:b w:val="0"/>
          <w:sz w:val="20"/>
          <w:szCs w:val="20"/>
        </w:rPr>
        <w:t xml:space="preserve">  </w:t>
      </w:r>
    </w:p>
  </w:endnote>
  <w:endnote w:id="44">
    <w:p w14:paraId="41120316" w14:textId="6BC0F30F" w:rsidR="003A2AE4" w:rsidRPr="000413FE" w:rsidRDefault="003A2AE4" w:rsidP="000413FE">
      <w:pPr>
        <w:rPr>
          <w:sz w:val="20"/>
          <w:szCs w:val="20"/>
        </w:rPr>
      </w:pPr>
      <w:r w:rsidRPr="00AC32FF">
        <w:rPr>
          <w:rStyle w:val="EndnoteReference"/>
          <w:sz w:val="20"/>
          <w:szCs w:val="20"/>
        </w:rPr>
        <w:endnoteRef/>
      </w:r>
      <w:r w:rsidRPr="00AC32FF">
        <w:rPr>
          <w:sz w:val="20"/>
          <w:szCs w:val="20"/>
        </w:rPr>
        <w:t xml:space="preserve"> Premier </w:t>
      </w:r>
      <w:proofErr w:type="spellStart"/>
      <w:r w:rsidRPr="00AC32FF">
        <w:rPr>
          <w:sz w:val="20"/>
          <w:szCs w:val="20"/>
        </w:rPr>
        <w:t>McGuinty's</w:t>
      </w:r>
      <w:proofErr w:type="spellEnd"/>
      <w:r w:rsidRPr="00AC32FF">
        <w:rPr>
          <w:sz w:val="20"/>
          <w:szCs w:val="20"/>
        </w:rPr>
        <w:t xml:space="preserve"> September 14, 2007 letter to the AODA Alliance is available online at: &lt;</w:t>
      </w:r>
      <w:hyperlink r:id="rId5" w:history="1">
        <w:r w:rsidRPr="00AC32FF">
          <w:rPr>
            <w:rStyle w:val="Hyperlink"/>
            <w:color w:val="auto"/>
            <w:sz w:val="20"/>
            <w:szCs w:val="20"/>
            <w:u w:val="none"/>
          </w:rPr>
          <w:t>http://www.aodaalliance.org/strong-effective-aoda/09142007.asp</w:t>
        </w:r>
      </w:hyperlink>
      <w:r w:rsidRPr="00AC32FF">
        <w:rPr>
          <w:sz w:val="20"/>
          <w:szCs w:val="20"/>
        </w:rPr>
        <w:t>&gt;</w:t>
      </w:r>
    </w:p>
  </w:endnote>
  <w:endnote w:id="45">
    <w:p w14:paraId="6B0D32F0" w14:textId="77D07354" w:rsidR="003A2AE4" w:rsidRDefault="003A2AE4">
      <w:pPr>
        <w:pStyle w:val="EndnoteText"/>
      </w:pPr>
      <w:r>
        <w:rPr>
          <w:rStyle w:val="EndnoteReference"/>
        </w:rPr>
        <w:endnoteRef/>
      </w:r>
      <w:r>
        <w:t xml:space="preserve"> AODA, </w:t>
      </w:r>
      <w:r>
        <w:rPr>
          <w:i/>
        </w:rPr>
        <w:t xml:space="preserve">supra </w:t>
      </w:r>
      <w:r>
        <w:t>note 10 at s. 9(3).</w:t>
      </w:r>
    </w:p>
  </w:endnote>
  <w:endnote w:id="46">
    <w:p w14:paraId="74681A1E" w14:textId="21DE3EFD" w:rsidR="003A2AE4" w:rsidRDefault="003A2AE4">
      <w:pPr>
        <w:pStyle w:val="EndnoteText"/>
      </w:pPr>
      <w:r>
        <w:rPr>
          <w:rStyle w:val="EndnoteReference"/>
        </w:rPr>
        <w:endnoteRef/>
      </w:r>
      <w:r>
        <w:t xml:space="preserve"> </w:t>
      </w:r>
      <w:r>
        <w:rPr>
          <w:i/>
        </w:rPr>
        <w:t xml:space="preserve">Ibid </w:t>
      </w:r>
      <w:r>
        <w:t>at s. 8(8).</w:t>
      </w:r>
    </w:p>
  </w:endnote>
  <w:endnote w:id="47">
    <w:p w14:paraId="58BEF7B1" w14:textId="3FEF76DC" w:rsidR="003A2AE4" w:rsidRDefault="003A2AE4">
      <w:pPr>
        <w:pStyle w:val="EndnoteText"/>
      </w:pPr>
      <w:r>
        <w:rPr>
          <w:rStyle w:val="EndnoteReference"/>
        </w:rPr>
        <w:endnoteRef/>
      </w:r>
      <w:r>
        <w:t xml:space="preserve"> </w:t>
      </w:r>
      <w:r>
        <w:rPr>
          <w:i/>
        </w:rPr>
        <w:t xml:space="preserve">Ibid </w:t>
      </w:r>
      <w:r>
        <w:t>at s. 9(5)-(6).</w:t>
      </w:r>
    </w:p>
  </w:endnote>
  <w:endnote w:id="48">
    <w:p w14:paraId="313138D0" w14:textId="4C645B20" w:rsidR="003A2AE4" w:rsidRDefault="003A2AE4">
      <w:pPr>
        <w:pStyle w:val="EndnoteText"/>
      </w:pPr>
      <w:r>
        <w:rPr>
          <w:rStyle w:val="EndnoteReference"/>
        </w:rPr>
        <w:endnoteRef/>
      </w:r>
      <w:r>
        <w:t xml:space="preserve"> </w:t>
      </w:r>
      <w:r>
        <w:rPr>
          <w:i/>
        </w:rPr>
        <w:t xml:space="preserve">Ibid </w:t>
      </w:r>
      <w:r>
        <w:t>at s. 10(2).</w:t>
      </w:r>
    </w:p>
  </w:endnote>
  <w:endnote w:id="49">
    <w:p w14:paraId="485D5289" w14:textId="096143FB" w:rsidR="003A2AE4" w:rsidRDefault="003A2AE4">
      <w:pPr>
        <w:pStyle w:val="EndnoteText"/>
      </w:pPr>
      <w:r>
        <w:rPr>
          <w:rStyle w:val="EndnoteReference"/>
        </w:rPr>
        <w:endnoteRef/>
      </w:r>
      <w:r>
        <w:t xml:space="preserve"> </w:t>
      </w:r>
      <w:r>
        <w:rPr>
          <w:i/>
        </w:rPr>
        <w:t xml:space="preserve">Ibid </w:t>
      </w:r>
      <w:r>
        <w:t>at s. 9(c)</w:t>
      </w:r>
    </w:p>
  </w:endnote>
  <w:endnote w:id="50">
    <w:p w14:paraId="3F343CD8" w14:textId="1B2506F6" w:rsidR="003A2AE4" w:rsidRDefault="003A2AE4">
      <w:pPr>
        <w:pStyle w:val="EndnoteText"/>
      </w:pPr>
      <w:r>
        <w:rPr>
          <w:rStyle w:val="EndnoteReference"/>
        </w:rPr>
        <w:endnoteRef/>
      </w:r>
      <w:r>
        <w:t xml:space="preserve"> </w:t>
      </w:r>
      <w:r>
        <w:rPr>
          <w:i/>
        </w:rPr>
        <w:t xml:space="preserve">Ibid </w:t>
      </w:r>
      <w:r>
        <w:t>at s. 10(2).</w:t>
      </w:r>
    </w:p>
  </w:endnote>
  <w:endnote w:id="51">
    <w:p w14:paraId="520EF399" w14:textId="7713F5E1" w:rsidR="003A2AE4" w:rsidRDefault="003A2AE4">
      <w:pPr>
        <w:pStyle w:val="EndnoteText"/>
      </w:pPr>
      <w:r>
        <w:rPr>
          <w:rStyle w:val="EndnoteReference"/>
        </w:rPr>
        <w:endnoteRef/>
      </w:r>
      <w:r>
        <w:t xml:space="preserve"> </w:t>
      </w:r>
      <w:r>
        <w:rPr>
          <w:i/>
        </w:rPr>
        <w:t xml:space="preserve">Ibid </w:t>
      </w:r>
      <w:r>
        <w:t>at s. 11(1).</w:t>
      </w:r>
    </w:p>
  </w:endnote>
  <w:endnote w:id="52">
    <w:p w14:paraId="22A41936" w14:textId="6E92564C" w:rsidR="003A2AE4" w:rsidRDefault="003A2AE4" w:rsidP="002F5FE1">
      <w:pPr>
        <w:pStyle w:val="EndnoteText"/>
      </w:pPr>
      <w:r>
        <w:rPr>
          <w:rStyle w:val="EndnoteReference"/>
        </w:rPr>
        <w:endnoteRef/>
      </w:r>
      <w:r>
        <w:t xml:space="preserve"> </w:t>
      </w:r>
      <w:r>
        <w:rPr>
          <w:i/>
        </w:rPr>
        <w:t xml:space="preserve">Ibid </w:t>
      </w:r>
      <w:r>
        <w:t>at s. 8(9).</w:t>
      </w:r>
    </w:p>
  </w:endnote>
  <w:endnote w:id="53">
    <w:p w14:paraId="0C680449" w14:textId="435C61FE" w:rsidR="003A2AE4" w:rsidRDefault="003A2AE4">
      <w:pPr>
        <w:pStyle w:val="EndnoteText"/>
      </w:pPr>
      <w:r>
        <w:rPr>
          <w:rStyle w:val="EndnoteReference"/>
        </w:rPr>
        <w:endnoteRef/>
      </w:r>
      <w:r>
        <w:t xml:space="preserve"> See the September 14, 2007 letter from Premier Dalton McGuinty to the AODA Alliance, </w:t>
      </w:r>
      <w:r w:rsidRPr="00DA2068">
        <w:rPr>
          <w:i/>
        </w:rPr>
        <w:t>supra</w:t>
      </w:r>
      <w:r>
        <w:t xml:space="preserve"> note 44.</w:t>
      </w:r>
    </w:p>
  </w:endnote>
  <w:endnote w:id="54">
    <w:p w14:paraId="0D792BEE" w14:textId="206F5FF5" w:rsidR="003A2AE4" w:rsidRDefault="003A2AE4">
      <w:pPr>
        <w:pStyle w:val="EndnoteText"/>
      </w:pPr>
      <w:r>
        <w:rPr>
          <w:rStyle w:val="EndnoteReference"/>
        </w:rPr>
        <w:endnoteRef/>
      </w:r>
      <w:r>
        <w:t xml:space="preserve">  AODA, </w:t>
      </w:r>
      <w:r>
        <w:rPr>
          <w:i/>
        </w:rPr>
        <w:t xml:space="preserve">supra </w:t>
      </w:r>
      <w:r>
        <w:t>note 10 at ss. 18-23.</w:t>
      </w:r>
    </w:p>
  </w:endnote>
  <w:endnote w:id="55">
    <w:p w14:paraId="480AAE01" w14:textId="01302C17" w:rsidR="003A2AE4" w:rsidRPr="00AC32FF" w:rsidRDefault="003A2AE4" w:rsidP="00AC32FF">
      <w:pPr>
        <w:rPr>
          <w:sz w:val="20"/>
          <w:szCs w:val="20"/>
        </w:rPr>
      </w:pPr>
      <w:r w:rsidRPr="00AC32FF">
        <w:rPr>
          <w:rStyle w:val="EndnoteReference"/>
          <w:sz w:val="20"/>
          <w:szCs w:val="20"/>
        </w:rPr>
        <w:endnoteRef/>
      </w:r>
      <w:r w:rsidRPr="00AC32FF">
        <w:rPr>
          <w:sz w:val="20"/>
          <w:szCs w:val="20"/>
        </w:rPr>
        <w:t xml:space="preserve"> See e.g. &lt;</w:t>
      </w:r>
      <w:hyperlink r:id="rId6" w:history="1">
        <w:r w:rsidRPr="00AC32FF">
          <w:rPr>
            <w:rStyle w:val="Hyperlink"/>
            <w:color w:val="auto"/>
            <w:sz w:val="20"/>
            <w:szCs w:val="20"/>
            <w:u w:val="none"/>
          </w:rPr>
          <w:t>http://www.aodaalliance.org/strong-effective-aoda/090220111.asp</w:t>
        </w:r>
      </w:hyperlink>
      <w:r w:rsidRPr="00AC32FF">
        <w:rPr>
          <w:rStyle w:val="Hyperlink"/>
          <w:color w:val="auto"/>
          <w:sz w:val="20"/>
          <w:szCs w:val="20"/>
          <w:u w:val="none"/>
        </w:rPr>
        <w:t>&gt;</w:t>
      </w:r>
      <w:r w:rsidRPr="00AC32FF">
        <w:rPr>
          <w:sz w:val="20"/>
          <w:szCs w:val="20"/>
        </w:rPr>
        <w:t xml:space="preserve"> </w:t>
      </w:r>
    </w:p>
  </w:endnote>
  <w:endnote w:id="56">
    <w:p w14:paraId="235B26E8" w14:textId="408F7FA8" w:rsidR="003A2AE4" w:rsidRPr="00AC32FF" w:rsidRDefault="003A2AE4" w:rsidP="00AC32FF">
      <w:pPr>
        <w:rPr>
          <w:sz w:val="20"/>
          <w:szCs w:val="20"/>
        </w:rPr>
      </w:pPr>
      <w:r w:rsidRPr="00AC32FF">
        <w:rPr>
          <w:rStyle w:val="EndnoteReference"/>
          <w:sz w:val="20"/>
          <w:szCs w:val="20"/>
        </w:rPr>
        <w:endnoteRef/>
      </w:r>
      <w:r w:rsidRPr="00AC32FF">
        <w:rPr>
          <w:sz w:val="20"/>
          <w:szCs w:val="20"/>
        </w:rPr>
        <w:t xml:space="preserve"> See &lt;</w:t>
      </w:r>
      <w:hyperlink r:id="rId7" w:history="1">
        <w:r w:rsidRPr="00AC32FF">
          <w:rPr>
            <w:rStyle w:val="Hyperlink"/>
            <w:color w:val="auto"/>
            <w:sz w:val="20"/>
            <w:szCs w:val="20"/>
            <w:u w:val="none"/>
          </w:rPr>
          <w:t>http://www.aodaalliance.org/strong-effective-aoda/11182013.asp</w:t>
        </w:r>
      </w:hyperlink>
      <w:r w:rsidRPr="00AC32FF">
        <w:rPr>
          <w:rStyle w:val="Hyperlink"/>
          <w:color w:val="auto"/>
          <w:sz w:val="20"/>
          <w:szCs w:val="20"/>
          <w:u w:val="none"/>
        </w:rPr>
        <w:t>&gt;</w:t>
      </w:r>
      <w:r w:rsidRPr="00AC32FF">
        <w:rPr>
          <w:sz w:val="20"/>
          <w:szCs w:val="20"/>
        </w:rPr>
        <w:t xml:space="preserve"> and &lt;</w:t>
      </w:r>
      <w:hyperlink r:id="rId8" w:history="1">
        <w:r w:rsidRPr="00AC32FF">
          <w:rPr>
            <w:rStyle w:val="Hyperlink"/>
            <w:color w:val="auto"/>
            <w:sz w:val="20"/>
            <w:szCs w:val="20"/>
            <w:u w:val="none"/>
          </w:rPr>
          <w:t>http://www.aodaalliance.org/strong-effective-aoda/01272016.asp</w:t>
        </w:r>
      </w:hyperlink>
      <w:r w:rsidRPr="00AC32FF">
        <w:rPr>
          <w:rStyle w:val="Hyperlink"/>
          <w:color w:val="auto"/>
          <w:sz w:val="20"/>
          <w:szCs w:val="20"/>
          <w:u w:val="none"/>
        </w:rPr>
        <w:t>&gt;</w:t>
      </w:r>
      <w:r w:rsidRPr="00AC32FF">
        <w:rPr>
          <w:sz w:val="20"/>
          <w:szCs w:val="20"/>
        </w:rPr>
        <w:t xml:space="preserve"> </w:t>
      </w:r>
    </w:p>
  </w:endnote>
  <w:endnote w:id="57">
    <w:p w14:paraId="7AF05F14" w14:textId="34EDEF85" w:rsidR="003A2AE4" w:rsidRPr="00AC32FF" w:rsidRDefault="003A2AE4">
      <w:pPr>
        <w:pStyle w:val="EndnoteText"/>
      </w:pPr>
      <w:r w:rsidRPr="00AC32FF">
        <w:rPr>
          <w:rStyle w:val="EndnoteReference"/>
        </w:rPr>
        <w:endnoteRef/>
      </w:r>
      <w:r w:rsidRPr="00AC32FF">
        <w:t xml:space="preserve"> AODA, </w:t>
      </w:r>
      <w:r w:rsidRPr="00AC32FF">
        <w:rPr>
          <w:i/>
        </w:rPr>
        <w:t>supra</w:t>
      </w:r>
      <w:r w:rsidRPr="00AC32FF">
        <w:t xml:space="preserve"> note 10 at ss. 18-20.</w:t>
      </w:r>
    </w:p>
  </w:endnote>
  <w:endnote w:id="58">
    <w:p w14:paraId="727C896F" w14:textId="5A359431" w:rsidR="003A2AE4" w:rsidRPr="00AC32FF" w:rsidRDefault="003A2AE4">
      <w:pPr>
        <w:pStyle w:val="EndnoteText"/>
      </w:pPr>
      <w:r w:rsidRPr="00AC32FF">
        <w:rPr>
          <w:rStyle w:val="EndnoteReference"/>
        </w:rPr>
        <w:endnoteRef/>
      </w:r>
      <w:r w:rsidRPr="00AC32FF">
        <w:t xml:space="preserve"> </w:t>
      </w:r>
      <w:r w:rsidRPr="00AC32FF">
        <w:rPr>
          <w:i/>
        </w:rPr>
        <w:t xml:space="preserve">Ibid </w:t>
      </w:r>
      <w:r w:rsidRPr="00AC32FF">
        <w:t>at ss. 26-28.</w:t>
      </w:r>
    </w:p>
  </w:endnote>
  <w:endnote w:id="59">
    <w:p w14:paraId="2EB15B3D" w14:textId="55A80671" w:rsidR="003A2AE4" w:rsidRPr="00AC32FF" w:rsidRDefault="003A2AE4">
      <w:pPr>
        <w:pStyle w:val="EndnoteText"/>
      </w:pPr>
      <w:r w:rsidRPr="00AC32FF">
        <w:rPr>
          <w:rStyle w:val="EndnoteReference"/>
        </w:rPr>
        <w:endnoteRef/>
      </w:r>
      <w:r w:rsidRPr="00AC32FF">
        <w:t xml:space="preserve"> </w:t>
      </w:r>
      <w:r w:rsidRPr="00AC32FF">
        <w:rPr>
          <w:lang w:val="en-CA"/>
        </w:rPr>
        <w:t>See “Putting Teeth into the Ontarians with Disabilities Act, online: &lt;</w:t>
      </w:r>
      <w:hyperlink r:id="rId9" w:history="1">
        <w:r w:rsidRPr="00AC32FF">
          <w:rPr>
            <w:rStyle w:val="Hyperlink"/>
            <w:color w:val="auto"/>
            <w:u w:val="none"/>
            <w:lang w:val="en-CA"/>
          </w:rPr>
          <w:t>http://www.odacommittee.net/ODA_Discussion_Paper.html</w:t>
        </w:r>
      </w:hyperlink>
      <w:r w:rsidRPr="00AC32FF">
        <w:rPr>
          <w:lang w:val="en-CA"/>
        </w:rPr>
        <w:t>&gt;</w:t>
      </w:r>
    </w:p>
  </w:endnote>
  <w:endnote w:id="60">
    <w:p w14:paraId="342D8AAC" w14:textId="5C213662" w:rsidR="003A2AE4" w:rsidRPr="00AC32FF" w:rsidRDefault="003A2AE4" w:rsidP="00AC32FF">
      <w:pPr>
        <w:rPr>
          <w:sz w:val="20"/>
          <w:szCs w:val="20"/>
        </w:rPr>
      </w:pPr>
      <w:r w:rsidRPr="00AC32FF">
        <w:rPr>
          <w:rStyle w:val="EndnoteReference"/>
          <w:sz w:val="20"/>
          <w:szCs w:val="20"/>
        </w:rPr>
        <w:endnoteRef/>
      </w:r>
      <w:r w:rsidRPr="00AC32FF">
        <w:rPr>
          <w:sz w:val="20"/>
          <w:szCs w:val="20"/>
        </w:rPr>
        <w:t xml:space="preserve"> See &lt;</w:t>
      </w:r>
      <w:hyperlink r:id="rId10" w:history="1">
        <w:r w:rsidRPr="00AC32FF">
          <w:rPr>
            <w:rStyle w:val="Hyperlink"/>
            <w:color w:val="auto"/>
            <w:sz w:val="20"/>
            <w:szCs w:val="20"/>
            <w:u w:val="none"/>
          </w:rPr>
          <w:t>http://www.aodaalliance.org/strong-effective-aoda/11212013.asp</w:t>
        </w:r>
      </w:hyperlink>
      <w:r w:rsidRPr="00AC32FF">
        <w:rPr>
          <w:rStyle w:val="Hyperlink"/>
          <w:color w:val="auto"/>
          <w:sz w:val="20"/>
          <w:szCs w:val="20"/>
          <w:u w:val="none"/>
        </w:rPr>
        <w:t>&gt;</w:t>
      </w:r>
      <w:r w:rsidRPr="00AC32FF">
        <w:rPr>
          <w:sz w:val="20"/>
          <w:szCs w:val="20"/>
        </w:rPr>
        <w:t xml:space="preserve"> and &lt;</w:t>
      </w:r>
      <w:hyperlink r:id="rId11" w:history="1">
        <w:r w:rsidRPr="00AC32FF">
          <w:rPr>
            <w:rStyle w:val="Hyperlink"/>
            <w:color w:val="auto"/>
            <w:sz w:val="20"/>
            <w:szCs w:val="20"/>
            <w:u w:val="none"/>
          </w:rPr>
          <w:t>http://www.aodaalliance.org/strong-effective-aoda/12032015.asp</w:t>
        </w:r>
      </w:hyperlink>
      <w:r w:rsidRPr="00AC32FF">
        <w:rPr>
          <w:rStyle w:val="Hyperlink"/>
          <w:color w:val="auto"/>
          <w:sz w:val="20"/>
          <w:szCs w:val="20"/>
          <w:u w:val="none"/>
        </w:rPr>
        <w:t>&gt;</w:t>
      </w:r>
      <w:r w:rsidRPr="00AC32FF">
        <w:rPr>
          <w:sz w:val="20"/>
          <w:szCs w:val="20"/>
        </w:rPr>
        <w:t xml:space="preserve"> </w:t>
      </w:r>
    </w:p>
  </w:endnote>
  <w:endnote w:id="61">
    <w:p w14:paraId="522DC1DF" w14:textId="1816DFAC" w:rsidR="003A2AE4" w:rsidRDefault="003A2AE4">
      <w:pPr>
        <w:pStyle w:val="EndnoteText"/>
      </w:pPr>
      <w:r w:rsidRPr="00AC32FF">
        <w:rPr>
          <w:rStyle w:val="EndnoteReference"/>
        </w:rPr>
        <w:endnoteRef/>
      </w:r>
      <w:r w:rsidRPr="00AC32FF">
        <w:t xml:space="preserve"> See &lt;</w:t>
      </w:r>
      <w:hyperlink r:id="rId12" w:history="1">
        <w:r w:rsidRPr="00AC32FF">
          <w:rPr>
            <w:rStyle w:val="Hyperlink"/>
            <w:color w:val="auto"/>
            <w:u w:val="none"/>
          </w:rPr>
          <w:t>http://www.aodaalliance.org/strong-effective-aoda/03232015.asp</w:t>
        </w:r>
      </w:hyperlink>
      <w:r w:rsidRPr="00AC32FF">
        <w:rPr>
          <w:rStyle w:val="Hyperlink"/>
          <w:color w:val="auto"/>
          <w:u w:val="none"/>
        </w:rPr>
        <w:t>&gt;</w:t>
      </w:r>
      <w:r>
        <w:t xml:space="preserve"> </w:t>
      </w:r>
    </w:p>
  </w:endnote>
  <w:endnote w:id="62">
    <w:p w14:paraId="40737C9A" w14:textId="53D05DFA" w:rsidR="003A2AE4" w:rsidRPr="00AC32FF" w:rsidRDefault="003A2AE4">
      <w:pPr>
        <w:pStyle w:val="EndnoteText"/>
      </w:pPr>
      <w:r>
        <w:rPr>
          <w:rStyle w:val="EndnoteReference"/>
        </w:rPr>
        <w:endnoteRef/>
      </w:r>
      <w:r>
        <w:t xml:space="preserve"> Discussion Guide, </w:t>
      </w:r>
      <w:r>
        <w:rPr>
          <w:i/>
        </w:rPr>
        <w:t xml:space="preserve">supra </w:t>
      </w:r>
      <w:r>
        <w:t>note 9 at s. 4.2.</w:t>
      </w:r>
    </w:p>
  </w:endnote>
  <w:endnote w:id="63">
    <w:p w14:paraId="297FEBB3" w14:textId="3CFAA1EF" w:rsidR="003A2AE4" w:rsidRPr="0012371B" w:rsidRDefault="003A2AE4" w:rsidP="0092191A">
      <w:pPr>
        <w:pStyle w:val="EndnoteText"/>
        <w:rPr>
          <w:highlight w:val="yellow"/>
        </w:rPr>
      </w:pPr>
      <w:r w:rsidRPr="003A2AE4">
        <w:rPr>
          <w:rStyle w:val="EndnoteReference"/>
        </w:rPr>
        <w:endnoteRef/>
      </w:r>
      <w:r w:rsidRPr="003A2AE4">
        <w:t xml:space="preserve">  IASR, </w:t>
      </w:r>
      <w:r w:rsidRPr="003A2AE4">
        <w:rPr>
          <w:i/>
        </w:rPr>
        <w:t xml:space="preserve">supra </w:t>
      </w:r>
      <w:r w:rsidRPr="003A2AE4">
        <w:t xml:space="preserve">note 35 s. 4(1)-(3). </w:t>
      </w:r>
    </w:p>
  </w:endnote>
  <w:endnote w:id="64">
    <w:p w14:paraId="2B81FE02" w14:textId="039FA5F0" w:rsidR="003A2AE4" w:rsidRPr="00420EAC" w:rsidRDefault="003A2AE4">
      <w:pPr>
        <w:pStyle w:val="EndnoteText"/>
      </w:pPr>
      <w:r w:rsidRPr="00420EAC">
        <w:rPr>
          <w:rStyle w:val="EndnoteReference"/>
        </w:rPr>
        <w:endnoteRef/>
      </w:r>
      <w:r w:rsidRPr="00420EAC">
        <w:t xml:space="preserve"> </w:t>
      </w:r>
      <w:r w:rsidR="00420EAC" w:rsidRPr="00420EAC">
        <w:t>See</w:t>
      </w:r>
      <w:r w:rsidR="00420EAC">
        <w:t xml:space="preserve"> for example: </w:t>
      </w:r>
      <w:r w:rsidR="00420EAC">
        <w:rPr>
          <w:i/>
        </w:rPr>
        <w:t>8647 v. Director under the Accessibility for Ontarians with Disabilities</w:t>
      </w:r>
      <w:r w:rsidR="00373ED7">
        <w:rPr>
          <w:i/>
        </w:rPr>
        <w:t xml:space="preserve"> Act, 2005</w:t>
      </w:r>
      <w:r w:rsidR="00420EAC">
        <w:rPr>
          <w:i/>
        </w:rPr>
        <w:t xml:space="preserve">, </w:t>
      </w:r>
      <w:r w:rsidR="00420EAC">
        <w:t xml:space="preserve">2014 </w:t>
      </w:r>
      <w:proofErr w:type="spellStart"/>
      <w:r w:rsidR="00420EAC">
        <w:t>CanLII</w:t>
      </w:r>
      <w:proofErr w:type="spellEnd"/>
      <w:r w:rsidR="00420EAC">
        <w:t xml:space="preserve"> 46363 (ON LAT); </w:t>
      </w:r>
      <w:r w:rsidR="00420EAC">
        <w:rPr>
          <w:i/>
        </w:rPr>
        <w:t>8677 v. Director under the Accessibility for Ontarians with Disabilities</w:t>
      </w:r>
      <w:r w:rsidR="00373ED7">
        <w:rPr>
          <w:i/>
        </w:rPr>
        <w:t xml:space="preserve"> Act, 2005</w:t>
      </w:r>
      <w:r w:rsidR="00420EAC">
        <w:rPr>
          <w:i/>
        </w:rPr>
        <w:t xml:space="preserve">, </w:t>
      </w:r>
      <w:r w:rsidR="00420EAC">
        <w:t xml:space="preserve">2014 </w:t>
      </w:r>
      <w:proofErr w:type="spellStart"/>
      <w:r w:rsidR="00420EAC">
        <w:t>CanLII</w:t>
      </w:r>
      <w:proofErr w:type="spellEnd"/>
      <w:r w:rsidR="00420EAC">
        <w:t xml:space="preserve"> 46359 (ON LAT).</w:t>
      </w:r>
    </w:p>
  </w:endnote>
  <w:endnote w:id="65">
    <w:p w14:paraId="34FA4D3F" w14:textId="1014EA5F" w:rsidR="003A2AE4" w:rsidRPr="001A582B" w:rsidRDefault="003A2AE4">
      <w:pPr>
        <w:pStyle w:val="EndnoteText"/>
      </w:pPr>
      <w:r w:rsidRPr="001A582B">
        <w:rPr>
          <w:rStyle w:val="EndnoteReference"/>
        </w:rPr>
        <w:endnoteRef/>
      </w:r>
      <w:r w:rsidRPr="001A582B">
        <w:t xml:space="preserve"> </w:t>
      </w:r>
      <w:r w:rsidRPr="001A582B">
        <w:rPr>
          <w:i/>
        </w:rPr>
        <w:t xml:space="preserve">Optional Protocol to the Convention on the Rights of Persons with Disabilities, </w:t>
      </w:r>
      <w:r w:rsidRPr="001A582B">
        <w:rPr>
          <w:rFonts w:ascii="Times" w:eastAsia="Times New Roman" w:hAnsi="Times"/>
          <w:lang w:val="en-CA"/>
        </w:rPr>
        <w:t>G.A. Res. 61/106 (2007)</w:t>
      </w:r>
      <w:r w:rsidR="001A582B">
        <w:rPr>
          <w:rFonts w:ascii="Times" w:eastAsia="Times New Roman" w:hAnsi="Times"/>
          <w:lang w:val="en-CA"/>
        </w:rPr>
        <w:t>.</w:t>
      </w:r>
    </w:p>
  </w:endnote>
  <w:endnote w:id="66">
    <w:p w14:paraId="01723E69" w14:textId="15890264" w:rsidR="003A2AE4" w:rsidRPr="001A582B" w:rsidRDefault="003A2AE4">
      <w:pPr>
        <w:pStyle w:val="EndnoteText"/>
      </w:pPr>
      <w:r w:rsidRPr="001A582B">
        <w:rPr>
          <w:rStyle w:val="EndnoteReference"/>
        </w:rPr>
        <w:endnoteRef/>
      </w:r>
      <w:r w:rsidRPr="001A582B">
        <w:t xml:space="preserve"> AODA, </w:t>
      </w:r>
      <w:r w:rsidRPr="001A582B">
        <w:rPr>
          <w:i/>
        </w:rPr>
        <w:t xml:space="preserve">supra </w:t>
      </w:r>
      <w:r w:rsidRPr="001A582B">
        <w:t>note 10 at s. 38 provides for this.</w:t>
      </w:r>
    </w:p>
  </w:endnote>
  <w:endnote w:id="67">
    <w:p w14:paraId="16D0F16D" w14:textId="524FDE0F" w:rsidR="003A2AE4" w:rsidRPr="0012371B" w:rsidRDefault="003A2AE4">
      <w:pPr>
        <w:pStyle w:val="EndnoteText"/>
        <w:rPr>
          <w:highlight w:val="yellow"/>
        </w:rPr>
      </w:pPr>
      <w:r w:rsidRPr="001A582B">
        <w:rPr>
          <w:rStyle w:val="EndnoteReference"/>
        </w:rPr>
        <w:endnoteRef/>
      </w:r>
      <w:r w:rsidRPr="001A582B">
        <w:t xml:space="preserve"> See the ODA, </w:t>
      </w:r>
      <w:r w:rsidRPr="001A582B">
        <w:rPr>
          <w:i/>
        </w:rPr>
        <w:t xml:space="preserve">supra </w:t>
      </w:r>
      <w:r w:rsidRPr="001A582B">
        <w:t xml:space="preserve">note </w:t>
      </w:r>
      <w:r w:rsidR="001A582B" w:rsidRPr="001A582B">
        <w:t>34 at</w:t>
      </w:r>
      <w:r w:rsidR="001A582B">
        <w:t xml:space="preserve"> ss. 4-</w:t>
      </w:r>
      <w:r w:rsidR="001A582B" w:rsidRPr="001A582B">
        <w:t>5.</w:t>
      </w:r>
    </w:p>
  </w:endnote>
  <w:endnote w:id="68">
    <w:p w14:paraId="68CAADAD" w14:textId="3471E2C2" w:rsidR="003A2AE4" w:rsidRDefault="003A2AE4" w:rsidP="001F5D6F">
      <w:pPr>
        <w:pStyle w:val="EndnoteText"/>
      </w:pPr>
      <w:r w:rsidRPr="001A582B">
        <w:rPr>
          <w:rStyle w:val="EndnoteReference"/>
        </w:rPr>
        <w:endnoteRef/>
      </w:r>
      <w:r w:rsidRPr="001A582B">
        <w:t xml:space="preserve"> </w:t>
      </w:r>
      <w:r w:rsidR="001A582B" w:rsidRPr="001A582B">
        <w:t xml:space="preserve">IASR, </w:t>
      </w:r>
      <w:r w:rsidR="001A582B" w:rsidRPr="001A582B">
        <w:rPr>
          <w:i/>
        </w:rPr>
        <w:t xml:space="preserve">supra </w:t>
      </w:r>
      <w:r w:rsidR="001A582B" w:rsidRPr="001A582B">
        <w:t>note 35 at</w:t>
      </w:r>
      <w:r w:rsidRPr="001A582B">
        <w:t xml:space="preserve"> ss. 5</w:t>
      </w:r>
      <w:r w:rsidR="001A582B" w:rsidRPr="001A582B">
        <w:t>-</w:t>
      </w:r>
      <w:r w:rsidRPr="001A582B">
        <w:t>6</w:t>
      </w:r>
      <w:r w:rsidR="001A582B" w:rsidRPr="001A582B">
        <w:t>.</w:t>
      </w:r>
    </w:p>
  </w:endnote>
  <w:endnote w:id="69">
    <w:p w14:paraId="4275AB57" w14:textId="4B487F26" w:rsidR="003A2AE4" w:rsidRDefault="003A2AE4">
      <w:pPr>
        <w:pStyle w:val="EndnoteText"/>
      </w:pPr>
      <w:r>
        <w:rPr>
          <w:rStyle w:val="EndnoteReference"/>
        </w:rPr>
        <w:endnoteRef/>
      </w:r>
      <w:r>
        <w:t xml:space="preserve">  </w:t>
      </w:r>
      <w:r w:rsidRPr="00CA4C96">
        <w:rPr>
          <w:i/>
        </w:rPr>
        <w:t>Eldridge</w:t>
      </w:r>
      <w:r>
        <w:rPr>
          <w:i/>
        </w:rPr>
        <w:t>,</w:t>
      </w:r>
      <w:r>
        <w:t xml:space="preserve"> </w:t>
      </w:r>
      <w:r w:rsidRPr="00CA4C96">
        <w:rPr>
          <w:i/>
        </w:rPr>
        <w:t>supra</w:t>
      </w:r>
      <w:r>
        <w:t xml:space="preserve"> note 5. </w:t>
      </w:r>
    </w:p>
  </w:endnote>
  <w:endnote w:id="70">
    <w:p w14:paraId="373AF08A" w14:textId="77777777" w:rsidR="003A2AE4" w:rsidRPr="00CA4C96" w:rsidRDefault="003A2AE4">
      <w:pPr>
        <w:pStyle w:val="EndnoteText"/>
      </w:pPr>
      <w:r w:rsidRPr="00CA4C96">
        <w:rPr>
          <w:rStyle w:val="EndnoteReference"/>
        </w:rPr>
        <w:endnoteRef/>
      </w:r>
      <w:r w:rsidRPr="00CA4C96">
        <w:t xml:space="preserve"> </w:t>
      </w:r>
      <w:r w:rsidRPr="00CA4C96">
        <w:rPr>
          <w:lang w:val="en-CA"/>
        </w:rPr>
        <w:t>For a detailed guide on how to conduct such reviews, see David Lepofsky and Prof. Randal Graham "Universal Design in Legislative Drafting – How To Ensure Legislation is Barrier-Free for People with Disabilities" (2009), 27 National Journal of Constitutional Law 129-157.</w:t>
      </w:r>
    </w:p>
  </w:endnote>
  <w:endnote w:id="71">
    <w:p w14:paraId="6B2A9FFE" w14:textId="77777777" w:rsidR="003A2AE4" w:rsidRPr="00CA4C96" w:rsidRDefault="003A2AE4">
      <w:pPr>
        <w:pStyle w:val="EndnoteText"/>
      </w:pPr>
      <w:r w:rsidRPr="00CA4C96">
        <w:rPr>
          <w:rStyle w:val="EndnoteReference"/>
        </w:rPr>
        <w:endnoteRef/>
      </w:r>
      <w:r w:rsidRPr="00CA4C96">
        <w:t xml:space="preserve"> </w:t>
      </w:r>
      <w:r w:rsidRPr="00CA4C96">
        <w:rPr>
          <w:i/>
          <w:lang w:val="en-CA"/>
        </w:rPr>
        <w:t>Hughes v. Elections Canada</w:t>
      </w:r>
      <w:r w:rsidRPr="00CA4C96">
        <w:rPr>
          <w:lang w:val="en-CA"/>
        </w:rPr>
        <w:t xml:space="preserve"> 2010 CHRT</w:t>
      </w:r>
    </w:p>
  </w:endnote>
  <w:endnote w:id="72">
    <w:p w14:paraId="5D48C683" w14:textId="71002927" w:rsidR="003A2AE4" w:rsidRPr="00CA4C96" w:rsidRDefault="003A2AE4">
      <w:pPr>
        <w:pStyle w:val="EndnoteText"/>
      </w:pPr>
      <w:r w:rsidRPr="00CA4C96">
        <w:rPr>
          <w:rStyle w:val="EndnoteReference"/>
        </w:rPr>
        <w:endnoteRef/>
      </w:r>
      <w:r w:rsidRPr="00CA4C96">
        <w:t xml:space="preserve"> </w:t>
      </w:r>
      <w:r w:rsidRPr="00CA4C96">
        <w:rPr>
          <w:lang w:val="en-CA"/>
        </w:rPr>
        <w:t xml:space="preserve"> This is documented at length online at: &lt;</w:t>
      </w:r>
      <w:hyperlink r:id="rId13" w:history="1">
        <w:r w:rsidRPr="00CA4C96">
          <w:rPr>
            <w:rStyle w:val="Hyperlink"/>
            <w:color w:val="auto"/>
            <w:u w:val="none"/>
            <w:lang w:val="en-CA"/>
          </w:rPr>
          <w:t>http://www.aodaalliance.org/strong-effective-aoda/ElectionInOntario.asp</w:t>
        </w:r>
      </w:hyperlink>
      <w:r w:rsidRPr="00CA4C96">
        <w:rPr>
          <w:rStyle w:val="Hyperlink"/>
          <w:color w:val="auto"/>
          <w:u w:val="none"/>
          <w:lang w:val="en-CA"/>
        </w:rPr>
        <w:t>&gt;</w:t>
      </w:r>
    </w:p>
  </w:endnote>
  <w:endnote w:id="73">
    <w:p w14:paraId="4BF47784" w14:textId="722FC7DD" w:rsidR="003A2AE4" w:rsidRPr="00CA4C96" w:rsidRDefault="003A2AE4">
      <w:pPr>
        <w:pStyle w:val="EndnoteText"/>
      </w:pPr>
      <w:r w:rsidRPr="00CA4C96">
        <w:rPr>
          <w:rStyle w:val="EndnoteReference"/>
        </w:rPr>
        <w:endnoteRef/>
      </w:r>
      <w:r w:rsidRPr="00CA4C96">
        <w:t xml:space="preserve"> See </w:t>
      </w:r>
      <w:r w:rsidRPr="0012371B">
        <w:rPr>
          <w:i/>
        </w:rPr>
        <w:t>Jodhan v. Canada</w:t>
      </w:r>
      <w:r w:rsidRPr="00CA4C96">
        <w:t xml:space="preserve">, </w:t>
      </w:r>
      <w:r w:rsidRPr="00CA4C96">
        <w:rPr>
          <w:i/>
        </w:rPr>
        <w:t>supra</w:t>
      </w:r>
      <w:r w:rsidRPr="00CA4C96">
        <w:t xml:space="preserve"> n. 14 and 15. </w:t>
      </w:r>
    </w:p>
  </w:endnote>
  <w:endnote w:id="74">
    <w:p w14:paraId="35594DB0" w14:textId="59754B02" w:rsidR="003A2AE4" w:rsidRPr="0012371B" w:rsidRDefault="003A2AE4" w:rsidP="0012371B">
      <w:pPr>
        <w:widowControl w:val="0"/>
        <w:rPr>
          <w:sz w:val="20"/>
          <w:szCs w:val="20"/>
          <w:lang w:val="en-CA"/>
        </w:rPr>
      </w:pPr>
      <w:r w:rsidRPr="00CA4C96">
        <w:rPr>
          <w:rStyle w:val="EndnoteReference"/>
          <w:sz w:val="20"/>
          <w:szCs w:val="20"/>
        </w:rPr>
        <w:endnoteRef/>
      </w:r>
      <w:r w:rsidRPr="00CA4C96">
        <w:rPr>
          <w:sz w:val="20"/>
          <w:szCs w:val="20"/>
        </w:rPr>
        <w:t xml:space="preserve"> </w:t>
      </w:r>
      <w:r w:rsidRPr="00CA4C96">
        <w:rPr>
          <w:sz w:val="20"/>
          <w:szCs w:val="20"/>
          <w:lang w:val="en-CA"/>
        </w:rPr>
        <w:t xml:space="preserve">The Ontario Human Rights Tribunal included such a requirement for senior Toronto Transit Commission officials in </w:t>
      </w:r>
      <w:r w:rsidRPr="00CA4C96">
        <w:rPr>
          <w:i/>
          <w:sz w:val="20"/>
          <w:szCs w:val="20"/>
          <w:lang w:val="en-CA"/>
        </w:rPr>
        <w:t>Lepofsky v. TTC #2</w:t>
      </w:r>
      <w:r w:rsidRPr="00CA4C96">
        <w:rPr>
          <w:sz w:val="20"/>
          <w:szCs w:val="20"/>
          <w:lang w:val="en-CA"/>
        </w:rPr>
        <w:t xml:space="preserve"> 2007 HRTO 41 (</w:t>
      </w:r>
      <w:proofErr w:type="spellStart"/>
      <w:r w:rsidRPr="00CA4C96">
        <w:rPr>
          <w:sz w:val="20"/>
          <w:szCs w:val="20"/>
          <w:lang w:val="en-CA"/>
        </w:rPr>
        <w:t>CanLII</w:t>
      </w:r>
      <w:proofErr w:type="spellEnd"/>
      <w:r w:rsidRPr="00CA4C96">
        <w:rPr>
          <w:sz w:val="20"/>
          <w:szCs w:val="20"/>
          <w:lang w:val="en-CA"/>
        </w:rPr>
        <w:t>)</w:t>
      </w:r>
      <w:r>
        <w:rPr>
          <w:sz w:val="20"/>
          <w:szCs w:val="20"/>
          <w:lang w:val="en-CA"/>
        </w:rPr>
        <w:t>.</w:t>
      </w:r>
    </w:p>
  </w:endnote>
  <w:endnote w:id="75">
    <w:p w14:paraId="3E0620F2" w14:textId="6E282869" w:rsidR="003A2AE4" w:rsidRDefault="003A2AE4">
      <w:pPr>
        <w:pStyle w:val="EndnoteText"/>
      </w:pPr>
      <w:r>
        <w:rPr>
          <w:rStyle w:val="EndnoteReference"/>
        </w:rPr>
        <w:endnoteRef/>
      </w:r>
      <w:r>
        <w:t xml:space="preserve">Since 2001, this has been required by law. See the ODA, </w:t>
      </w:r>
      <w:r>
        <w:rPr>
          <w:i/>
        </w:rPr>
        <w:t xml:space="preserve">supra </w:t>
      </w:r>
      <w:r>
        <w:t>note 34, at s. 8.</w:t>
      </w:r>
    </w:p>
  </w:endnote>
  <w:endnote w:id="76">
    <w:p w14:paraId="0C2AACBF" w14:textId="21A57A29" w:rsidR="003A2AE4" w:rsidRPr="001A582B" w:rsidRDefault="003A2AE4">
      <w:pPr>
        <w:pStyle w:val="EndnoteText"/>
      </w:pPr>
      <w:r w:rsidRPr="001A582B">
        <w:rPr>
          <w:rStyle w:val="EndnoteReference"/>
        </w:rPr>
        <w:endnoteRef/>
      </w:r>
      <w:r w:rsidRPr="001A582B">
        <w:t xml:space="preserve"> See: &lt;</w:t>
      </w:r>
      <w:hyperlink r:id="rId14" w:history="1">
        <w:r w:rsidRPr="001A582B">
          <w:rPr>
            <w:rStyle w:val="Hyperlink"/>
            <w:color w:val="auto"/>
            <w:u w:val="none"/>
          </w:rPr>
          <w:t>http://www.aodaalliance.org/strong-effective-aoda/06282011.asp</w:t>
        </w:r>
      </w:hyperlink>
      <w:r w:rsidRPr="001A582B">
        <w:t>&gt;</w:t>
      </w:r>
    </w:p>
  </w:endnote>
  <w:endnote w:id="77">
    <w:p w14:paraId="010A213C" w14:textId="4617C78D" w:rsidR="003A2AE4" w:rsidRPr="001A582B" w:rsidRDefault="003A2AE4" w:rsidP="001A582B">
      <w:pPr>
        <w:widowControl w:val="0"/>
      </w:pPr>
      <w:r w:rsidRPr="001A582B">
        <w:rPr>
          <w:rStyle w:val="EndnoteReference"/>
          <w:sz w:val="20"/>
          <w:szCs w:val="20"/>
        </w:rPr>
        <w:endnoteRef/>
      </w:r>
      <w:r w:rsidRPr="001A582B">
        <w:rPr>
          <w:sz w:val="20"/>
          <w:szCs w:val="20"/>
        </w:rPr>
        <w:t xml:space="preserve"> </w:t>
      </w:r>
      <w:r w:rsidR="001A582B" w:rsidRPr="001A582B">
        <w:rPr>
          <w:sz w:val="20"/>
          <w:szCs w:val="20"/>
        </w:rPr>
        <w:t>See online at: &lt;</w:t>
      </w:r>
      <w:hyperlink r:id="rId15" w:history="1">
        <w:r w:rsidRPr="001A582B">
          <w:rPr>
            <w:rStyle w:val="Hyperlink"/>
            <w:color w:val="auto"/>
            <w:sz w:val="20"/>
            <w:szCs w:val="20"/>
            <w:u w:val="none"/>
            <w:lang w:val="en-CA"/>
          </w:rPr>
          <w:t>http://www.ontariocourts.on.</w:t>
        </w:r>
      </w:hyperlink>
      <w:hyperlink r:id="rId16" w:history="1">
        <w:r w:rsidRPr="001A582B">
          <w:rPr>
            <w:rStyle w:val="Hyperlink"/>
            <w:color w:val="auto"/>
            <w:sz w:val="20"/>
            <w:szCs w:val="20"/>
            <w:u w:val="none"/>
            <w:lang w:val="en-CA"/>
          </w:rPr>
          <w:t>ca/accessible_courts/en/report_courts_disabilities.htm</w:t>
        </w:r>
      </w:hyperlink>
      <w:r w:rsidR="001A582B" w:rsidRPr="001A582B">
        <w:rPr>
          <w:rStyle w:val="Hyperlink"/>
          <w:color w:val="auto"/>
          <w:sz w:val="20"/>
          <w:szCs w:val="20"/>
          <w:u w:val="none"/>
          <w:lang w:val="en-CA"/>
        </w:rPr>
        <w:t>&gt;</w:t>
      </w:r>
    </w:p>
  </w:endnote>
  <w:endnote w:id="78">
    <w:p w14:paraId="7CA99A57" w14:textId="6C45BCBB" w:rsidR="003A2AE4" w:rsidRDefault="003A2AE4">
      <w:pPr>
        <w:pStyle w:val="EndnoteText"/>
      </w:pPr>
      <w:r w:rsidRPr="001A582B">
        <w:rPr>
          <w:rStyle w:val="EndnoteReference"/>
        </w:rPr>
        <w:endnoteRef/>
      </w:r>
      <w:r w:rsidRPr="001A582B">
        <w:t xml:space="preserve"> See </w:t>
      </w:r>
      <w:r w:rsidR="001A582B" w:rsidRPr="001A582B">
        <w:t>online at &lt;</w:t>
      </w:r>
      <w:hyperlink r:id="rId17" w:history="1">
        <w:r w:rsidRPr="001A582B">
          <w:rPr>
            <w:rStyle w:val="Hyperlink"/>
            <w:color w:val="auto"/>
            <w:u w:val="none"/>
          </w:rPr>
          <w:t>https://askjan.org/</w:t>
        </w:r>
      </w:hyperlink>
      <w:r w:rsidR="001A582B" w:rsidRPr="001A582B">
        <w:t>&gt;</w:t>
      </w:r>
    </w:p>
  </w:endnote>
  <w:endnote w:id="79">
    <w:p w14:paraId="1192E782" w14:textId="5F9ED761" w:rsidR="003A2AE4" w:rsidRDefault="003A2AE4">
      <w:pPr>
        <w:pStyle w:val="EndnoteText"/>
      </w:pPr>
      <w:r w:rsidRPr="001A582B">
        <w:rPr>
          <w:rStyle w:val="EndnoteReference"/>
        </w:rPr>
        <w:endnoteRef/>
      </w:r>
      <w:r w:rsidRPr="001A582B">
        <w:t xml:space="preserve">  </w:t>
      </w:r>
      <w:r w:rsidR="001A582B" w:rsidRPr="001A582B">
        <w:t>Charles</w:t>
      </w:r>
      <w:r w:rsidR="001A582B">
        <w:t xml:space="preserve"> Beer, “Charting a Path Forward: Report of the Independent Review of the Accessibility for Ontarians with Disabilities Act” (May 2010); Mayo Moran, “Second Legislative Review of the Accessibility for Ontarians with Disabilities Act, 2005” (November 2014).</w:t>
      </w:r>
    </w:p>
  </w:endnote>
  <w:endnote w:id="80">
    <w:p w14:paraId="4BC81475" w14:textId="30FDCF91" w:rsidR="003A2AE4" w:rsidRPr="0012371B" w:rsidRDefault="003A2AE4" w:rsidP="0030049C">
      <w:pPr>
        <w:widowControl w:val="0"/>
        <w:rPr>
          <w:sz w:val="20"/>
          <w:szCs w:val="20"/>
          <w:lang w:val="en-CA"/>
        </w:rPr>
      </w:pPr>
      <w:r w:rsidRPr="0012371B">
        <w:rPr>
          <w:rStyle w:val="EndnoteReference"/>
          <w:sz w:val="20"/>
          <w:szCs w:val="20"/>
        </w:rPr>
        <w:endnoteRef/>
      </w:r>
      <w:r w:rsidRPr="0012371B">
        <w:rPr>
          <w:sz w:val="20"/>
          <w:szCs w:val="20"/>
        </w:rPr>
        <w:t xml:space="preserve"> </w:t>
      </w:r>
      <w:r w:rsidRPr="0012371B">
        <w:rPr>
          <w:sz w:val="20"/>
          <w:szCs w:val="20"/>
          <w:lang w:val="en-CA"/>
        </w:rPr>
        <w:t>To read the 2010 final Report of the Charles Beer AODA Independent Review, visit &lt;</w:t>
      </w:r>
      <w:hyperlink r:id="rId18" w:history="1">
        <w:r w:rsidRPr="0012371B">
          <w:rPr>
            <w:rStyle w:val="Hyperlink"/>
            <w:color w:val="auto"/>
            <w:sz w:val="20"/>
            <w:szCs w:val="20"/>
            <w:u w:val="none"/>
            <w:lang w:val="en-CA"/>
          </w:rPr>
          <w:t>http://www.aodaalliance.org/strong-effective-aoda/05312010.asp</w:t>
        </w:r>
      </w:hyperlink>
      <w:r w:rsidRPr="0012371B">
        <w:rPr>
          <w:rStyle w:val="Hyperlink"/>
          <w:color w:val="auto"/>
          <w:sz w:val="20"/>
          <w:szCs w:val="20"/>
          <w:u w:val="none"/>
          <w:lang w:val="en-CA"/>
        </w:rPr>
        <w:t>&gt;</w:t>
      </w:r>
      <w:r w:rsidRPr="0012371B">
        <w:rPr>
          <w:sz w:val="20"/>
          <w:szCs w:val="20"/>
          <w:lang w:val="en-CA"/>
        </w:rPr>
        <w:t xml:space="preserve"> </w:t>
      </w:r>
    </w:p>
    <w:p w14:paraId="5DA86DEC" w14:textId="7D86C10B" w:rsidR="003A2AE4" w:rsidRPr="0012371B" w:rsidRDefault="003A2AE4" w:rsidP="0030049C">
      <w:pPr>
        <w:widowControl w:val="0"/>
        <w:rPr>
          <w:sz w:val="20"/>
          <w:szCs w:val="20"/>
          <w:lang w:val="en-CA"/>
        </w:rPr>
      </w:pPr>
      <w:r w:rsidRPr="0012371B">
        <w:rPr>
          <w:sz w:val="20"/>
          <w:szCs w:val="20"/>
          <w:lang w:val="en-CA"/>
        </w:rPr>
        <w:t>To read the AODA Alliance’s June 3, 2010 analysis of the Beer Report, visit &lt;</w:t>
      </w:r>
      <w:hyperlink r:id="rId19" w:history="1">
        <w:r w:rsidRPr="0012371B">
          <w:rPr>
            <w:rStyle w:val="Hyperlink"/>
            <w:color w:val="auto"/>
            <w:sz w:val="20"/>
            <w:szCs w:val="20"/>
            <w:u w:val="none"/>
            <w:lang w:val="en-CA"/>
          </w:rPr>
          <w:t>http://www.aodaalliance.org/strong-effective-aoda/06032010.asp</w:t>
        </w:r>
      </w:hyperlink>
      <w:r w:rsidRPr="0012371B">
        <w:rPr>
          <w:sz w:val="20"/>
          <w:szCs w:val="20"/>
          <w:lang w:val="en-CA"/>
        </w:rPr>
        <w:t xml:space="preserve"> &gt;</w:t>
      </w:r>
    </w:p>
    <w:p w14:paraId="58DDA531" w14:textId="35A8C4C6" w:rsidR="003A2AE4" w:rsidRPr="0012371B" w:rsidRDefault="003A2AE4" w:rsidP="0030049C">
      <w:pPr>
        <w:widowControl w:val="0"/>
        <w:rPr>
          <w:sz w:val="20"/>
          <w:szCs w:val="20"/>
          <w:lang w:val="en-CA"/>
        </w:rPr>
      </w:pPr>
      <w:r w:rsidRPr="0012371B">
        <w:rPr>
          <w:sz w:val="20"/>
          <w:szCs w:val="20"/>
          <w:lang w:val="en-CA"/>
        </w:rPr>
        <w:t>To read the 2014 final report of the Mayo Moran 2nd AODA Independent Review, visit &lt;</w:t>
      </w:r>
      <w:hyperlink r:id="rId20" w:history="1">
        <w:r w:rsidRPr="0012371B">
          <w:rPr>
            <w:rStyle w:val="Hyperlink"/>
            <w:color w:val="auto"/>
            <w:sz w:val="20"/>
            <w:szCs w:val="20"/>
            <w:u w:val="none"/>
            <w:lang w:val="en-CA"/>
          </w:rPr>
          <w:t>http://www.aodaalliance.org/strong-effective-aoda/Final-Report-Second-Legislative-Review-of-the-AODA.docx</w:t>
        </w:r>
      </w:hyperlink>
      <w:r w:rsidRPr="0012371B">
        <w:rPr>
          <w:rStyle w:val="Hyperlink"/>
          <w:color w:val="auto"/>
          <w:sz w:val="20"/>
          <w:szCs w:val="20"/>
          <w:u w:val="none"/>
          <w:lang w:val="en-CA"/>
        </w:rPr>
        <w:t>&gt;</w:t>
      </w:r>
      <w:r w:rsidRPr="0012371B">
        <w:rPr>
          <w:sz w:val="20"/>
          <w:szCs w:val="20"/>
          <w:lang w:val="en-CA"/>
        </w:rPr>
        <w:t xml:space="preserve"> </w:t>
      </w:r>
    </w:p>
    <w:p w14:paraId="78FF8C8D" w14:textId="09FF9C42" w:rsidR="003A2AE4" w:rsidRPr="0012371B" w:rsidRDefault="003A2AE4" w:rsidP="0012371B">
      <w:pPr>
        <w:widowControl w:val="0"/>
        <w:rPr>
          <w:sz w:val="20"/>
          <w:szCs w:val="20"/>
          <w:lang w:val="en-CA"/>
        </w:rPr>
      </w:pPr>
      <w:r w:rsidRPr="0012371B">
        <w:rPr>
          <w:sz w:val="20"/>
          <w:szCs w:val="20"/>
          <w:lang w:val="en-CA"/>
        </w:rPr>
        <w:t>See the AODA Alliance’s analysis of the final report of the Mayo Moran AODA Independent Review &lt;</w:t>
      </w:r>
      <w:hyperlink r:id="rId21" w:history="1">
        <w:r w:rsidRPr="0012371B">
          <w:rPr>
            <w:rStyle w:val="Hyperlink"/>
            <w:color w:val="auto"/>
            <w:sz w:val="20"/>
            <w:szCs w:val="20"/>
            <w:u w:val="none"/>
            <w:lang w:val="en-CA"/>
          </w:rPr>
          <w:t>http://www.aodaalliance.org/strong-effective-aoda/04292015.asp and http://www.aodaalliance.org/strong-effective-aoda/05012015.asp</w:t>
        </w:r>
      </w:hyperlink>
      <w:r w:rsidRPr="0012371B">
        <w:rPr>
          <w:sz w:val="20"/>
          <w:szCs w:val="20"/>
          <w:lang w:val="en-CA"/>
        </w:rPr>
        <w:t xml:space="preserve"> &gt;</w:t>
      </w:r>
    </w:p>
  </w:endnote>
  <w:endnote w:id="81">
    <w:p w14:paraId="7EBFF8C7" w14:textId="28B6DB16" w:rsidR="003A2AE4" w:rsidRPr="0012371B" w:rsidRDefault="003A2AE4">
      <w:pPr>
        <w:pStyle w:val="EndnoteText"/>
      </w:pPr>
      <w:r w:rsidRPr="0012371B">
        <w:rPr>
          <w:rStyle w:val="EndnoteReference"/>
        </w:rPr>
        <w:endnoteRef/>
      </w:r>
      <w:r w:rsidRPr="0012371B">
        <w:t xml:space="preserve"> See: &lt;</w:t>
      </w:r>
      <w:hyperlink r:id="rId22" w:history="1">
        <w:r w:rsidRPr="0012371B">
          <w:rPr>
            <w:rStyle w:val="Hyperlink"/>
            <w:color w:val="auto"/>
            <w:u w:val="none"/>
          </w:rPr>
          <w:t>http://www.aodaalliance.org/strong-effective-aoda/09102013.asp</w:t>
        </w:r>
      </w:hyperlink>
      <w:r w:rsidRPr="0012371B">
        <w:rPr>
          <w:rStyle w:val="Hyperlink"/>
          <w:color w:val="auto"/>
          <w:u w:val="none"/>
        </w:rPr>
        <w:t>&gt;</w:t>
      </w:r>
      <w:r w:rsidRPr="0012371B">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6A640" w14:textId="77777777" w:rsidR="003A2AE4" w:rsidRDefault="003A2AE4" w:rsidP="002128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04CCCE" w14:textId="77777777" w:rsidR="003A2AE4" w:rsidRDefault="003A2AE4" w:rsidP="003A18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142EC" w14:textId="77777777" w:rsidR="003A2AE4" w:rsidRDefault="003A2AE4" w:rsidP="002128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613C">
      <w:rPr>
        <w:rStyle w:val="PageNumber"/>
        <w:noProof/>
      </w:rPr>
      <w:t>31</w:t>
    </w:r>
    <w:r>
      <w:rPr>
        <w:rStyle w:val="PageNumber"/>
      </w:rPr>
      <w:fldChar w:fldCharType="end"/>
    </w:r>
  </w:p>
  <w:p w14:paraId="78114427" w14:textId="77777777" w:rsidR="003A2AE4" w:rsidRDefault="003A2AE4" w:rsidP="003A187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C9783" w14:textId="77777777" w:rsidR="00203FC8" w:rsidRDefault="00203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A4611" w14:textId="77777777" w:rsidR="00180D86" w:rsidRDefault="00180D86" w:rsidP="00672551">
      <w:r>
        <w:separator/>
      </w:r>
    </w:p>
  </w:footnote>
  <w:footnote w:type="continuationSeparator" w:id="0">
    <w:p w14:paraId="1B84C01C" w14:textId="77777777" w:rsidR="00180D86" w:rsidRDefault="00180D86" w:rsidP="00672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1E32A" w14:textId="77777777" w:rsidR="00203FC8" w:rsidRDefault="00203F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D40C9" w14:textId="77777777" w:rsidR="00203FC8" w:rsidRDefault="00203F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60570" w14:textId="77777777" w:rsidR="00203FC8" w:rsidRDefault="00203F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551"/>
    <w:rsid w:val="0000003E"/>
    <w:rsid w:val="000007B1"/>
    <w:rsid w:val="00002A5C"/>
    <w:rsid w:val="0000400A"/>
    <w:rsid w:val="000054A8"/>
    <w:rsid w:val="000059EF"/>
    <w:rsid w:val="00010A4C"/>
    <w:rsid w:val="0001144F"/>
    <w:rsid w:val="000115C0"/>
    <w:rsid w:val="0001256A"/>
    <w:rsid w:val="00014817"/>
    <w:rsid w:val="000176E5"/>
    <w:rsid w:val="00021A33"/>
    <w:rsid w:val="00022153"/>
    <w:rsid w:val="00022BA8"/>
    <w:rsid w:val="000240E4"/>
    <w:rsid w:val="0002793C"/>
    <w:rsid w:val="00027A88"/>
    <w:rsid w:val="00032D3F"/>
    <w:rsid w:val="00033032"/>
    <w:rsid w:val="000403A7"/>
    <w:rsid w:val="00040FE8"/>
    <w:rsid w:val="000413FE"/>
    <w:rsid w:val="00042320"/>
    <w:rsid w:val="0004249C"/>
    <w:rsid w:val="00042515"/>
    <w:rsid w:val="00042792"/>
    <w:rsid w:val="000433A7"/>
    <w:rsid w:val="00043529"/>
    <w:rsid w:val="00044453"/>
    <w:rsid w:val="000466D8"/>
    <w:rsid w:val="00047976"/>
    <w:rsid w:val="00047E5F"/>
    <w:rsid w:val="0005037E"/>
    <w:rsid w:val="00052CAF"/>
    <w:rsid w:val="00053B53"/>
    <w:rsid w:val="00055244"/>
    <w:rsid w:val="0005527F"/>
    <w:rsid w:val="0005613C"/>
    <w:rsid w:val="00056240"/>
    <w:rsid w:val="000568A8"/>
    <w:rsid w:val="00056AFA"/>
    <w:rsid w:val="00060AFC"/>
    <w:rsid w:val="00060DDC"/>
    <w:rsid w:val="00062012"/>
    <w:rsid w:val="0006201B"/>
    <w:rsid w:val="00062E0F"/>
    <w:rsid w:val="00063882"/>
    <w:rsid w:val="00064972"/>
    <w:rsid w:val="0006712E"/>
    <w:rsid w:val="000675A0"/>
    <w:rsid w:val="00067A8E"/>
    <w:rsid w:val="00067C3D"/>
    <w:rsid w:val="000720E7"/>
    <w:rsid w:val="00073B74"/>
    <w:rsid w:val="00074B81"/>
    <w:rsid w:val="00075072"/>
    <w:rsid w:val="00076B52"/>
    <w:rsid w:val="00076D37"/>
    <w:rsid w:val="00076DEE"/>
    <w:rsid w:val="000779D6"/>
    <w:rsid w:val="00081A59"/>
    <w:rsid w:val="00081CE0"/>
    <w:rsid w:val="00081E23"/>
    <w:rsid w:val="00085254"/>
    <w:rsid w:val="00085D2F"/>
    <w:rsid w:val="00090693"/>
    <w:rsid w:val="00091420"/>
    <w:rsid w:val="000916B7"/>
    <w:rsid w:val="0009223B"/>
    <w:rsid w:val="00094BA8"/>
    <w:rsid w:val="00094F88"/>
    <w:rsid w:val="000965C2"/>
    <w:rsid w:val="00097DFF"/>
    <w:rsid w:val="00097EAC"/>
    <w:rsid w:val="000A4E6F"/>
    <w:rsid w:val="000A59A7"/>
    <w:rsid w:val="000A6A27"/>
    <w:rsid w:val="000A6C4D"/>
    <w:rsid w:val="000A7020"/>
    <w:rsid w:val="000B0E4D"/>
    <w:rsid w:val="000B255E"/>
    <w:rsid w:val="000B45BE"/>
    <w:rsid w:val="000B6566"/>
    <w:rsid w:val="000B6663"/>
    <w:rsid w:val="000B6672"/>
    <w:rsid w:val="000B75C1"/>
    <w:rsid w:val="000C0062"/>
    <w:rsid w:val="000C3490"/>
    <w:rsid w:val="000C3E91"/>
    <w:rsid w:val="000C4840"/>
    <w:rsid w:val="000C4F02"/>
    <w:rsid w:val="000C5661"/>
    <w:rsid w:val="000C5B2A"/>
    <w:rsid w:val="000D0411"/>
    <w:rsid w:val="000D4187"/>
    <w:rsid w:val="000D4695"/>
    <w:rsid w:val="000D57E3"/>
    <w:rsid w:val="000D639E"/>
    <w:rsid w:val="000D63A4"/>
    <w:rsid w:val="000D6654"/>
    <w:rsid w:val="000D6849"/>
    <w:rsid w:val="000D6B0A"/>
    <w:rsid w:val="000D74E4"/>
    <w:rsid w:val="000D7B2B"/>
    <w:rsid w:val="000D7D44"/>
    <w:rsid w:val="000D7D76"/>
    <w:rsid w:val="000E08A3"/>
    <w:rsid w:val="000E103B"/>
    <w:rsid w:val="000E1351"/>
    <w:rsid w:val="000E149E"/>
    <w:rsid w:val="000E2705"/>
    <w:rsid w:val="000E4F7A"/>
    <w:rsid w:val="000E61F1"/>
    <w:rsid w:val="000E69CA"/>
    <w:rsid w:val="000E6BDC"/>
    <w:rsid w:val="000F0D3D"/>
    <w:rsid w:val="000F111A"/>
    <w:rsid w:val="000F2E42"/>
    <w:rsid w:val="000F3589"/>
    <w:rsid w:val="000F4B34"/>
    <w:rsid w:val="000F4CD8"/>
    <w:rsid w:val="000F6F7B"/>
    <w:rsid w:val="0010052C"/>
    <w:rsid w:val="001033E7"/>
    <w:rsid w:val="00105080"/>
    <w:rsid w:val="00105785"/>
    <w:rsid w:val="001064EB"/>
    <w:rsid w:val="00106B30"/>
    <w:rsid w:val="001070F7"/>
    <w:rsid w:val="00107E0F"/>
    <w:rsid w:val="0011067F"/>
    <w:rsid w:val="001111BF"/>
    <w:rsid w:val="0011173B"/>
    <w:rsid w:val="001126B8"/>
    <w:rsid w:val="001146C6"/>
    <w:rsid w:val="00114FAD"/>
    <w:rsid w:val="00120637"/>
    <w:rsid w:val="001225BB"/>
    <w:rsid w:val="001233ED"/>
    <w:rsid w:val="0012371B"/>
    <w:rsid w:val="00123E52"/>
    <w:rsid w:val="00124803"/>
    <w:rsid w:val="00124F5F"/>
    <w:rsid w:val="00125D85"/>
    <w:rsid w:val="00126228"/>
    <w:rsid w:val="00126C0D"/>
    <w:rsid w:val="00127CD5"/>
    <w:rsid w:val="0013143F"/>
    <w:rsid w:val="001314EA"/>
    <w:rsid w:val="001333F3"/>
    <w:rsid w:val="00134A9C"/>
    <w:rsid w:val="00134B4F"/>
    <w:rsid w:val="0014005C"/>
    <w:rsid w:val="00140152"/>
    <w:rsid w:val="00142410"/>
    <w:rsid w:val="00142AB9"/>
    <w:rsid w:val="00142E96"/>
    <w:rsid w:val="001464C8"/>
    <w:rsid w:val="001464D6"/>
    <w:rsid w:val="0014682B"/>
    <w:rsid w:val="00147CBE"/>
    <w:rsid w:val="0015064A"/>
    <w:rsid w:val="001523DC"/>
    <w:rsid w:val="00152795"/>
    <w:rsid w:val="001530E4"/>
    <w:rsid w:val="001539EA"/>
    <w:rsid w:val="001548B0"/>
    <w:rsid w:val="00156076"/>
    <w:rsid w:val="00156704"/>
    <w:rsid w:val="0016033A"/>
    <w:rsid w:val="00160969"/>
    <w:rsid w:val="0016357D"/>
    <w:rsid w:val="00163DBE"/>
    <w:rsid w:val="00164133"/>
    <w:rsid w:val="00164648"/>
    <w:rsid w:val="001651FD"/>
    <w:rsid w:val="00165B8C"/>
    <w:rsid w:val="001661CB"/>
    <w:rsid w:val="0017095A"/>
    <w:rsid w:val="00170FD6"/>
    <w:rsid w:val="0017313A"/>
    <w:rsid w:val="001731DE"/>
    <w:rsid w:val="0017324B"/>
    <w:rsid w:val="001735C9"/>
    <w:rsid w:val="00173CA3"/>
    <w:rsid w:val="001756B7"/>
    <w:rsid w:val="00175F3A"/>
    <w:rsid w:val="001765F7"/>
    <w:rsid w:val="001800F7"/>
    <w:rsid w:val="00180D86"/>
    <w:rsid w:val="001824CD"/>
    <w:rsid w:val="0018410D"/>
    <w:rsid w:val="0018474A"/>
    <w:rsid w:val="0018476F"/>
    <w:rsid w:val="00184A39"/>
    <w:rsid w:val="00185753"/>
    <w:rsid w:val="0018612F"/>
    <w:rsid w:val="001864A0"/>
    <w:rsid w:val="00186E1B"/>
    <w:rsid w:val="00187103"/>
    <w:rsid w:val="00187E59"/>
    <w:rsid w:val="00190736"/>
    <w:rsid w:val="00190BE7"/>
    <w:rsid w:val="001916A4"/>
    <w:rsid w:val="00191E14"/>
    <w:rsid w:val="00193666"/>
    <w:rsid w:val="00193CC6"/>
    <w:rsid w:val="0019628D"/>
    <w:rsid w:val="0019633B"/>
    <w:rsid w:val="001A0B7E"/>
    <w:rsid w:val="001A288C"/>
    <w:rsid w:val="001A2D5B"/>
    <w:rsid w:val="001A414A"/>
    <w:rsid w:val="001A582B"/>
    <w:rsid w:val="001B04B6"/>
    <w:rsid w:val="001B15B5"/>
    <w:rsid w:val="001B1F13"/>
    <w:rsid w:val="001B340E"/>
    <w:rsid w:val="001B3C46"/>
    <w:rsid w:val="001B4856"/>
    <w:rsid w:val="001C24FC"/>
    <w:rsid w:val="001C2CAC"/>
    <w:rsid w:val="001C3074"/>
    <w:rsid w:val="001C34DB"/>
    <w:rsid w:val="001C4F93"/>
    <w:rsid w:val="001C6AA2"/>
    <w:rsid w:val="001C6FEC"/>
    <w:rsid w:val="001C73EB"/>
    <w:rsid w:val="001D0428"/>
    <w:rsid w:val="001D0A04"/>
    <w:rsid w:val="001D0A23"/>
    <w:rsid w:val="001D3BBA"/>
    <w:rsid w:val="001D52B9"/>
    <w:rsid w:val="001D7559"/>
    <w:rsid w:val="001E05D3"/>
    <w:rsid w:val="001E27A2"/>
    <w:rsid w:val="001E3F3D"/>
    <w:rsid w:val="001E4DF5"/>
    <w:rsid w:val="001E5B2D"/>
    <w:rsid w:val="001E63F3"/>
    <w:rsid w:val="001E709C"/>
    <w:rsid w:val="001F2E59"/>
    <w:rsid w:val="001F54DD"/>
    <w:rsid w:val="001F5D6F"/>
    <w:rsid w:val="001F6390"/>
    <w:rsid w:val="001F6B02"/>
    <w:rsid w:val="001F6D27"/>
    <w:rsid w:val="001F78AF"/>
    <w:rsid w:val="00202A7B"/>
    <w:rsid w:val="00202AE3"/>
    <w:rsid w:val="00203763"/>
    <w:rsid w:val="00203FC8"/>
    <w:rsid w:val="002049AB"/>
    <w:rsid w:val="00204A2D"/>
    <w:rsid w:val="00206618"/>
    <w:rsid w:val="00207260"/>
    <w:rsid w:val="002104F0"/>
    <w:rsid w:val="002122DB"/>
    <w:rsid w:val="002125D8"/>
    <w:rsid w:val="002128BD"/>
    <w:rsid w:val="00212EED"/>
    <w:rsid w:val="00213659"/>
    <w:rsid w:val="0021392C"/>
    <w:rsid w:val="00214960"/>
    <w:rsid w:val="0021547F"/>
    <w:rsid w:val="002156D8"/>
    <w:rsid w:val="00215D2A"/>
    <w:rsid w:val="0021790C"/>
    <w:rsid w:val="00217D05"/>
    <w:rsid w:val="002203F2"/>
    <w:rsid w:val="0022087A"/>
    <w:rsid w:val="00221CEA"/>
    <w:rsid w:val="00221D8A"/>
    <w:rsid w:val="002227E2"/>
    <w:rsid w:val="00224C49"/>
    <w:rsid w:val="00224EB3"/>
    <w:rsid w:val="00224F60"/>
    <w:rsid w:val="00227003"/>
    <w:rsid w:val="002270D9"/>
    <w:rsid w:val="00230A74"/>
    <w:rsid w:val="00231752"/>
    <w:rsid w:val="00231B84"/>
    <w:rsid w:val="00231C62"/>
    <w:rsid w:val="002321B2"/>
    <w:rsid w:val="00232F3B"/>
    <w:rsid w:val="002333D8"/>
    <w:rsid w:val="00233A1C"/>
    <w:rsid w:val="002364DF"/>
    <w:rsid w:val="002379C8"/>
    <w:rsid w:val="00237CA5"/>
    <w:rsid w:val="00237E93"/>
    <w:rsid w:val="00240D88"/>
    <w:rsid w:val="00242DB7"/>
    <w:rsid w:val="00242EF3"/>
    <w:rsid w:val="0024428B"/>
    <w:rsid w:val="0024476E"/>
    <w:rsid w:val="002447DF"/>
    <w:rsid w:val="002459F0"/>
    <w:rsid w:val="00245AAF"/>
    <w:rsid w:val="00245BB8"/>
    <w:rsid w:val="002462CD"/>
    <w:rsid w:val="00246532"/>
    <w:rsid w:val="002465B0"/>
    <w:rsid w:val="002509FA"/>
    <w:rsid w:val="00250ADE"/>
    <w:rsid w:val="00251A19"/>
    <w:rsid w:val="00252A00"/>
    <w:rsid w:val="00253173"/>
    <w:rsid w:val="00254A42"/>
    <w:rsid w:val="00254EE9"/>
    <w:rsid w:val="002552DC"/>
    <w:rsid w:val="00255754"/>
    <w:rsid w:val="00256928"/>
    <w:rsid w:val="002574A2"/>
    <w:rsid w:val="00257C35"/>
    <w:rsid w:val="00260CC5"/>
    <w:rsid w:val="00261BB9"/>
    <w:rsid w:val="00262883"/>
    <w:rsid w:val="00265473"/>
    <w:rsid w:val="00265DF4"/>
    <w:rsid w:val="002674D8"/>
    <w:rsid w:val="0027078B"/>
    <w:rsid w:val="00271AC7"/>
    <w:rsid w:val="00271EB1"/>
    <w:rsid w:val="002729C2"/>
    <w:rsid w:val="00272D45"/>
    <w:rsid w:val="00274BCE"/>
    <w:rsid w:val="00280F24"/>
    <w:rsid w:val="002812F9"/>
    <w:rsid w:val="00282492"/>
    <w:rsid w:val="00282C7F"/>
    <w:rsid w:val="00283A8B"/>
    <w:rsid w:val="00286D2E"/>
    <w:rsid w:val="0028724A"/>
    <w:rsid w:val="0029034B"/>
    <w:rsid w:val="00291613"/>
    <w:rsid w:val="0029255A"/>
    <w:rsid w:val="002953B2"/>
    <w:rsid w:val="00296F7C"/>
    <w:rsid w:val="002A0F48"/>
    <w:rsid w:val="002A198E"/>
    <w:rsid w:val="002A3F94"/>
    <w:rsid w:val="002A40BC"/>
    <w:rsid w:val="002A539D"/>
    <w:rsid w:val="002A6658"/>
    <w:rsid w:val="002B0439"/>
    <w:rsid w:val="002B0585"/>
    <w:rsid w:val="002B0776"/>
    <w:rsid w:val="002B21FC"/>
    <w:rsid w:val="002B28C2"/>
    <w:rsid w:val="002B51BA"/>
    <w:rsid w:val="002B5872"/>
    <w:rsid w:val="002B74E5"/>
    <w:rsid w:val="002C0155"/>
    <w:rsid w:val="002C291C"/>
    <w:rsid w:val="002C30C4"/>
    <w:rsid w:val="002C36C6"/>
    <w:rsid w:val="002C466A"/>
    <w:rsid w:val="002C5441"/>
    <w:rsid w:val="002C5454"/>
    <w:rsid w:val="002C776E"/>
    <w:rsid w:val="002D13AA"/>
    <w:rsid w:val="002D2F03"/>
    <w:rsid w:val="002D3652"/>
    <w:rsid w:val="002D42DD"/>
    <w:rsid w:val="002D4A19"/>
    <w:rsid w:val="002D4CC9"/>
    <w:rsid w:val="002D4FF8"/>
    <w:rsid w:val="002D6383"/>
    <w:rsid w:val="002D7E11"/>
    <w:rsid w:val="002E06AE"/>
    <w:rsid w:val="002E2A40"/>
    <w:rsid w:val="002E3F55"/>
    <w:rsid w:val="002E400C"/>
    <w:rsid w:val="002E4E33"/>
    <w:rsid w:val="002E58DF"/>
    <w:rsid w:val="002E5D36"/>
    <w:rsid w:val="002E66E6"/>
    <w:rsid w:val="002E73BA"/>
    <w:rsid w:val="002F060C"/>
    <w:rsid w:val="002F09E4"/>
    <w:rsid w:val="002F1FD2"/>
    <w:rsid w:val="002F2789"/>
    <w:rsid w:val="002F2A00"/>
    <w:rsid w:val="002F2C80"/>
    <w:rsid w:val="002F5FA1"/>
    <w:rsid w:val="002F5FE1"/>
    <w:rsid w:val="002F67F8"/>
    <w:rsid w:val="002F75DE"/>
    <w:rsid w:val="002F78A7"/>
    <w:rsid w:val="002F7A3E"/>
    <w:rsid w:val="0030032C"/>
    <w:rsid w:val="0030049C"/>
    <w:rsid w:val="003019AB"/>
    <w:rsid w:val="00301D36"/>
    <w:rsid w:val="00301E17"/>
    <w:rsid w:val="003026FA"/>
    <w:rsid w:val="0030350D"/>
    <w:rsid w:val="0030492B"/>
    <w:rsid w:val="0030577F"/>
    <w:rsid w:val="00306576"/>
    <w:rsid w:val="00307346"/>
    <w:rsid w:val="00310948"/>
    <w:rsid w:val="00310E2E"/>
    <w:rsid w:val="00310E84"/>
    <w:rsid w:val="003110B0"/>
    <w:rsid w:val="0031166C"/>
    <w:rsid w:val="003119C9"/>
    <w:rsid w:val="00312811"/>
    <w:rsid w:val="003166A1"/>
    <w:rsid w:val="0031675A"/>
    <w:rsid w:val="00317713"/>
    <w:rsid w:val="00322B5E"/>
    <w:rsid w:val="00323B03"/>
    <w:rsid w:val="00324CA1"/>
    <w:rsid w:val="00327A70"/>
    <w:rsid w:val="00327F9D"/>
    <w:rsid w:val="003312AD"/>
    <w:rsid w:val="0033150C"/>
    <w:rsid w:val="003403C0"/>
    <w:rsid w:val="00340758"/>
    <w:rsid w:val="0034124B"/>
    <w:rsid w:val="0034198D"/>
    <w:rsid w:val="00342224"/>
    <w:rsid w:val="00344595"/>
    <w:rsid w:val="00344915"/>
    <w:rsid w:val="00344A44"/>
    <w:rsid w:val="00344FCA"/>
    <w:rsid w:val="00350AB4"/>
    <w:rsid w:val="00351D62"/>
    <w:rsid w:val="00352E24"/>
    <w:rsid w:val="00354138"/>
    <w:rsid w:val="00355692"/>
    <w:rsid w:val="0036060D"/>
    <w:rsid w:val="00360B4C"/>
    <w:rsid w:val="00361585"/>
    <w:rsid w:val="00362803"/>
    <w:rsid w:val="00365ACE"/>
    <w:rsid w:val="00367257"/>
    <w:rsid w:val="00370E99"/>
    <w:rsid w:val="003714FD"/>
    <w:rsid w:val="0037384A"/>
    <w:rsid w:val="00373C59"/>
    <w:rsid w:val="00373ED7"/>
    <w:rsid w:val="00374EB4"/>
    <w:rsid w:val="00375552"/>
    <w:rsid w:val="003759BC"/>
    <w:rsid w:val="003771F6"/>
    <w:rsid w:val="00377DD1"/>
    <w:rsid w:val="00380068"/>
    <w:rsid w:val="00380351"/>
    <w:rsid w:val="00380CA5"/>
    <w:rsid w:val="00382581"/>
    <w:rsid w:val="003856D0"/>
    <w:rsid w:val="0038572E"/>
    <w:rsid w:val="00385A0D"/>
    <w:rsid w:val="00390092"/>
    <w:rsid w:val="00391143"/>
    <w:rsid w:val="003919FE"/>
    <w:rsid w:val="00392C0E"/>
    <w:rsid w:val="00393D3D"/>
    <w:rsid w:val="003953E5"/>
    <w:rsid w:val="003A0186"/>
    <w:rsid w:val="003A03F2"/>
    <w:rsid w:val="003A1878"/>
    <w:rsid w:val="003A2369"/>
    <w:rsid w:val="003A2AE4"/>
    <w:rsid w:val="003A4E29"/>
    <w:rsid w:val="003A565C"/>
    <w:rsid w:val="003A5A71"/>
    <w:rsid w:val="003B1A60"/>
    <w:rsid w:val="003B26FF"/>
    <w:rsid w:val="003B3F24"/>
    <w:rsid w:val="003C141D"/>
    <w:rsid w:val="003C14B3"/>
    <w:rsid w:val="003C1981"/>
    <w:rsid w:val="003C1B65"/>
    <w:rsid w:val="003C1BF3"/>
    <w:rsid w:val="003C234D"/>
    <w:rsid w:val="003C2F2A"/>
    <w:rsid w:val="003C3928"/>
    <w:rsid w:val="003C40A1"/>
    <w:rsid w:val="003C57C9"/>
    <w:rsid w:val="003C5C2D"/>
    <w:rsid w:val="003C70BA"/>
    <w:rsid w:val="003C785D"/>
    <w:rsid w:val="003C7DC0"/>
    <w:rsid w:val="003D1CD9"/>
    <w:rsid w:val="003D23AB"/>
    <w:rsid w:val="003D2BC4"/>
    <w:rsid w:val="003D2EDE"/>
    <w:rsid w:val="003D2FA4"/>
    <w:rsid w:val="003D342E"/>
    <w:rsid w:val="003D55DA"/>
    <w:rsid w:val="003D5A34"/>
    <w:rsid w:val="003D61D7"/>
    <w:rsid w:val="003D6A8B"/>
    <w:rsid w:val="003E08D1"/>
    <w:rsid w:val="003E0B91"/>
    <w:rsid w:val="003E17B8"/>
    <w:rsid w:val="003E2356"/>
    <w:rsid w:val="003E23E1"/>
    <w:rsid w:val="003E3D4A"/>
    <w:rsid w:val="003E4C5F"/>
    <w:rsid w:val="003E5A3F"/>
    <w:rsid w:val="003E5ABF"/>
    <w:rsid w:val="003E6229"/>
    <w:rsid w:val="003E678C"/>
    <w:rsid w:val="003E6B03"/>
    <w:rsid w:val="003F038C"/>
    <w:rsid w:val="003F1050"/>
    <w:rsid w:val="003F14E4"/>
    <w:rsid w:val="003F1C09"/>
    <w:rsid w:val="003F23C2"/>
    <w:rsid w:val="003F2AC5"/>
    <w:rsid w:val="003F2F5F"/>
    <w:rsid w:val="003F3D60"/>
    <w:rsid w:val="003F4614"/>
    <w:rsid w:val="003F5464"/>
    <w:rsid w:val="00402600"/>
    <w:rsid w:val="0040327E"/>
    <w:rsid w:val="00403979"/>
    <w:rsid w:val="004039D4"/>
    <w:rsid w:val="00405873"/>
    <w:rsid w:val="00405FF9"/>
    <w:rsid w:val="0040632D"/>
    <w:rsid w:val="004103C6"/>
    <w:rsid w:val="004105E1"/>
    <w:rsid w:val="00410B6F"/>
    <w:rsid w:val="00411022"/>
    <w:rsid w:val="00412A3F"/>
    <w:rsid w:val="00412AD3"/>
    <w:rsid w:val="004146EB"/>
    <w:rsid w:val="004150C4"/>
    <w:rsid w:val="0041524C"/>
    <w:rsid w:val="00416012"/>
    <w:rsid w:val="004175D8"/>
    <w:rsid w:val="00417CAF"/>
    <w:rsid w:val="0042049A"/>
    <w:rsid w:val="0042069C"/>
    <w:rsid w:val="004209F3"/>
    <w:rsid w:val="00420EAC"/>
    <w:rsid w:val="004225A6"/>
    <w:rsid w:val="00422733"/>
    <w:rsid w:val="00422D13"/>
    <w:rsid w:val="00423EC2"/>
    <w:rsid w:val="00424480"/>
    <w:rsid w:val="00424847"/>
    <w:rsid w:val="00424FFC"/>
    <w:rsid w:val="004269B6"/>
    <w:rsid w:val="004279B5"/>
    <w:rsid w:val="00431AD7"/>
    <w:rsid w:val="00432A5D"/>
    <w:rsid w:val="00433A09"/>
    <w:rsid w:val="0043557F"/>
    <w:rsid w:val="00435E22"/>
    <w:rsid w:val="00435E7A"/>
    <w:rsid w:val="00437307"/>
    <w:rsid w:val="00437E0D"/>
    <w:rsid w:val="004404C7"/>
    <w:rsid w:val="00440D7C"/>
    <w:rsid w:val="0044154B"/>
    <w:rsid w:val="00442B42"/>
    <w:rsid w:val="00443946"/>
    <w:rsid w:val="00443AAA"/>
    <w:rsid w:val="0044486F"/>
    <w:rsid w:val="00445EE2"/>
    <w:rsid w:val="00447EAD"/>
    <w:rsid w:val="00451F0B"/>
    <w:rsid w:val="00452624"/>
    <w:rsid w:val="004558D5"/>
    <w:rsid w:val="00455EE1"/>
    <w:rsid w:val="00456414"/>
    <w:rsid w:val="00456DC9"/>
    <w:rsid w:val="00456E8E"/>
    <w:rsid w:val="004634C0"/>
    <w:rsid w:val="00464718"/>
    <w:rsid w:val="00466224"/>
    <w:rsid w:val="00467F28"/>
    <w:rsid w:val="004700E3"/>
    <w:rsid w:val="00470A72"/>
    <w:rsid w:val="00470DC8"/>
    <w:rsid w:val="004711EF"/>
    <w:rsid w:val="00471EC1"/>
    <w:rsid w:val="004747D5"/>
    <w:rsid w:val="0047502D"/>
    <w:rsid w:val="00475547"/>
    <w:rsid w:val="00475820"/>
    <w:rsid w:val="00477F12"/>
    <w:rsid w:val="00480394"/>
    <w:rsid w:val="00481312"/>
    <w:rsid w:val="004831A7"/>
    <w:rsid w:val="00484015"/>
    <w:rsid w:val="00484DBC"/>
    <w:rsid w:val="004862A9"/>
    <w:rsid w:val="00486FC9"/>
    <w:rsid w:val="00487443"/>
    <w:rsid w:val="0048768F"/>
    <w:rsid w:val="00491634"/>
    <w:rsid w:val="00493326"/>
    <w:rsid w:val="00493D80"/>
    <w:rsid w:val="00494806"/>
    <w:rsid w:val="00495109"/>
    <w:rsid w:val="004952FF"/>
    <w:rsid w:val="004959FD"/>
    <w:rsid w:val="00496167"/>
    <w:rsid w:val="00496206"/>
    <w:rsid w:val="004978E3"/>
    <w:rsid w:val="004A1315"/>
    <w:rsid w:val="004A16F8"/>
    <w:rsid w:val="004A1744"/>
    <w:rsid w:val="004A188D"/>
    <w:rsid w:val="004A3A8D"/>
    <w:rsid w:val="004A5269"/>
    <w:rsid w:val="004A5295"/>
    <w:rsid w:val="004A5C8B"/>
    <w:rsid w:val="004A658C"/>
    <w:rsid w:val="004A7AED"/>
    <w:rsid w:val="004B00C2"/>
    <w:rsid w:val="004B1251"/>
    <w:rsid w:val="004B1EDE"/>
    <w:rsid w:val="004B2D15"/>
    <w:rsid w:val="004B2D4C"/>
    <w:rsid w:val="004B2F23"/>
    <w:rsid w:val="004B2FC3"/>
    <w:rsid w:val="004B3625"/>
    <w:rsid w:val="004B3B62"/>
    <w:rsid w:val="004B4634"/>
    <w:rsid w:val="004B4992"/>
    <w:rsid w:val="004B52BD"/>
    <w:rsid w:val="004B7D5A"/>
    <w:rsid w:val="004C02E6"/>
    <w:rsid w:val="004C07A3"/>
    <w:rsid w:val="004C1024"/>
    <w:rsid w:val="004C10F7"/>
    <w:rsid w:val="004C47FB"/>
    <w:rsid w:val="004C61A7"/>
    <w:rsid w:val="004D318D"/>
    <w:rsid w:val="004D495A"/>
    <w:rsid w:val="004D58FA"/>
    <w:rsid w:val="004D6D72"/>
    <w:rsid w:val="004D7ACE"/>
    <w:rsid w:val="004E08AA"/>
    <w:rsid w:val="004E15B1"/>
    <w:rsid w:val="004E2037"/>
    <w:rsid w:val="004E3666"/>
    <w:rsid w:val="004E4AF5"/>
    <w:rsid w:val="004E76D1"/>
    <w:rsid w:val="004F0FBF"/>
    <w:rsid w:val="004F2F34"/>
    <w:rsid w:val="004F2FB4"/>
    <w:rsid w:val="004F332C"/>
    <w:rsid w:val="004F3767"/>
    <w:rsid w:val="004F38BE"/>
    <w:rsid w:val="004F61C8"/>
    <w:rsid w:val="004F656D"/>
    <w:rsid w:val="004F730D"/>
    <w:rsid w:val="004F7A5C"/>
    <w:rsid w:val="0050006C"/>
    <w:rsid w:val="00500471"/>
    <w:rsid w:val="00500B0E"/>
    <w:rsid w:val="00502C2B"/>
    <w:rsid w:val="00504384"/>
    <w:rsid w:val="00504FCE"/>
    <w:rsid w:val="00505048"/>
    <w:rsid w:val="00505823"/>
    <w:rsid w:val="005075D1"/>
    <w:rsid w:val="00510C4E"/>
    <w:rsid w:val="005118A8"/>
    <w:rsid w:val="00511C64"/>
    <w:rsid w:val="00511EC5"/>
    <w:rsid w:val="0051205D"/>
    <w:rsid w:val="00512A69"/>
    <w:rsid w:val="005131D9"/>
    <w:rsid w:val="00513223"/>
    <w:rsid w:val="0051571A"/>
    <w:rsid w:val="0051686B"/>
    <w:rsid w:val="00520188"/>
    <w:rsid w:val="005203FA"/>
    <w:rsid w:val="00520A9A"/>
    <w:rsid w:val="005221C2"/>
    <w:rsid w:val="00522D28"/>
    <w:rsid w:val="00523F24"/>
    <w:rsid w:val="00525E82"/>
    <w:rsid w:val="0053075C"/>
    <w:rsid w:val="00530DEB"/>
    <w:rsid w:val="00533772"/>
    <w:rsid w:val="00535D7F"/>
    <w:rsid w:val="00537B4E"/>
    <w:rsid w:val="00540735"/>
    <w:rsid w:val="00541054"/>
    <w:rsid w:val="00543771"/>
    <w:rsid w:val="005447B9"/>
    <w:rsid w:val="00551AA0"/>
    <w:rsid w:val="00554CD8"/>
    <w:rsid w:val="005558D6"/>
    <w:rsid w:val="00555BC3"/>
    <w:rsid w:val="00556E58"/>
    <w:rsid w:val="005575E3"/>
    <w:rsid w:val="00557E34"/>
    <w:rsid w:val="00560175"/>
    <w:rsid w:val="005607F7"/>
    <w:rsid w:val="005609A5"/>
    <w:rsid w:val="00560BB1"/>
    <w:rsid w:val="00561E12"/>
    <w:rsid w:val="005620F6"/>
    <w:rsid w:val="0056239D"/>
    <w:rsid w:val="00565650"/>
    <w:rsid w:val="00565F22"/>
    <w:rsid w:val="005664C4"/>
    <w:rsid w:val="0056683B"/>
    <w:rsid w:val="00570473"/>
    <w:rsid w:val="00570918"/>
    <w:rsid w:val="00570CBA"/>
    <w:rsid w:val="005712EA"/>
    <w:rsid w:val="00572E61"/>
    <w:rsid w:val="00573FCD"/>
    <w:rsid w:val="005755F3"/>
    <w:rsid w:val="005758B7"/>
    <w:rsid w:val="00575C16"/>
    <w:rsid w:val="00575FFC"/>
    <w:rsid w:val="005763D3"/>
    <w:rsid w:val="00576738"/>
    <w:rsid w:val="0057683D"/>
    <w:rsid w:val="00577177"/>
    <w:rsid w:val="005774A9"/>
    <w:rsid w:val="00577C50"/>
    <w:rsid w:val="00577C79"/>
    <w:rsid w:val="005801C1"/>
    <w:rsid w:val="005820BC"/>
    <w:rsid w:val="0058279D"/>
    <w:rsid w:val="0058359E"/>
    <w:rsid w:val="005844E6"/>
    <w:rsid w:val="005916F4"/>
    <w:rsid w:val="00592B4A"/>
    <w:rsid w:val="00595E7D"/>
    <w:rsid w:val="00596673"/>
    <w:rsid w:val="005967F0"/>
    <w:rsid w:val="00596CB2"/>
    <w:rsid w:val="00597323"/>
    <w:rsid w:val="00597CF1"/>
    <w:rsid w:val="005A14CF"/>
    <w:rsid w:val="005A2825"/>
    <w:rsid w:val="005A58F7"/>
    <w:rsid w:val="005A5FC0"/>
    <w:rsid w:val="005A66D0"/>
    <w:rsid w:val="005A71D4"/>
    <w:rsid w:val="005A7D09"/>
    <w:rsid w:val="005B09AC"/>
    <w:rsid w:val="005B1FD4"/>
    <w:rsid w:val="005B2528"/>
    <w:rsid w:val="005B32B8"/>
    <w:rsid w:val="005B3AF9"/>
    <w:rsid w:val="005B570E"/>
    <w:rsid w:val="005B6813"/>
    <w:rsid w:val="005B713B"/>
    <w:rsid w:val="005B7403"/>
    <w:rsid w:val="005B753A"/>
    <w:rsid w:val="005C11D9"/>
    <w:rsid w:val="005C295B"/>
    <w:rsid w:val="005C416B"/>
    <w:rsid w:val="005C4268"/>
    <w:rsid w:val="005C4F76"/>
    <w:rsid w:val="005C5132"/>
    <w:rsid w:val="005C691B"/>
    <w:rsid w:val="005C7CB1"/>
    <w:rsid w:val="005D0D11"/>
    <w:rsid w:val="005D4708"/>
    <w:rsid w:val="005D5F34"/>
    <w:rsid w:val="005D6A02"/>
    <w:rsid w:val="005D6B70"/>
    <w:rsid w:val="005D7278"/>
    <w:rsid w:val="005D7358"/>
    <w:rsid w:val="005D7D53"/>
    <w:rsid w:val="005E0041"/>
    <w:rsid w:val="005E1CE1"/>
    <w:rsid w:val="005E4BD2"/>
    <w:rsid w:val="005E510F"/>
    <w:rsid w:val="005F2346"/>
    <w:rsid w:val="005F24EF"/>
    <w:rsid w:val="005F2F1C"/>
    <w:rsid w:val="005F3043"/>
    <w:rsid w:val="005F4D45"/>
    <w:rsid w:val="005F7ED8"/>
    <w:rsid w:val="00601013"/>
    <w:rsid w:val="00603458"/>
    <w:rsid w:val="00603B0D"/>
    <w:rsid w:val="00605382"/>
    <w:rsid w:val="00605C4A"/>
    <w:rsid w:val="0060771F"/>
    <w:rsid w:val="006125F0"/>
    <w:rsid w:val="00612B92"/>
    <w:rsid w:val="00612CED"/>
    <w:rsid w:val="00612D78"/>
    <w:rsid w:val="00614096"/>
    <w:rsid w:val="006149C3"/>
    <w:rsid w:val="006167AD"/>
    <w:rsid w:val="00617033"/>
    <w:rsid w:val="00617645"/>
    <w:rsid w:val="0062028A"/>
    <w:rsid w:val="00620ED7"/>
    <w:rsid w:val="00621607"/>
    <w:rsid w:val="0062259F"/>
    <w:rsid w:val="00623A71"/>
    <w:rsid w:val="00624438"/>
    <w:rsid w:val="00624975"/>
    <w:rsid w:val="00624C58"/>
    <w:rsid w:val="0063096E"/>
    <w:rsid w:val="006311F0"/>
    <w:rsid w:val="00632344"/>
    <w:rsid w:val="006325A5"/>
    <w:rsid w:val="00633260"/>
    <w:rsid w:val="00633351"/>
    <w:rsid w:val="00633698"/>
    <w:rsid w:val="00633A76"/>
    <w:rsid w:val="0063676A"/>
    <w:rsid w:val="00637034"/>
    <w:rsid w:val="006406F0"/>
    <w:rsid w:val="00641805"/>
    <w:rsid w:val="00641A30"/>
    <w:rsid w:val="00641F2C"/>
    <w:rsid w:val="00642B63"/>
    <w:rsid w:val="00642E55"/>
    <w:rsid w:val="0064511D"/>
    <w:rsid w:val="0064540F"/>
    <w:rsid w:val="00645D38"/>
    <w:rsid w:val="00647560"/>
    <w:rsid w:val="00650D20"/>
    <w:rsid w:val="006510C8"/>
    <w:rsid w:val="00651B9F"/>
    <w:rsid w:val="00653C53"/>
    <w:rsid w:val="00653F56"/>
    <w:rsid w:val="00655F71"/>
    <w:rsid w:val="0065719F"/>
    <w:rsid w:val="00657780"/>
    <w:rsid w:val="00657D5E"/>
    <w:rsid w:val="006641F3"/>
    <w:rsid w:val="00664B5F"/>
    <w:rsid w:val="0066612E"/>
    <w:rsid w:val="006664FF"/>
    <w:rsid w:val="00666B3C"/>
    <w:rsid w:val="006706A5"/>
    <w:rsid w:val="00670D89"/>
    <w:rsid w:val="006715E4"/>
    <w:rsid w:val="00671683"/>
    <w:rsid w:val="00672551"/>
    <w:rsid w:val="00672A54"/>
    <w:rsid w:val="00672C38"/>
    <w:rsid w:val="006738C1"/>
    <w:rsid w:val="00674E8A"/>
    <w:rsid w:val="00675CF6"/>
    <w:rsid w:val="00676706"/>
    <w:rsid w:val="006804AC"/>
    <w:rsid w:val="006845B8"/>
    <w:rsid w:val="00684B54"/>
    <w:rsid w:val="00687A93"/>
    <w:rsid w:val="00687D4B"/>
    <w:rsid w:val="00690743"/>
    <w:rsid w:val="006946E5"/>
    <w:rsid w:val="00694702"/>
    <w:rsid w:val="00695159"/>
    <w:rsid w:val="00696284"/>
    <w:rsid w:val="006A004C"/>
    <w:rsid w:val="006A1424"/>
    <w:rsid w:val="006A1CDC"/>
    <w:rsid w:val="006A1DF0"/>
    <w:rsid w:val="006A1FE7"/>
    <w:rsid w:val="006A23D4"/>
    <w:rsid w:val="006A4CE2"/>
    <w:rsid w:val="006A5341"/>
    <w:rsid w:val="006B01E4"/>
    <w:rsid w:val="006B0F6E"/>
    <w:rsid w:val="006B314D"/>
    <w:rsid w:val="006B425E"/>
    <w:rsid w:val="006B50F5"/>
    <w:rsid w:val="006B5255"/>
    <w:rsid w:val="006B5EA4"/>
    <w:rsid w:val="006B7073"/>
    <w:rsid w:val="006B7BB8"/>
    <w:rsid w:val="006B7FF8"/>
    <w:rsid w:val="006C0593"/>
    <w:rsid w:val="006C1449"/>
    <w:rsid w:val="006C2221"/>
    <w:rsid w:val="006C42AF"/>
    <w:rsid w:val="006C442E"/>
    <w:rsid w:val="006C5D93"/>
    <w:rsid w:val="006C7C3B"/>
    <w:rsid w:val="006D1B84"/>
    <w:rsid w:val="006D1DFB"/>
    <w:rsid w:val="006D35E1"/>
    <w:rsid w:val="006D5018"/>
    <w:rsid w:val="006D510C"/>
    <w:rsid w:val="006D75A0"/>
    <w:rsid w:val="006E091B"/>
    <w:rsid w:val="006E1679"/>
    <w:rsid w:val="006E318F"/>
    <w:rsid w:val="006E374A"/>
    <w:rsid w:val="006E4562"/>
    <w:rsid w:val="006E4A0B"/>
    <w:rsid w:val="006E7B87"/>
    <w:rsid w:val="006E7E64"/>
    <w:rsid w:val="006F11B5"/>
    <w:rsid w:val="006F1818"/>
    <w:rsid w:val="006F4595"/>
    <w:rsid w:val="006F4806"/>
    <w:rsid w:val="006F5592"/>
    <w:rsid w:val="006F5CDE"/>
    <w:rsid w:val="006F5E75"/>
    <w:rsid w:val="007005DA"/>
    <w:rsid w:val="00700A98"/>
    <w:rsid w:val="007015FF"/>
    <w:rsid w:val="007022AC"/>
    <w:rsid w:val="0070233A"/>
    <w:rsid w:val="00702A1C"/>
    <w:rsid w:val="00704967"/>
    <w:rsid w:val="00704EC9"/>
    <w:rsid w:val="00704F96"/>
    <w:rsid w:val="00705438"/>
    <w:rsid w:val="007054C0"/>
    <w:rsid w:val="00705E8C"/>
    <w:rsid w:val="00706906"/>
    <w:rsid w:val="007069D0"/>
    <w:rsid w:val="00711448"/>
    <w:rsid w:val="007117A6"/>
    <w:rsid w:val="00711DE5"/>
    <w:rsid w:val="0071214D"/>
    <w:rsid w:val="00712994"/>
    <w:rsid w:val="00715078"/>
    <w:rsid w:val="007159B3"/>
    <w:rsid w:val="007171C7"/>
    <w:rsid w:val="00717433"/>
    <w:rsid w:val="00720D08"/>
    <w:rsid w:val="00721E8B"/>
    <w:rsid w:val="00721F83"/>
    <w:rsid w:val="007220D0"/>
    <w:rsid w:val="0072254D"/>
    <w:rsid w:val="00723A5C"/>
    <w:rsid w:val="00723C6B"/>
    <w:rsid w:val="00724A60"/>
    <w:rsid w:val="00725CE9"/>
    <w:rsid w:val="00733911"/>
    <w:rsid w:val="00735B68"/>
    <w:rsid w:val="00736E51"/>
    <w:rsid w:val="0073760A"/>
    <w:rsid w:val="00740E32"/>
    <w:rsid w:val="00741163"/>
    <w:rsid w:val="00742387"/>
    <w:rsid w:val="00742F58"/>
    <w:rsid w:val="00743CCC"/>
    <w:rsid w:val="007445F5"/>
    <w:rsid w:val="0074593E"/>
    <w:rsid w:val="00746F2F"/>
    <w:rsid w:val="00747545"/>
    <w:rsid w:val="007475AD"/>
    <w:rsid w:val="00750D80"/>
    <w:rsid w:val="0075110A"/>
    <w:rsid w:val="00751668"/>
    <w:rsid w:val="00751B99"/>
    <w:rsid w:val="00752317"/>
    <w:rsid w:val="007525BE"/>
    <w:rsid w:val="00754443"/>
    <w:rsid w:val="00755ECC"/>
    <w:rsid w:val="0075661D"/>
    <w:rsid w:val="00756723"/>
    <w:rsid w:val="007569AC"/>
    <w:rsid w:val="007571B1"/>
    <w:rsid w:val="00757A1C"/>
    <w:rsid w:val="00760F70"/>
    <w:rsid w:val="00762BD5"/>
    <w:rsid w:val="00764846"/>
    <w:rsid w:val="0076545C"/>
    <w:rsid w:val="00766D7D"/>
    <w:rsid w:val="00770DDC"/>
    <w:rsid w:val="0077163A"/>
    <w:rsid w:val="00773529"/>
    <w:rsid w:val="00773AFF"/>
    <w:rsid w:val="00773C21"/>
    <w:rsid w:val="007740B7"/>
    <w:rsid w:val="00774677"/>
    <w:rsid w:val="00774A81"/>
    <w:rsid w:val="00775FD1"/>
    <w:rsid w:val="007761A5"/>
    <w:rsid w:val="0077687C"/>
    <w:rsid w:val="00776D12"/>
    <w:rsid w:val="00780216"/>
    <w:rsid w:val="00782430"/>
    <w:rsid w:val="00783001"/>
    <w:rsid w:val="0078350C"/>
    <w:rsid w:val="00787226"/>
    <w:rsid w:val="007900FE"/>
    <w:rsid w:val="00790117"/>
    <w:rsid w:val="0079017E"/>
    <w:rsid w:val="007908EB"/>
    <w:rsid w:val="00790EE2"/>
    <w:rsid w:val="00790F23"/>
    <w:rsid w:val="007916DD"/>
    <w:rsid w:val="00794D42"/>
    <w:rsid w:val="00797E0E"/>
    <w:rsid w:val="00797FE7"/>
    <w:rsid w:val="007A0AF1"/>
    <w:rsid w:val="007A0D79"/>
    <w:rsid w:val="007A13BC"/>
    <w:rsid w:val="007A22A5"/>
    <w:rsid w:val="007A2FE7"/>
    <w:rsid w:val="007A4114"/>
    <w:rsid w:val="007A4BA2"/>
    <w:rsid w:val="007A60E7"/>
    <w:rsid w:val="007B0038"/>
    <w:rsid w:val="007B18BC"/>
    <w:rsid w:val="007B2DA6"/>
    <w:rsid w:val="007B48C3"/>
    <w:rsid w:val="007B7F26"/>
    <w:rsid w:val="007C172A"/>
    <w:rsid w:val="007C371F"/>
    <w:rsid w:val="007C37CD"/>
    <w:rsid w:val="007C57E4"/>
    <w:rsid w:val="007C7551"/>
    <w:rsid w:val="007C7AC9"/>
    <w:rsid w:val="007D0D0E"/>
    <w:rsid w:val="007D14C3"/>
    <w:rsid w:val="007D3E08"/>
    <w:rsid w:val="007D5DEB"/>
    <w:rsid w:val="007D652F"/>
    <w:rsid w:val="007D7C48"/>
    <w:rsid w:val="007E05BE"/>
    <w:rsid w:val="007E0637"/>
    <w:rsid w:val="007E2C24"/>
    <w:rsid w:val="007E4728"/>
    <w:rsid w:val="007E5464"/>
    <w:rsid w:val="007E7035"/>
    <w:rsid w:val="007F1CEA"/>
    <w:rsid w:val="007F2310"/>
    <w:rsid w:val="007F4633"/>
    <w:rsid w:val="007F4A84"/>
    <w:rsid w:val="007F50B6"/>
    <w:rsid w:val="007F5676"/>
    <w:rsid w:val="007F7966"/>
    <w:rsid w:val="008004E0"/>
    <w:rsid w:val="008005D7"/>
    <w:rsid w:val="0080106F"/>
    <w:rsid w:val="00801CD2"/>
    <w:rsid w:val="00802E4D"/>
    <w:rsid w:val="008032F9"/>
    <w:rsid w:val="00803979"/>
    <w:rsid w:val="00803FFD"/>
    <w:rsid w:val="00804557"/>
    <w:rsid w:val="00804A29"/>
    <w:rsid w:val="00804C65"/>
    <w:rsid w:val="00804F04"/>
    <w:rsid w:val="00811F2F"/>
    <w:rsid w:val="00814A9B"/>
    <w:rsid w:val="00815426"/>
    <w:rsid w:val="00815AD0"/>
    <w:rsid w:val="00817986"/>
    <w:rsid w:val="00821359"/>
    <w:rsid w:val="0082384F"/>
    <w:rsid w:val="00823CA6"/>
    <w:rsid w:val="00824844"/>
    <w:rsid w:val="00824AAE"/>
    <w:rsid w:val="00825603"/>
    <w:rsid w:val="0082648A"/>
    <w:rsid w:val="00827993"/>
    <w:rsid w:val="00830EB2"/>
    <w:rsid w:val="00830FFF"/>
    <w:rsid w:val="00831069"/>
    <w:rsid w:val="008316EC"/>
    <w:rsid w:val="00831800"/>
    <w:rsid w:val="00834E8D"/>
    <w:rsid w:val="00835487"/>
    <w:rsid w:val="00835A26"/>
    <w:rsid w:val="00835D19"/>
    <w:rsid w:val="008408C5"/>
    <w:rsid w:val="00840C80"/>
    <w:rsid w:val="008421CD"/>
    <w:rsid w:val="0084223D"/>
    <w:rsid w:val="00842978"/>
    <w:rsid w:val="008439FF"/>
    <w:rsid w:val="0084484B"/>
    <w:rsid w:val="0084487D"/>
    <w:rsid w:val="00845872"/>
    <w:rsid w:val="008465CD"/>
    <w:rsid w:val="00847641"/>
    <w:rsid w:val="00850E66"/>
    <w:rsid w:val="00851B19"/>
    <w:rsid w:val="008529E5"/>
    <w:rsid w:val="00854107"/>
    <w:rsid w:val="00855A59"/>
    <w:rsid w:val="00857D7F"/>
    <w:rsid w:val="0086284B"/>
    <w:rsid w:val="0086411C"/>
    <w:rsid w:val="00865AAA"/>
    <w:rsid w:val="00865B57"/>
    <w:rsid w:val="008663A9"/>
    <w:rsid w:val="008663B6"/>
    <w:rsid w:val="0086796D"/>
    <w:rsid w:val="0087001D"/>
    <w:rsid w:val="00870E4F"/>
    <w:rsid w:val="00872095"/>
    <w:rsid w:val="00872EEC"/>
    <w:rsid w:val="0087396A"/>
    <w:rsid w:val="00875C25"/>
    <w:rsid w:val="0088309A"/>
    <w:rsid w:val="00884179"/>
    <w:rsid w:val="0088531B"/>
    <w:rsid w:val="0088563C"/>
    <w:rsid w:val="0088570B"/>
    <w:rsid w:val="0088715A"/>
    <w:rsid w:val="00887E85"/>
    <w:rsid w:val="008913F1"/>
    <w:rsid w:val="008914DD"/>
    <w:rsid w:val="00892159"/>
    <w:rsid w:val="00892C16"/>
    <w:rsid w:val="00894F06"/>
    <w:rsid w:val="00895368"/>
    <w:rsid w:val="00896E37"/>
    <w:rsid w:val="00897368"/>
    <w:rsid w:val="008A1818"/>
    <w:rsid w:val="008A3499"/>
    <w:rsid w:val="008A4980"/>
    <w:rsid w:val="008A4F16"/>
    <w:rsid w:val="008A58A8"/>
    <w:rsid w:val="008A6586"/>
    <w:rsid w:val="008B093E"/>
    <w:rsid w:val="008B2D70"/>
    <w:rsid w:val="008B472C"/>
    <w:rsid w:val="008B4AB7"/>
    <w:rsid w:val="008B4DB7"/>
    <w:rsid w:val="008B6186"/>
    <w:rsid w:val="008B7126"/>
    <w:rsid w:val="008C0A4E"/>
    <w:rsid w:val="008C26BF"/>
    <w:rsid w:val="008C2712"/>
    <w:rsid w:val="008C4D91"/>
    <w:rsid w:val="008C5C0B"/>
    <w:rsid w:val="008C7A94"/>
    <w:rsid w:val="008C7DC6"/>
    <w:rsid w:val="008D0E1F"/>
    <w:rsid w:val="008D1156"/>
    <w:rsid w:val="008D1550"/>
    <w:rsid w:val="008E0E7B"/>
    <w:rsid w:val="008E2188"/>
    <w:rsid w:val="008E2924"/>
    <w:rsid w:val="008E3036"/>
    <w:rsid w:val="008E3043"/>
    <w:rsid w:val="008E37A5"/>
    <w:rsid w:val="008E57F2"/>
    <w:rsid w:val="008F0C9B"/>
    <w:rsid w:val="008F1AD5"/>
    <w:rsid w:val="008F2099"/>
    <w:rsid w:val="008F2887"/>
    <w:rsid w:val="008F32E3"/>
    <w:rsid w:val="008F3D4D"/>
    <w:rsid w:val="008F4434"/>
    <w:rsid w:val="008F5447"/>
    <w:rsid w:val="008F735C"/>
    <w:rsid w:val="008F7AA1"/>
    <w:rsid w:val="00900326"/>
    <w:rsid w:val="009020BF"/>
    <w:rsid w:val="009115F7"/>
    <w:rsid w:val="0091183F"/>
    <w:rsid w:val="00911FFD"/>
    <w:rsid w:val="00912FE6"/>
    <w:rsid w:val="00913EF9"/>
    <w:rsid w:val="0091421E"/>
    <w:rsid w:val="0091512D"/>
    <w:rsid w:val="009158BE"/>
    <w:rsid w:val="00915C8D"/>
    <w:rsid w:val="0091668D"/>
    <w:rsid w:val="00917836"/>
    <w:rsid w:val="00917B41"/>
    <w:rsid w:val="00920156"/>
    <w:rsid w:val="009211EE"/>
    <w:rsid w:val="0092191A"/>
    <w:rsid w:val="009237ED"/>
    <w:rsid w:val="00923948"/>
    <w:rsid w:val="00923F9C"/>
    <w:rsid w:val="00924847"/>
    <w:rsid w:val="0092533A"/>
    <w:rsid w:val="00926146"/>
    <w:rsid w:val="00930B0B"/>
    <w:rsid w:val="00931E8E"/>
    <w:rsid w:val="0093407A"/>
    <w:rsid w:val="00934618"/>
    <w:rsid w:val="00934E79"/>
    <w:rsid w:val="009378D7"/>
    <w:rsid w:val="00937D83"/>
    <w:rsid w:val="00940E82"/>
    <w:rsid w:val="009415F4"/>
    <w:rsid w:val="0094211B"/>
    <w:rsid w:val="0094259F"/>
    <w:rsid w:val="009439F0"/>
    <w:rsid w:val="00944FB6"/>
    <w:rsid w:val="00945F5C"/>
    <w:rsid w:val="009466F1"/>
    <w:rsid w:val="00946904"/>
    <w:rsid w:val="009477ED"/>
    <w:rsid w:val="009508F7"/>
    <w:rsid w:val="00951508"/>
    <w:rsid w:val="00951603"/>
    <w:rsid w:val="00952B1F"/>
    <w:rsid w:val="0095305A"/>
    <w:rsid w:val="00953495"/>
    <w:rsid w:val="0095392C"/>
    <w:rsid w:val="00954D55"/>
    <w:rsid w:val="00954F66"/>
    <w:rsid w:val="00955F2C"/>
    <w:rsid w:val="00956806"/>
    <w:rsid w:val="00956E0C"/>
    <w:rsid w:val="009570FB"/>
    <w:rsid w:val="00957464"/>
    <w:rsid w:val="00957A20"/>
    <w:rsid w:val="00960E33"/>
    <w:rsid w:val="00962FBB"/>
    <w:rsid w:val="0096470A"/>
    <w:rsid w:val="009648A9"/>
    <w:rsid w:val="00966CB9"/>
    <w:rsid w:val="0097077E"/>
    <w:rsid w:val="00971E1C"/>
    <w:rsid w:val="009728AA"/>
    <w:rsid w:val="00977B07"/>
    <w:rsid w:val="00980623"/>
    <w:rsid w:val="00980E1F"/>
    <w:rsid w:val="009833B9"/>
    <w:rsid w:val="00984E08"/>
    <w:rsid w:val="009859CE"/>
    <w:rsid w:val="00985B0A"/>
    <w:rsid w:val="00985DD9"/>
    <w:rsid w:val="00986AAD"/>
    <w:rsid w:val="0098755D"/>
    <w:rsid w:val="00987A0A"/>
    <w:rsid w:val="009903F1"/>
    <w:rsid w:val="009923A4"/>
    <w:rsid w:val="00992A6E"/>
    <w:rsid w:val="00995A88"/>
    <w:rsid w:val="00997B5E"/>
    <w:rsid w:val="009A09F4"/>
    <w:rsid w:val="009A0F48"/>
    <w:rsid w:val="009A364A"/>
    <w:rsid w:val="009A3AA6"/>
    <w:rsid w:val="009A3B31"/>
    <w:rsid w:val="009A617E"/>
    <w:rsid w:val="009B1A2E"/>
    <w:rsid w:val="009B21B1"/>
    <w:rsid w:val="009B28CD"/>
    <w:rsid w:val="009B3126"/>
    <w:rsid w:val="009B3E8B"/>
    <w:rsid w:val="009B4C34"/>
    <w:rsid w:val="009B7C01"/>
    <w:rsid w:val="009B7DB3"/>
    <w:rsid w:val="009C2CFF"/>
    <w:rsid w:val="009C455D"/>
    <w:rsid w:val="009C488C"/>
    <w:rsid w:val="009C5469"/>
    <w:rsid w:val="009C63F2"/>
    <w:rsid w:val="009C70BC"/>
    <w:rsid w:val="009D18D5"/>
    <w:rsid w:val="009D1A47"/>
    <w:rsid w:val="009D1C0D"/>
    <w:rsid w:val="009D2451"/>
    <w:rsid w:val="009D267A"/>
    <w:rsid w:val="009D3EC5"/>
    <w:rsid w:val="009D49AF"/>
    <w:rsid w:val="009E067A"/>
    <w:rsid w:val="009E0A60"/>
    <w:rsid w:val="009E0E14"/>
    <w:rsid w:val="009E1FB6"/>
    <w:rsid w:val="009E24C4"/>
    <w:rsid w:val="009E2F90"/>
    <w:rsid w:val="009E341A"/>
    <w:rsid w:val="009E376C"/>
    <w:rsid w:val="009E3B7E"/>
    <w:rsid w:val="009E43A9"/>
    <w:rsid w:val="009E46AC"/>
    <w:rsid w:val="009E5214"/>
    <w:rsid w:val="009E6ADC"/>
    <w:rsid w:val="009E7389"/>
    <w:rsid w:val="009F0FA2"/>
    <w:rsid w:val="009F103C"/>
    <w:rsid w:val="009F2095"/>
    <w:rsid w:val="009F2104"/>
    <w:rsid w:val="009F388D"/>
    <w:rsid w:val="009F3D72"/>
    <w:rsid w:val="009F416D"/>
    <w:rsid w:val="009F45E0"/>
    <w:rsid w:val="009F5965"/>
    <w:rsid w:val="009F5D81"/>
    <w:rsid w:val="009F5DA3"/>
    <w:rsid w:val="009F7939"/>
    <w:rsid w:val="00A00077"/>
    <w:rsid w:val="00A020B2"/>
    <w:rsid w:val="00A02240"/>
    <w:rsid w:val="00A023B0"/>
    <w:rsid w:val="00A02FA7"/>
    <w:rsid w:val="00A03B54"/>
    <w:rsid w:val="00A03C19"/>
    <w:rsid w:val="00A05503"/>
    <w:rsid w:val="00A05E94"/>
    <w:rsid w:val="00A0641B"/>
    <w:rsid w:val="00A10627"/>
    <w:rsid w:val="00A116F5"/>
    <w:rsid w:val="00A11712"/>
    <w:rsid w:val="00A12A6B"/>
    <w:rsid w:val="00A12BC1"/>
    <w:rsid w:val="00A12EDB"/>
    <w:rsid w:val="00A1399C"/>
    <w:rsid w:val="00A146F3"/>
    <w:rsid w:val="00A15BED"/>
    <w:rsid w:val="00A15E7F"/>
    <w:rsid w:val="00A15FB3"/>
    <w:rsid w:val="00A17923"/>
    <w:rsid w:val="00A17F4A"/>
    <w:rsid w:val="00A20209"/>
    <w:rsid w:val="00A202B1"/>
    <w:rsid w:val="00A21C46"/>
    <w:rsid w:val="00A22673"/>
    <w:rsid w:val="00A226E9"/>
    <w:rsid w:val="00A25363"/>
    <w:rsid w:val="00A2632B"/>
    <w:rsid w:val="00A273AB"/>
    <w:rsid w:val="00A3085A"/>
    <w:rsid w:val="00A30C6D"/>
    <w:rsid w:val="00A30DAD"/>
    <w:rsid w:val="00A31B5E"/>
    <w:rsid w:val="00A3214A"/>
    <w:rsid w:val="00A32650"/>
    <w:rsid w:val="00A334B3"/>
    <w:rsid w:val="00A370F8"/>
    <w:rsid w:val="00A433E4"/>
    <w:rsid w:val="00A4391A"/>
    <w:rsid w:val="00A43A7B"/>
    <w:rsid w:val="00A4448A"/>
    <w:rsid w:val="00A447DD"/>
    <w:rsid w:val="00A4523E"/>
    <w:rsid w:val="00A5013B"/>
    <w:rsid w:val="00A5067B"/>
    <w:rsid w:val="00A51739"/>
    <w:rsid w:val="00A51B5E"/>
    <w:rsid w:val="00A52AA8"/>
    <w:rsid w:val="00A5528A"/>
    <w:rsid w:val="00A55965"/>
    <w:rsid w:val="00A56DEE"/>
    <w:rsid w:val="00A63C1C"/>
    <w:rsid w:val="00A63FF0"/>
    <w:rsid w:val="00A658AD"/>
    <w:rsid w:val="00A65955"/>
    <w:rsid w:val="00A65A4C"/>
    <w:rsid w:val="00A671AA"/>
    <w:rsid w:val="00A67C95"/>
    <w:rsid w:val="00A67CDC"/>
    <w:rsid w:val="00A73DB9"/>
    <w:rsid w:val="00A86F95"/>
    <w:rsid w:val="00A90595"/>
    <w:rsid w:val="00A9172F"/>
    <w:rsid w:val="00A93748"/>
    <w:rsid w:val="00A93BD1"/>
    <w:rsid w:val="00A966C3"/>
    <w:rsid w:val="00A96712"/>
    <w:rsid w:val="00A971CB"/>
    <w:rsid w:val="00A972CE"/>
    <w:rsid w:val="00A97864"/>
    <w:rsid w:val="00AA0610"/>
    <w:rsid w:val="00AA07F1"/>
    <w:rsid w:val="00AA184A"/>
    <w:rsid w:val="00AA1932"/>
    <w:rsid w:val="00AA2F94"/>
    <w:rsid w:val="00AA3CBE"/>
    <w:rsid w:val="00AA5FED"/>
    <w:rsid w:val="00AA69C6"/>
    <w:rsid w:val="00AA6D99"/>
    <w:rsid w:val="00AA7B22"/>
    <w:rsid w:val="00AB0747"/>
    <w:rsid w:val="00AB19DF"/>
    <w:rsid w:val="00AB1ABA"/>
    <w:rsid w:val="00AB511F"/>
    <w:rsid w:val="00AB638A"/>
    <w:rsid w:val="00AB75D2"/>
    <w:rsid w:val="00AC002F"/>
    <w:rsid w:val="00AC0037"/>
    <w:rsid w:val="00AC0E2D"/>
    <w:rsid w:val="00AC2C49"/>
    <w:rsid w:val="00AC32FF"/>
    <w:rsid w:val="00AC3F6B"/>
    <w:rsid w:val="00AD096A"/>
    <w:rsid w:val="00AD108D"/>
    <w:rsid w:val="00AD2409"/>
    <w:rsid w:val="00AD2F10"/>
    <w:rsid w:val="00AD46C4"/>
    <w:rsid w:val="00AD4EFA"/>
    <w:rsid w:val="00AD5B30"/>
    <w:rsid w:val="00AD5F8A"/>
    <w:rsid w:val="00AD6107"/>
    <w:rsid w:val="00AD6C56"/>
    <w:rsid w:val="00AE0478"/>
    <w:rsid w:val="00AE1561"/>
    <w:rsid w:val="00AE1EB7"/>
    <w:rsid w:val="00AE2718"/>
    <w:rsid w:val="00AE4A11"/>
    <w:rsid w:val="00AE54EB"/>
    <w:rsid w:val="00AE57CB"/>
    <w:rsid w:val="00AE6397"/>
    <w:rsid w:val="00AE6517"/>
    <w:rsid w:val="00AE7B28"/>
    <w:rsid w:val="00AF046A"/>
    <w:rsid w:val="00AF05CD"/>
    <w:rsid w:val="00AF0E4D"/>
    <w:rsid w:val="00AF21F0"/>
    <w:rsid w:val="00AF29F0"/>
    <w:rsid w:val="00AF5216"/>
    <w:rsid w:val="00AF5BAB"/>
    <w:rsid w:val="00AF6F45"/>
    <w:rsid w:val="00AF7E53"/>
    <w:rsid w:val="00B00293"/>
    <w:rsid w:val="00B00AA1"/>
    <w:rsid w:val="00B010A3"/>
    <w:rsid w:val="00B03A6D"/>
    <w:rsid w:val="00B04933"/>
    <w:rsid w:val="00B04AD3"/>
    <w:rsid w:val="00B04F2C"/>
    <w:rsid w:val="00B05930"/>
    <w:rsid w:val="00B06E9F"/>
    <w:rsid w:val="00B07070"/>
    <w:rsid w:val="00B07233"/>
    <w:rsid w:val="00B10A24"/>
    <w:rsid w:val="00B10D5D"/>
    <w:rsid w:val="00B11810"/>
    <w:rsid w:val="00B1185C"/>
    <w:rsid w:val="00B12502"/>
    <w:rsid w:val="00B12647"/>
    <w:rsid w:val="00B12C61"/>
    <w:rsid w:val="00B138B3"/>
    <w:rsid w:val="00B13AC1"/>
    <w:rsid w:val="00B14288"/>
    <w:rsid w:val="00B15042"/>
    <w:rsid w:val="00B15337"/>
    <w:rsid w:val="00B15D91"/>
    <w:rsid w:val="00B16EB0"/>
    <w:rsid w:val="00B171D0"/>
    <w:rsid w:val="00B17629"/>
    <w:rsid w:val="00B21A9F"/>
    <w:rsid w:val="00B21C9C"/>
    <w:rsid w:val="00B220EF"/>
    <w:rsid w:val="00B23129"/>
    <w:rsid w:val="00B232DA"/>
    <w:rsid w:val="00B23A67"/>
    <w:rsid w:val="00B269C6"/>
    <w:rsid w:val="00B275EA"/>
    <w:rsid w:val="00B323A4"/>
    <w:rsid w:val="00B33014"/>
    <w:rsid w:val="00B33070"/>
    <w:rsid w:val="00B33C0F"/>
    <w:rsid w:val="00B34F01"/>
    <w:rsid w:val="00B36B84"/>
    <w:rsid w:val="00B37265"/>
    <w:rsid w:val="00B415F1"/>
    <w:rsid w:val="00B42E5E"/>
    <w:rsid w:val="00B43822"/>
    <w:rsid w:val="00B43BB2"/>
    <w:rsid w:val="00B44532"/>
    <w:rsid w:val="00B50BC5"/>
    <w:rsid w:val="00B514B4"/>
    <w:rsid w:val="00B5327F"/>
    <w:rsid w:val="00B53461"/>
    <w:rsid w:val="00B54F45"/>
    <w:rsid w:val="00B567BB"/>
    <w:rsid w:val="00B605CF"/>
    <w:rsid w:val="00B61DCE"/>
    <w:rsid w:val="00B61ED5"/>
    <w:rsid w:val="00B63C0C"/>
    <w:rsid w:val="00B64544"/>
    <w:rsid w:val="00B710E2"/>
    <w:rsid w:val="00B7127B"/>
    <w:rsid w:val="00B716B9"/>
    <w:rsid w:val="00B71C2E"/>
    <w:rsid w:val="00B72579"/>
    <w:rsid w:val="00B728FF"/>
    <w:rsid w:val="00B74047"/>
    <w:rsid w:val="00B740A8"/>
    <w:rsid w:val="00B745BA"/>
    <w:rsid w:val="00B75098"/>
    <w:rsid w:val="00B75BB1"/>
    <w:rsid w:val="00B7681A"/>
    <w:rsid w:val="00B803DB"/>
    <w:rsid w:val="00B81DBE"/>
    <w:rsid w:val="00B825A2"/>
    <w:rsid w:val="00B82700"/>
    <w:rsid w:val="00B83801"/>
    <w:rsid w:val="00B86A7E"/>
    <w:rsid w:val="00B905F8"/>
    <w:rsid w:val="00B909D1"/>
    <w:rsid w:val="00B90ED7"/>
    <w:rsid w:val="00B91CF6"/>
    <w:rsid w:val="00B91D2F"/>
    <w:rsid w:val="00B92B6E"/>
    <w:rsid w:val="00B92C6F"/>
    <w:rsid w:val="00B936A9"/>
    <w:rsid w:val="00B94768"/>
    <w:rsid w:val="00B95BC9"/>
    <w:rsid w:val="00B9668B"/>
    <w:rsid w:val="00B97C00"/>
    <w:rsid w:val="00BA2078"/>
    <w:rsid w:val="00BA3BCD"/>
    <w:rsid w:val="00BA4172"/>
    <w:rsid w:val="00BA4303"/>
    <w:rsid w:val="00BA47D6"/>
    <w:rsid w:val="00BA5928"/>
    <w:rsid w:val="00BA5E3B"/>
    <w:rsid w:val="00BA67BB"/>
    <w:rsid w:val="00BB1977"/>
    <w:rsid w:val="00BB1C80"/>
    <w:rsid w:val="00BB2319"/>
    <w:rsid w:val="00BB50BE"/>
    <w:rsid w:val="00BB5F9C"/>
    <w:rsid w:val="00BB729F"/>
    <w:rsid w:val="00BB7D21"/>
    <w:rsid w:val="00BC0A33"/>
    <w:rsid w:val="00BC0BEF"/>
    <w:rsid w:val="00BC24DD"/>
    <w:rsid w:val="00BC2C11"/>
    <w:rsid w:val="00BC3EFE"/>
    <w:rsid w:val="00BC5C14"/>
    <w:rsid w:val="00BC6929"/>
    <w:rsid w:val="00BD07E0"/>
    <w:rsid w:val="00BD17D8"/>
    <w:rsid w:val="00BD18D7"/>
    <w:rsid w:val="00BD3576"/>
    <w:rsid w:val="00BD51CE"/>
    <w:rsid w:val="00BD6604"/>
    <w:rsid w:val="00BD7595"/>
    <w:rsid w:val="00BD7F60"/>
    <w:rsid w:val="00BE104A"/>
    <w:rsid w:val="00BE17B2"/>
    <w:rsid w:val="00BE189C"/>
    <w:rsid w:val="00BE1F9B"/>
    <w:rsid w:val="00BE7259"/>
    <w:rsid w:val="00BE762B"/>
    <w:rsid w:val="00BF11C8"/>
    <w:rsid w:val="00BF11ED"/>
    <w:rsid w:val="00BF5DF8"/>
    <w:rsid w:val="00BF69E7"/>
    <w:rsid w:val="00C043F1"/>
    <w:rsid w:val="00C04ECC"/>
    <w:rsid w:val="00C07108"/>
    <w:rsid w:val="00C1314D"/>
    <w:rsid w:val="00C134AD"/>
    <w:rsid w:val="00C13C6B"/>
    <w:rsid w:val="00C15888"/>
    <w:rsid w:val="00C158A4"/>
    <w:rsid w:val="00C15CF2"/>
    <w:rsid w:val="00C15ED0"/>
    <w:rsid w:val="00C21EB1"/>
    <w:rsid w:val="00C230B5"/>
    <w:rsid w:val="00C23BCB"/>
    <w:rsid w:val="00C259E4"/>
    <w:rsid w:val="00C2730E"/>
    <w:rsid w:val="00C309FB"/>
    <w:rsid w:val="00C327F1"/>
    <w:rsid w:val="00C32BFF"/>
    <w:rsid w:val="00C33BF3"/>
    <w:rsid w:val="00C3435B"/>
    <w:rsid w:val="00C349C5"/>
    <w:rsid w:val="00C35D2A"/>
    <w:rsid w:val="00C3656E"/>
    <w:rsid w:val="00C405A8"/>
    <w:rsid w:val="00C40BC2"/>
    <w:rsid w:val="00C410C1"/>
    <w:rsid w:val="00C41E0D"/>
    <w:rsid w:val="00C421FE"/>
    <w:rsid w:val="00C42412"/>
    <w:rsid w:val="00C42919"/>
    <w:rsid w:val="00C43252"/>
    <w:rsid w:val="00C45D3A"/>
    <w:rsid w:val="00C46392"/>
    <w:rsid w:val="00C47F7F"/>
    <w:rsid w:val="00C508E7"/>
    <w:rsid w:val="00C50A61"/>
    <w:rsid w:val="00C54D4A"/>
    <w:rsid w:val="00C55195"/>
    <w:rsid w:val="00C57415"/>
    <w:rsid w:val="00C575C6"/>
    <w:rsid w:val="00C603B8"/>
    <w:rsid w:val="00C60680"/>
    <w:rsid w:val="00C61EFA"/>
    <w:rsid w:val="00C662EB"/>
    <w:rsid w:val="00C6693A"/>
    <w:rsid w:val="00C73293"/>
    <w:rsid w:val="00C73F96"/>
    <w:rsid w:val="00C74381"/>
    <w:rsid w:val="00C7486C"/>
    <w:rsid w:val="00C774D1"/>
    <w:rsid w:val="00C81159"/>
    <w:rsid w:val="00C827DB"/>
    <w:rsid w:val="00C82D80"/>
    <w:rsid w:val="00C83011"/>
    <w:rsid w:val="00C83839"/>
    <w:rsid w:val="00C85C92"/>
    <w:rsid w:val="00C86E83"/>
    <w:rsid w:val="00C9264A"/>
    <w:rsid w:val="00C94689"/>
    <w:rsid w:val="00C94721"/>
    <w:rsid w:val="00C95620"/>
    <w:rsid w:val="00C96329"/>
    <w:rsid w:val="00C9677D"/>
    <w:rsid w:val="00C96844"/>
    <w:rsid w:val="00C97E96"/>
    <w:rsid w:val="00CA00D5"/>
    <w:rsid w:val="00CA1897"/>
    <w:rsid w:val="00CA1C31"/>
    <w:rsid w:val="00CA1D81"/>
    <w:rsid w:val="00CA21CF"/>
    <w:rsid w:val="00CA46DE"/>
    <w:rsid w:val="00CA4C96"/>
    <w:rsid w:val="00CA4E64"/>
    <w:rsid w:val="00CA5793"/>
    <w:rsid w:val="00CB0477"/>
    <w:rsid w:val="00CB1BAF"/>
    <w:rsid w:val="00CB1E26"/>
    <w:rsid w:val="00CB24BD"/>
    <w:rsid w:val="00CB4C58"/>
    <w:rsid w:val="00CB4E4B"/>
    <w:rsid w:val="00CB64CC"/>
    <w:rsid w:val="00CB706D"/>
    <w:rsid w:val="00CB7232"/>
    <w:rsid w:val="00CB7C39"/>
    <w:rsid w:val="00CC065E"/>
    <w:rsid w:val="00CC07E9"/>
    <w:rsid w:val="00CC2935"/>
    <w:rsid w:val="00CC3AF5"/>
    <w:rsid w:val="00CC5B53"/>
    <w:rsid w:val="00CC5B59"/>
    <w:rsid w:val="00CC5FD4"/>
    <w:rsid w:val="00CC6013"/>
    <w:rsid w:val="00CC6565"/>
    <w:rsid w:val="00CD0A96"/>
    <w:rsid w:val="00CD0B44"/>
    <w:rsid w:val="00CD1487"/>
    <w:rsid w:val="00CD24B6"/>
    <w:rsid w:val="00CD5777"/>
    <w:rsid w:val="00CD6419"/>
    <w:rsid w:val="00CD6EF4"/>
    <w:rsid w:val="00CD704C"/>
    <w:rsid w:val="00CE0B1B"/>
    <w:rsid w:val="00CE1A9D"/>
    <w:rsid w:val="00CE4AC2"/>
    <w:rsid w:val="00CE4FEB"/>
    <w:rsid w:val="00CE50FC"/>
    <w:rsid w:val="00CE7140"/>
    <w:rsid w:val="00CF3AB6"/>
    <w:rsid w:val="00CF4489"/>
    <w:rsid w:val="00D00966"/>
    <w:rsid w:val="00D022C9"/>
    <w:rsid w:val="00D02619"/>
    <w:rsid w:val="00D050F2"/>
    <w:rsid w:val="00D058E7"/>
    <w:rsid w:val="00D0608D"/>
    <w:rsid w:val="00D07C2A"/>
    <w:rsid w:val="00D10268"/>
    <w:rsid w:val="00D114E1"/>
    <w:rsid w:val="00D11E4E"/>
    <w:rsid w:val="00D1214F"/>
    <w:rsid w:val="00D124DF"/>
    <w:rsid w:val="00D12DC0"/>
    <w:rsid w:val="00D13225"/>
    <w:rsid w:val="00D13B2A"/>
    <w:rsid w:val="00D1409D"/>
    <w:rsid w:val="00D1409F"/>
    <w:rsid w:val="00D1514E"/>
    <w:rsid w:val="00D167A1"/>
    <w:rsid w:val="00D16CBF"/>
    <w:rsid w:val="00D16CEF"/>
    <w:rsid w:val="00D1743D"/>
    <w:rsid w:val="00D17509"/>
    <w:rsid w:val="00D20702"/>
    <w:rsid w:val="00D214F2"/>
    <w:rsid w:val="00D216E5"/>
    <w:rsid w:val="00D21E3D"/>
    <w:rsid w:val="00D22266"/>
    <w:rsid w:val="00D22D3E"/>
    <w:rsid w:val="00D26E34"/>
    <w:rsid w:val="00D2753C"/>
    <w:rsid w:val="00D30B44"/>
    <w:rsid w:val="00D30DEC"/>
    <w:rsid w:val="00D31190"/>
    <w:rsid w:val="00D3147C"/>
    <w:rsid w:val="00D31731"/>
    <w:rsid w:val="00D32876"/>
    <w:rsid w:val="00D32BA3"/>
    <w:rsid w:val="00D33167"/>
    <w:rsid w:val="00D33CF9"/>
    <w:rsid w:val="00D33FD8"/>
    <w:rsid w:val="00D34B7A"/>
    <w:rsid w:val="00D3530D"/>
    <w:rsid w:val="00D354D5"/>
    <w:rsid w:val="00D37057"/>
    <w:rsid w:val="00D40743"/>
    <w:rsid w:val="00D41A55"/>
    <w:rsid w:val="00D42B75"/>
    <w:rsid w:val="00D43E6B"/>
    <w:rsid w:val="00D4463A"/>
    <w:rsid w:val="00D44C1A"/>
    <w:rsid w:val="00D509EF"/>
    <w:rsid w:val="00D50AFA"/>
    <w:rsid w:val="00D50E1E"/>
    <w:rsid w:val="00D51DC8"/>
    <w:rsid w:val="00D523AB"/>
    <w:rsid w:val="00D536C6"/>
    <w:rsid w:val="00D55371"/>
    <w:rsid w:val="00D55A1C"/>
    <w:rsid w:val="00D60C83"/>
    <w:rsid w:val="00D62415"/>
    <w:rsid w:val="00D63A7B"/>
    <w:rsid w:val="00D6504D"/>
    <w:rsid w:val="00D66A12"/>
    <w:rsid w:val="00D709AA"/>
    <w:rsid w:val="00D765C3"/>
    <w:rsid w:val="00D775E6"/>
    <w:rsid w:val="00D77DD1"/>
    <w:rsid w:val="00D82198"/>
    <w:rsid w:val="00D83FE5"/>
    <w:rsid w:val="00D845BB"/>
    <w:rsid w:val="00D8508F"/>
    <w:rsid w:val="00D8575A"/>
    <w:rsid w:val="00D85DBB"/>
    <w:rsid w:val="00D8645D"/>
    <w:rsid w:val="00D86D2E"/>
    <w:rsid w:val="00D86E71"/>
    <w:rsid w:val="00D8779A"/>
    <w:rsid w:val="00D925EC"/>
    <w:rsid w:val="00D938B3"/>
    <w:rsid w:val="00D9560B"/>
    <w:rsid w:val="00D957CE"/>
    <w:rsid w:val="00D95B29"/>
    <w:rsid w:val="00D96713"/>
    <w:rsid w:val="00D9699D"/>
    <w:rsid w:val="00D96BB9"/>
    <w:rsid w:val="00DA0D36"/>
    <w:rsid w:val="00DA0E7C"/>
    <w:rsid w:val="00DA2068"/>
    <w:rsid w:val="00DA33E0"/>
    <w:rsid w:val="00DA3E31"/>
    <w:rsid w:val="00DA49CC"/>
    <w:rsid w:val="00DA5DD5"/>
    <w:rsid w:val="00DB044E"/>
    <w:rsid w:val="00DB059E"/>
    <w:rsid w:val="00DB0C64"/>
    <w:rsid w:val="00DB14D1"/>
    <w:rsid w:val="00DB1672"/>
    <w:rsid w:val="00DB244C"/>
    <w:rsid w:val="00DB37EC"/>
    <w:rsid w:val="00DB581E"/>
    <w:rsid w:val="00DB7321"/>
    <w:rsid w:val="00DC13B8"/>
    <w:rsid w:val="00DC3813"/>
    <w:rsid w:val="00DC3B94"/>
    <w:rsid w:val="00DC455D"/>
    <w:rsid w:val="00DC5C6B"/>
    <w:rsid w:val="00DC631B"/>
    <w:rsid w:val="00DC6D97"/>
    <w:rsid w:val="00DC777A"/>
    <w:rsid w:val="00DC7C31"/>
    <w:rsid w:val="00DD01CC"/>
    <w:rsid w:val="00DD0CA9"/>
    <w:rsid w:val="00DD200A"/>
    <w:rsid w:val="00DD4E0C"/>
    <w:rsid w:val="00DD51D3"/>
    <w:rsid w:val="00DD6E65"/>
    <w:rsid w:val="00DD6EEC"/>
    <w:rsid w:val="00DD7BBA"/>
    <w:rsid w:val="00DE0F8A"/>
    <w:rsid w:val="00DE2488"/>
    <w:rsid w:val="00DE2873"/>
    <w:rsid w:val="00DE2AE4"/>
    <w:rsid w:val="00DE40A5"/>
    <w:rsid w:val="00DE448E"/>
    <w:rsid w:val="00DE51E1"/>
    <w:rsid w:val="00DE578E"/>
    <w:rsid w:val="00DE5E5F"/>
    <w:rsid w:val="00DE687F"/>
    <w:rsid w:val="00DE7521"/>
    <w:rsid w:val="00DF1194"/>
    <w:rsid w:val="00DF246C"/>
    <w:rsid w:val="00DF3019"/>
    <w:rsid w:val="00DF31C7"/>
    <w:rsid w:val="00DF3509"/>
    <w:rsid w:val="00DF3DF6"/>
    <w:rsid w:val="00DF442F"/>
    <w:rsid w:val="00DF6F25"/>
    <w:rsid w:val="00DF7FC7"/>
    <w:rsid w:val="00E00801"/>
    <w:rsid w:val="00E00F79"/>
    <w:rsid w:val="00E01A4C"/>
    <w:rsid w:val="00E0223B"/>
    <w:rsid w:val="00E0238D"/>
    <w:rsid w:val="00E02D22"/>
    <w:rsid w:val="00E04811"/>
    <w:rsid w:val="00E05599"/>
    <w:rsid w:val="00E0606A"/>
    <w:rsid w:val="00E06847"/>
    <w:rsid w:val="00E0730B"/>
    <w:rsid w:val="00E10D13"/>
    <w:rsid w:val="00E11871"/>
    <w:rsid w:val="00E13B56"/>
    <w:rsid w:val="00E15851"/>
    <w:rsid w:val="00E15AB8"/>
    <w:rsid w:val="00E16AD5"/>
    <w:rsid w:val="00E1768D"/>
    <w:rsid w:val="00E17E5E"/>
    <w:rsid w:val="00E20F0E"/>
    <w:rsid w:val="00E220CC"/>
    <w:rsid w:val="00E22B31"/>
    <w:rsid w:val="00E2313B"/>
    <w:rsid w:val="00E23BBB"/>
    <w:rsid w:val="00E23F7E"/>
    <w:rsid w:val="00E25A9D"/>
    <w:rsid w:val="00E25B11"/>
    <w:rsid w:val="00E25C70"/>
    <w:rsid w:val="00E2655F"/>
    <w:rsid w:val="00E274CD"/>
    <w:rsid w:val="00E305BC"/>
    <w:rsid w:val="00E30B4A"/>
    <w:rsid w:val="00E33528"/>
    <w:rsid w:val="00E3355A"/>
    <w:rsid w:val="00E33D9C"/>
    <w:rsid w:val="00E34452"/>
    <w:rsid w:val="00E35A6F"/>
    <w:rsid w:val="00E3682B"/>
    <w:rsid w:val="00E376B7"/>
    <w:rsid w:val="00E40AE7"/>
    <w:rsid w:val="00E436B1"/>
    <w:rsid w:val="00E453CB"/>
    <w:rsid w:val="00E45AF7"/>
    <w:rsid w:val="00E46146"/>
    <w:rsid w:val="00E47AC5"/>
    <w:rsid w:val="00E47E53"/>
    <w:rsid w:val="00E532C0"/>
    <w:rsid w:val="00E5498B"/>
    <w:rsid w:val="00E55E43"/>
    <w:rsid w:val="00E55E46"/>
    <w:rsid w:val="00E56213"/>
    <w:rsid w:val="00E56671"/>
    <w:rsid w:val="00E56CC4"/>
    <w:rsid w:val="00E601A5"/>
    <w:rsid w:val="00E60D42"/>
    <w:rsid w:val="00E610F8"/>
    <w:rsid w:val="00E613C8"/>
    <w:rsid w:val="00E6306C"/>
    <w:rsid w:val="00E63A0E"/>
    <w:rsid w:val="00E64204"/>
    <w:rsid w:val="00E64FD4"/>
    <w:rsid w:val="00E6528D"/>
    <w:rsid w:val="00E65603"/>
    <w:rsid w:val="00E6672B"/>
    <w:rsid w:val="00E669AC"/>
    <w:rsid w:val="00E67F5B"/>
    <w:rsid w:val="00E70139"/>
    <w:rsid w:val="00E71C1F"/>
    <w:rsid w:val="00E7287C"/>
    <w:rsid w:val="00E72A39"/>
    <w:rsid w:val="00E72D19"/>
    <w:rsid w:val="00E73CED"/>
    <w:rsid w:val="00E74469"/>
    <w:rsid w:val="00E745FC"/>
    <w:rsid w:val="00E77BE3"/>
    <w:rsid w:val="00E80A70"/>
    <w:rsid w:val="00E821D2"/>
    <w:rsid w:val="00E840B4"/>
    <w:rsid w:val="00E84439"/>
    <w:rsid w:val="00E84B04"/>
    <w:rsid w:val="00E858D0"/>
    <w:rsid w:val="00E86BBF"/>
    <w:rsid w:val="00E91174"/>
    <w:rsid w:val="00E91412"/>
    <w:rsid w:val="00E91BD1"/>
    <w:rsid w:val="00E92926"/>
    <w:rsid w:val="00E9387E"/>
    <w:rsid w:val="00E94FD8"/>
    <w:rsid w:val="00E966B4"/>
    <w:rsid w:val="00E966FC"/>
    <w:rsid w:val="00EA1333"/>
    <w:rsid w:val="00EA1CA0"/>
    <w:rsid w:val="00EA306B"/>
    <w:rsid w:val="00EA6094"/>
    <w:rsid w:val="00EA6AAC"/>
    <w:rsid w:val="00EB01F8"/>
    <w:rsid w:val="00EB109F"/>
    <w:rsid w:val="00EB1359"/>
    <w:rsid w:val="00EB2FA4"/>
    <w:rsid w:val="00EB3099"/>
    <w:rsid w:val="00EB67E1"/>
    <w:rsid w:val="00EB68BD"/>
    <w:rsid w:val="00EB721A"/>
    <w:rsid w:val="00EC0408"/>
    <w:rsid w:val="00EC0DC5"/>
    <w:rsid w:val="00EC1C96"/>
    <w:rsid w:val="00EC1EDC"/>
    <w:rsid w:val="00EC2811"/>
    <w:rsid w:val="00EC351A"/>
    <w:rsid w:val="00EC54F3"/>
    <w:rsid w:val="00EC5F03"/>
    <w:rsid w:val="00EC6442"/>
    <w:rsid w:val="00EC78B0"/>
    <w:rsid w:val="00EC7E1E"/>
    <w:rsid w:val="00ED025A"/>
    <w:rsid w:val="00ED09CD"/>
    <w:rsid w:val="00ED2F57"/>
    <w:rsid w:val="00ED4B71"/>
    <w:rsid w:val="00ED504C"/>
    <w:rsid w:val="00EE1355"/>
    <w:rsid w:val="00EE14B3"/>
    <w:rsid w:val="00EE1A6E"/>
    <w:rsid w:val="00EE319E"/>
    <w:rsid w:val="00EE377E"/>
    <w:rsid w:val="00EE3F41"/>
    <w:rsid w:val="00EE4E28"/>
    <w:rsid w:val="00EE5E1E"/>
    <w:rsid w:val="00EE6585"/>
    <w:rsid w:val="00EF15DC"/>
    <w:rsid w:val="00EF3779"/>
    <w:rsid w:val="00EF6EB4"/>
    <w:rsid w:val="00EF797F"/>
    <w:rsid w:val="00F00C75"/>
    <w:rsid w:val="00F02B4C"/>
    <w:rsid w:val="00F04A7D"/>
    <w:rsid w:val="00F05400"/>
    <w:rsid w:val="00F06310"/>
    <w:rsid w:val="00F10BC7"/>
    <w:rsid w:val="00F10D9E"/>
    <w:rsid w:val="00F114A7"/>
    <w:rsid w:val="00F1244E"/>
    <w:rsid w:val="00F12FF5"/>
    <w:rsid w:val="00F149EA"/>
    <w:rsid w:val="00F15A13"/>
    <w:rsid w:val="00F15D58"/>
    <w:rsid w:val="00F1701C"/>
    <w:rsid w:val="00F204D6"/>
    <w:rsid w:val="00F2084B"/>
    <w:rsid w:val="00F2196F"/>
    <w:rsid w:val="00F223EB"/>
    <w:rsid w:val="00F2286C"/>
    <w:rsid w:val="00F2296A"/>
    <w:rsid w:val="00F2385B"/>
    <w:rsid w:val="00F23E1A"/>
    <w:rsid w:val="00F24F38"/>
    <w:rsid w:val="00F2564D"/>
    <w:rsid w:val="00F26A8D"/>
    <w:rsid w:val="00F26B08"/>
    <w:rsid w:val="00F26ED7"/>
    <w:rsid w:val="00F27B81"/>
    <w:rsid w:val="00F30019"/>
    <w:rsid w:val="00F30966"/>
    <w:rsid w:val="00F3156A"/>
    <w:rsid w:val="00F3280B"/>
    <w:rsid w:val="00F32B46"/>
    <w:rsid w:val="00F3380A"/>
    <w:rsid w:val="00F33CAD"/>
    <w:rsid w:val="00F34248"/>
    <w:rsid w:val="00F35031"/>
    <w:rsid w:val="00F35B3D"/>
    <w:rsid w:val="00F40CF1"/>
    <w:rsid w:val="00F454DD"/>
    <w:rsid w:val="00F45CA9"/>
    <w:rsid w:val="00F46CC7"/>
    <w:rsid w:val="00F504D3"/>
    <w:rsid w:val="00F51BD6"/>
    <w:rsid w:val="00F52DA7"/>
    <w:rsid w:val="00F52E3D"/>
    <w:rsid w:val="00F539DF"/>
    <w:rsid w:val="00F55C7D"/>
    <w:rsid w:val="00F62182"/>
    <w:rsid w:val="00F62B12"/>
    <w:rsid w:val="00F63BE1"/>
    <w:rsid w:val="00F66E96"/>
    <w:rsid w:val="00F670D3"/>
    <w:rsid w:val="00F70475"/>
    <w:rsid w:val="00F7259C"/>
    <w:rsid w:val="00F74011"/>
    <w:rsid w:val="00F7403B"/>
    <w:rsid w:val="00F7528D"/>
    <w:rsid w:val="00F772CE"/>
    <w:rsid w:val="00F77636"/>
    <w:rsid w:val="00F77825"/>
    <w:rsid w:val="00F80188"/>
    <w:rsid w:val="00F807E0"/>
    <w:rsid w:val="00F80D9D"/>
    <w:rsid w:val="00F8216B"/>
    <w:rsid w:val="00F82B16"/>
    <w:rsid w:val="00F862E7"/>
    <w:rsid w:val="00F91F4A"/>
    <w:rsid w:val="00F94E6A"/>
    <w:rsid w:val="00F953CD"/>
    <w:rsid w:val="00F967A3"/>
    <w:rsid w:val="00F976C5"/>
    <w:rsid w:val="00FA1299"/>
    <w:rsid w:val="00FA20F4"/>
    <w:rsid w:val="00FA24B3"/>
    <w:rsid w:val="00FA3C94"/>
    <w:rsid w:val="00FA3CAF"/>
    <w:rsid w:val="00FA3DBD"/>
    <w:rsid w:val="00FA4270"/>
    <w:rsid w:val="00FA56CE"/>
    <w:rsid w:val="00FB0091"/>
    <w:rsid w:val="00FB2C21"/>
    <w:rsid w:val="00FB2CDA"/>
    <w:rsid w:val="00FB5356"/>
    <w:rsid w:val="00FC0BB8"/>
    <w:rsid w:val="00FC0DCD"/>
    <w:rsid w:val="00FC44A2"/>
    <w:rsid w:val="00FC658A"/>
    <w:rsid w:val="00FC7C66"/>
    <w:rsid w:val="00FD0A0D"/>
    <w:rsid w:val="00FD0E14"/>
    <w:rsid w:val="00FD1441"/>
    <w:rsid w:val="00FD5E6E"/>
    <w:rsid w:val="00FD799A"/>
    <w:rsid w:val="00FE18B2"/>
    <w:rsid w:val="00FE2EDC"/>
    <w:rsid w:val="00FE33F8"/>
    <w:rsid w:val="00FE4494"/>
    <w:rsid w:val="00FE47F3"/>
    <w:rsid w:val="00FE5B87"/>
    <w:rsid w:val="00FE5BB6"/>
    <w:rsid w:val="00FE666D"/>
    <w:rsid w:val="00FE667C"/>
    <w:rsid w:val="00FE6BF3"/>
    <w:rsid w:val="00FE6F81"/>
    <w:rsid w:val="00FE777D"/>
    <w:rsid w:val="00FF0A0D"/>
    <w:rsid w:val="00FF3B6A"/>
    <w:rsid w:val="00FF4420"/>
    <w:rsid w:val="00FF443B"/>
    <w:rsid w:val="00FF64FD"/>
    <w:rsid w:val="00FF78FB"/>
    <w:rsid w:val="00FF7EE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8F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CD"/>
  </w:style>
  <w:style w:type="paragraph" w:styleId="Heading1">
    <w:name w:val="heading 1"/>
    <w:basedOn w:val="Normal"/>
    <w:next w:val="Normal"/>
    <w:link w:val="Heading1Char"/>
    <w:uiPriority w:val="9"/>
    <w:qFormat/>
    <w:rsid w:val="00487443"/>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87443"/>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87443"/>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87443"/>
    <w:pPr>
      <w:keepNext/>
      <w:keepLines/>
      <w:spacing w:before="200"/>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7C22"/>
    <w:rPr>
      <w:rFonts w:ascii="Lucida Grande" w:hAnsi="Lucida Grande"/>
      <w:sz w:val="18"/>
      <w:szCs w:val="18"/>
    </w:rPr>
  </w:style>
  <w:style w:type="character" w:customStyle="1" w:styleId="BalloonTextChar">
    <w:name w:val="Balloon Text Char"/>
    <w:basedOn w:val="DefaultParagraphFont"/>
    <w:link w:val="BalloonText"/>
    <w:uiPriority w:val="99"/>
    <w:semiHidden/>
    <w:rsid w:val="00987C22"/>
    <w:rPr>
      <w:rFonts w:ascii="Lucida Grande" w:hAnsi="Lucida Grande"/>
      <w:sz w:val="18"/>
      <w:szCs w:val="18"/>
    </w:rPr>
  </w:style>
  <w:style w:type="character" w:customStyle="1" w:styleId="Heading1Char">
    <w:name w:val="Heading 1 Char"/>
    <w:basedOn w:val="DefaultParagraphFont"/>
    <w:link w:val="Heading1"/>
    <w:uiPriority w:val="9"/>
    <w:rsid w:val="0048744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8744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8744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87443"/>
    <w:rPr>
      <w:rFonts w:asciiTheme="majorHAnsi" w:eastAsiaTheme="majorEastAsia" w:hAnsiTheme="majorHAnsi" w:cstheme="majorBidi"/>
      <w:b/>
      <w:bCs/>
      <w:iCs/>
    </w:rPr>
  </w:style>
  <w:style w:type="paragraph" w:styleId="Header">
    <w:name w:val="header"/>
    <w:basedOn w:val="Normal"/>
    <w:link w:val="HeaderChar"/>
    <w:uiPriority w:val="99"/>
    <w:unhideWhenUsed/>
    <w:rsid w:val="00672551"/>
    <w:pPr>
      <w:tabs>
        <w:tab w:val="center" w:pos="4680"/>
        <w:tab w:val="right" w:pos="9360"/>
      </w:tabs>
    </w:pPr>
  </w:style>
  <w:style w:type="character" w:customStyle="1" w:styleId="HeaderChar">
    <w:name w:val="Header Char"/>
    <w:basedOn w:val="DefaultParagraphFont"/>
    <w:link w:val="Header"/>
    <w:uiPriority w:val="99"/>
    <w:rsid w:val="00672551"/>
  </w:style>
  <w:style w:type="paragraph" w:styleId="Footer">
    <w:name w:val="footer"/>
    <w:basedOn w:val="Normal"/>
    <w:link w:val="FooterChar"/>
    <w:uiPriority w:val="99"/>
    <w:unhideWhenUsed/>
    <w:rsid w:val="00672551"/>
    <w:pPr>
      <w:tabs>
        <w:tab w:val="center" w:pos="4680"/>
        <w:tab w:val="right" w:pos="9360"/>
      </w:tabs>
    </w:pPr>
  </w:style>
  <w:style w:type="character" w:customStyle="1" w:styleId="FooterChar">
    <w:name w:val="Footer Char"/>
    <w:basedOn w:val="DefaultParagraphFont"/>
    <w:link w:val="Footer"/>
    <w:uiPriority w:val="99"/>
    <w:rsid w:val="00672551"/>
  </w:style>
  <w:style w:type="character" w:styleId="Hyperlink">
    <w:name w:val="Hyperlink"/>
    <w:basedOn w:val="DefaultParagraphFont"/>
    <w:uiPriority w:val="99"/>
    <w:unhideWhenUsed/>
    <w:rsid w:val="002C30C4"/>
    <w:rPr>
      <w:color w:val="0000FF" w:themeColor="hyperlink"/>
      <w:u w:val="single"/>
    </w:rPr>
  </w:style>
  <w:style w:type="character" w:styleId="FollowedHyperlink">
    <w:name w:val="FollowedHyperlink"/>
    <w:basedOn w:val="DefaultParagraphFont"/>
    <w:uiPriority w:val="99"/>
    <w:semiHidden/>
    <w:unhideWhenUsed/>
    <w:rsid w:val="00470DC8"/>
    <w:rPr>
      <w:color w:val="800080" w:themeColor="followedHyperlink"/>
      <w:u w:val="single"/>
    </w:rPr>
  </w:style>
  <w:style w:type="character" w:styleId="CommentReference">
    <w:name w:val="annotation reference"/>
    <w:basedOn w:val="DefaultParagraphFont"/>
    <w:uiPriority w:val="99"/>
    <w:semiHidden/>
    <w:unhideWhenUsed/>
    <w:rsid w:val="0091183F"/>
    <w:rPr>
      <w:sz w:val="18"/>
      <w:szCs w:val="18"/>
    </w:rPr>
  </w:style>
  <w:style w:type="paragraph" w:styleId="CommentText">
    <w:name w:val="annotation text"/>
    <w:basedOn w:val="Normal"/>
    <w:link w:val="CommentTextChar"/>
    <w:uiPriority w:val="99"/>
    <w:semiHidden/>
    <w:unhideWhenUsed/>
    <w:rsid w:val="0091183F"/>
  </w:style>
  <w:style w:type="character" w:customStyle="1" w:styleId="CommentTextChar">
    <w:name w:val="Comment Text Char"/>
    <w:basedOn w:val="DefaultParagraphFont"/>
    <w:link w:val="CommentText"/>
    <w:uiPriority w:val="99"/>
    <w:semiHidden/>
    <w:rsid w:val="0091183F"/>
  </w:style>
  <w:style w:type="paragraph" w:styleId="CommentSubject">
    <w:name w:val="annotation subject"/>
    <w:basedOn w:val="CommentText"/>
    <w:next w:val="CommentText"/>
    <w:link w:val="CommentSubjectChar"/>
    <w:uiPriority w:val="99"/>
    <w:semiHidden/>
    <w:unhideWhenUsed/>
    <w:rsid w:val="0091183F"/>
    <w:rPr>
      <w:b/>
      <w:bCs/>
      <w:sz w:val="20"/>
      <w:szCs w:val="20"/>
    </w:rPr>
  </w:style>
  <w:style w:type="character" w:customStyle="1" w:styleId="CommentSubjectChar">
    <w:name w:val="Comment Subject Char"/>
    <w:basedOn w:val="CommentTextChar"/>
    <w:link w:val="CommentSubject"/>
    <w:uiPriority w:val="99"/>
    <w:semiHidden/>
    <w:rsid w:val="0091183F"/>
    <w:rPr>
      <w:b/>
      <w:bCs/>
      <w:sz w:val="20"/>
      <w:szCs w:val="20"/>
    </w:rPr>
  </w:style>
  <w:style w:type="paragraph" w:styleId="TOC1">
    <w:name w:val="toc 1"/>
    <w:basedOn w:val="Normal"/>
    <w:next w:val="Normal"/>
    <w:autoRedefine/>
    <w:uiPriority w:val="39"/>
    <w:semiHidden/>
    <w:unhideWhenUsed/>
    <w:rsid w:val="00DE51E1"/>
  </w:style>
  <w:style w:type="paragraph" w:styleId="TOC2">
    <w:name w:val="toc 2"/>
    <w:basedOn w:val="Normal"/>
    <w:next w:val="Normal"/>
    <w:autoRedefine/>
    <w:uiPriority w:val="39"/>
    <w:semiHidden/>
    <w:unhideWhenUsed/>
    <w:rsid w:val="00DE51E1"/>
    <w:pPr>
      <w:ind w:left="240"/>
    </w:pPr>
  </w:style>
  <w:style w:type="paragraph" w:styleId="TOC3">
    <w:name w:val="toc 3"/>
    <w:basedOn w:val="Normal"/>
    <w:next w:val="Normal"/>
    <w:autoRedefine/>
    <w:uiPriority w:val="39"/>
    <w:semiHidden/>
    <w:unhideWhenUsed/>
    <w:rsid w:val="00DE51E1"/>
    <w:pPr>
      <w:ind w:left="480"/>
    </w:pPr>
  </w:style>
  <w:style w:type="paragraph" w:styleId="TOC4">
    <w:name w:val="toc 4"/>
    <w:basedOn w:val="Normal"/>
    <w:next w:val="Normal"/>
    <w:autoRedefine/>
    <w:uiPriority w:val="39"/>
    <w:semiHidden/>
    <w:unhideWhenUsed/>
    <w:rsid w:val="00DE51E1"/>
    <w:pPr>
      <w:ind w:left="720"/>
    </w:pPr>
  </w:style>
  <w:style w:type="paragraph" w:styleId="TOC5">
    <w:name w:val="toc 5"/>
    <w:basedOn w:val="Normal"/>
    <w:next w:val="Normal"/>
    <w:autoRedefine/>
    <w:uiPriority w:val="39"/>
    <w:semiHidden/>
    <w:unhideWhenUsed/>
    <w:rsid w:val="00DE51E1"/>
    <w:pPr>
      <w:ind w:left="960"/>
    </w:pPr>
  </w:style>
  <w:style w:type="paragraph" w:styleId="TOC6">
    <w:name w:val="toc 6"/>
    <w:basedOn w:val="Normal"/>
    <w:next w:val="Normal"/>
    <w:autoRedefine/>
    <w:uiPriority w:val="39"/>
    <w:semiHidden/>
    <w:unhideWhenUsed/>
    <w:rsid w:val="00DE51E1"/>
    <w:pPr>
      <w:ind w:left="1200"/>
    </w:pPr>
  </w:style>
  <w:style w:type="paragraph" w:styleId="TOC7">
    <w:name w:val="toc 7"/>
    <w:basedOn w:val="Normal"/>
    <w:next w:val="Normal"/>
    <w:autoRedefine/>
    <w:uiPriority w:val="39"/>
    <w:semiHidden/>
    <w:unhideWhenUsed/>
    <w:rsid w:val="00DE51E1"/>
    <w:pPr>
      <w:ind w:left="1440"/>
    </w:pPr>
  </w:style>
  <w:style w:type="paragraph" w:styleId="TOC8">
    <w:name w:val="toc 8"/>
    <w:basedOn w:val="Normal"/>
    <w:next w:val="Normal"/>
    <w:autoRedefine/>
    <w:uiPriority w:val="39"/>
    <w:semiHidden/>
    <w:unhideWhenUsed/>
    <w:rsid w:val="00DE51E1"/>
    <w:pPr>
      <w:ind w:left="1680"/>
    </w:pPr>
  </w:style>
  <w:style w:type="paragraph" w:styleId="TOC9">
    <w:name w:val="toc 9"/>
    <w:basedOn w:val="Normal"/>
    <w:next w:val="Normal"/>
    <w:autoRedefine/>
    <w:uiPriority w:val="39"/>
    <w:semiHidden/>
    <w:unhideWhenUsed/>
    <w:rsid w:val="00DE51E1"/>
    <w:pPr>
      <w:ind w:left="1920"/>
    </w:pPr>
  </w:style>
  <w:style w:type="character" w:styleId="PageNumber">
    <w:name w:val="page number"/>
    <w:basedOn w:val="DefaultParagraphFont"/>
    <w:uiPriority w:val="99"/>
    <w:semiHidden/>
    <w:unhideWhenUsed/>
    <w:rsid w:val="003A1878"/>
  </w:style>
  <w:style w:type="paragraph" w:styleId="FootnoteText">
    <w:name w:val="footnote text"/>
    <w:basedOn w:val="Normal"/>
    <w:link w:val="FootnoteTextChar"/>
    <w:uiPriority w:val="99"/>
    <w:semiHidden/>
    <w:unhideWhenUsed/>
    <w:rsid w:val="006A23D4"/>
    <w:rPr>
      <w:sz w:val="20"/>
      <w:szCs w:val="20"/>
    </w:rPr>
  </w:style>
  <w:style w:type="character" w:customStyle="1" w:styleId="FootnoteTextChar">
    <w:name w:val="Footnote Text Char"/>
    <w:basedOn w:val="DefaultParagraphFont"/>
    <w:link w:val="FootnoteText"/>
    <w:uiPriority w:val="99"/>
    <w:semiHidden/>
    <w:rsid w:val="006A23D4"/>
    <w:rPr>
      <w:sz w:val="20"/>
      <w:szCs w:val="20"/>
    </w:rPr>
  </w:style>
  <w:style w:type="character" w:styleId="FootnoteReference">
    <w:name w:val="footnote reference"/>
    <w:basedOn w:val="DefaultParagraphFont"/>
    <w:uiPriority w:val="99"/>
    <w:semiHidden/>
    <w:unhideWhenUsed/>
    <w:rsid w:val="006A23D4"/>
    <w:rPr>
      <w:vertAlign w:val="superscript"/>
    </w:rPr>
  </w:style>
  <w:style w:type="paragraph" w:styleId="EndnoteText">
    <w:name w:val="endnote text"/>
    <w:basedOn w:val="Normal"/>
    <w:link w:val="EndnoteTextChar"/>
    <w:uiPriority w:val="99"/>
    <w:unhideWhenUsed/>
    <w:rsid w:val="00232F3B"/>
    <w:rPr>
      <w:sz w:val="20"/>
      <w:szCs w:val="20"/>
    </w:rPr>
  </w:style>
  <w:style w:type="character" w:customStyle="1" w:styleId="EndnoteTextChar">
    <w:name w:val="Endnote Text Char"/>
    <w:basedOn w:val="DefaultParagraphFont"/>
    <w:link w:val="EndnoteText"/>
    <w:uiPriority w:val="99"/>
    <w:rsid w:val="00232F3B"/>
    <w:rPr>
      <w:sz w:val="20"/>
      <w:szCs w:val="20"/>
    </w:rPr>
  </w:style>
  <w:style w:type="character" w:styleId="EndnoteReference">
    <w:name w:val="endnote reference"/>
    <w:basedOn w:val="DefaultParagraphFont"/>
    <w:uiPriority w:val="99"/>
    <w:unhideWhenUsed/>
    <w:rsid w:val="00232F3B"/>
    <w:rPr>
      <w:vertAlign w:val="superscript"/>
    </w:rPr>
  </w:style>
  <w:style w:type="paragraph" w:styleId="BodyText">
    <w:name w:val="Body Text"/>
    <w:basedOn w:val="Normal"/>
    <w:link w:val="BodyTextChar"/>
    <w:unhideWhenUsed/>
    <w:rsid w:val="00286D2E"/>
    <w:rPr>
      <w:rFonts w:ascii="Arial" w:eastAsia="Times New Roman" w:hAnsi="Arial" w:cs="Arial"/>
      <w:b/>
      <w:bCs/>
      <w:lang w:val="en-CA"/>
    </w:rPr>
  </w:style>
  <w:style w:type="character" w:customStyle="1" w:styleId="BodyTextChar">
    <w:name w:val="Body Text Char"/>
    <w:basedOn w:val="DefaultParagraphFont"/>
    <w:link w:val="BodyText"/>
    <w:rsid w:val="00286D2E"/>
    <w:rPr>
      <w:rFonts w:ascii="Arial" w:eastAsia="Times New Roman" w:hAnsi="Arial" w:cs="Arial"/>
      <w:b/>
      <w:bCs/>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CD"/>
  </w:style>
  <w:style w:type="paragraph" w:styleId="Heading1">
    <w:name w:val="heading 1"/>
    <w:basedOn w:val="Normal"/>
    <w:next w:val="Normal"/>
    <w:link w:val="Heading1Char"/>
    <w:uiPriority w:val="9"/>
    <w:qFormat/>
    <w:rsid w:val="00487443"/>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87443"/>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87443"/>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87443"/>
    <w:pPr>
      <w:keepNext/>
      <w:keepLines/>
      <w:spacing w:before="200"/>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7C22"/>
    <w:rPr>
      <w:rFonts w:ascii="Lucida Grande" w:hAnsi="Lucida Grande"/>
      <w:sz w:val="18"/>
      <w:szCs w:val="18"/>
    </w:rPr>
  </w:style>
  <w:style w:type="character" w:customStyle="1" w:styleId="BalloonTextChar">
    <w:name w:val="Balloon Text Char"/>
    <w:basedOn w:val="DefaultParagraphFont"/>
    <w:link w:val="BalloonText"/>
    <w:uiPriority w:val="99"/>
    <w:semiHidden/>
    <w:rsid w:val="00987C22"/>
    <w:rPr>
      <w:rFonts w:ascii="Lucida Grande" w:hAnsi="Lucida Grande"/>
      <w:sz w:val="18"/>
      <w:szCs w:val="18"/>
    </w:rPr>
  </w:style>
  <w:style w:type="character" w:customStyle="1" w:styleId="Heading1Char">
    <w:name w:val="Heading 1 Char"/>
    <w:basedOn w:val="DefaultParagraphFont"/>
    <w:link w:val="Heading1"/>
    <w:uiPriority w:val="9"/>
    <w:rsid w:val="0048744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8744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8744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87443"/>
    <w:rPr>
      <w:rFonts w:asciiTheme="majorHAnsi" w:eastAsiaTheme="majorEastAsia" w:hAnsiTheme="majorHAnsi" w:cstheme="majorBidi"/>
      <w:b/>
      <w:bCs/>
      <w:iCs/>
    </w:rPr>
  </w:style>
  <w:style w:type="paragraph" w:styleId="Header">
    <w:name w:val="header"/>
    <w:basedOn w:val="Normal"/>
    <w:link w:val="HeaderChar"/>
    <w:uiPriority w:val="99"/>
    <w:unhideWhenUsed/>
    <w:rsid w:val="00672551"/>
    <w:pPr>
      <w:tabs>
        <w:tab w:val="center" w:pos="4680"/>
        <w:tab w:val="right" w:pos="9360"/>
      </w:tabs>
    </w:pPr>
  </w:style>
  <w:style w:type="character" w:customStyle="1" w:styleId="HeaderChar">
    <w:name w:val="Header Char"/>
    <w:basedOn w:val="DefaultParagraphFont"/>
    <w:link w:val="Header"/>
    <w:uiPriority w:val="99"/>
    <w:rsid w:val="00672551"/>
  </w:style>
  <w:style w:type="paragraph" w:styleId="Footer">
    <w:name w:val="footer"/>
    <w:basedOn w:val="Normal"/>
    <w:link w:val="FooterChar"/>
    <w:uiPriority w:val="99"/>
    <w:unhideWhenUsed/>
    <w:rsid w:val="00672551"/>
    <w:pPr>
      <w:tabs>
        <w:tab w:val="center" w:pos="4680"/>
        <w:tab w:val="right" w:pos="9360"/>
      </w:tabs>
    </w:pPr>
  </w:style>
  <w:style w:type="character" w:customStyle="1" w:styleId="FooterChar">
    <w:name w:val="Footer Char"/>
    <w:basedOn w:val="DefaultParagraphFont"/>
    <w:link w:val="Footer"/>
    <w:uiPriority w:val="99"/>
    <w:rsid w:val="00672551"/>
  </w:style>
  <w:style w:type="character" w:styleId="Hyperlink">
    <w:name w:val="Hyperlink"/>
    <w:basedOn w:val="DefaultParagraphFont"/>
    <w:uiPriority w:val="99"/>
    <w:unhideWhenUsed/>
    <w:rsid w:val="002C30C4"/>
    <w:rPr>
      <w:color w:val="0000FF" w:themeColor="hyperlink"/>
      <w:u w:val="single"/>
    </w:rPr>
  </w:style>
  <w:style w:type="character" w:styleId="FollowedHyperlink">
    <w:name w:val="FollowedHyperlink"/>
    <w:basedOn w:val="DefaultParagraphFont"/>
    <w:uiPriority w:val="99"/>
    <w:semiHidden/>
    <w:unhideWhenUsed/>
    <w:rsid w:val="00470DC8"/>
    <w:rPr>
      <w:color w:val="800080" w:themeColor="followedHyperlink"/>
      <w:u w:val="single"/>
    </w:rPr>
  </w:style>
  <w:style w:type="character" w:styleId="CommentReference">
    <w:name w:val="annotation reference"/>
    <w:basedOn w:val="DefaultParagraphFont"/>
    <w:uiPriority w:val="99"/>
    <w:semiHidden/>
    <w:unhideWhenUsed/>
    <w:rsid w:val="0091183F"/>
    <w:rPr>
      <w:sz w:val="18"/>
      <w:szCs w:val="18"/>
    </w:rPr>
  </w:style>
  <w:style w:type="paragraph" w:styleId="CommentText">
    <w:name w:val="annotation text"/>
    <w:basedOn w:val="Normal"/>
    <w:link w:val="CommentTextChar"/>
    <w:uiPriority w:val="99"/>
    <w:semiHidden/>
    <w:unhideWhenUsed/>
    <w:rsid w:val="0091183F"/>
  </w:style>
  <w:style w:type="character" w:customStyle="1" w:styleId="CommentTextChar">
    <w:name w:val="Comment Text Char"/>
    <w:basedOn w:val="DefaultParagraphFont"/>
    <w:link w:val="CommentText"/>
    <w:uiPriority w:val="99"/>
    <w:semiHidden/>
    <w:rsid w:val="0091183F"/>
  </w:style>
  <w:style w:type="paragraph" w:styleId="CommentSubject">
    <w:name w:val="annotation subject"/>
    <w:basedOn w:val="CommentText"/>
    <w:next w:val="CommentText"/>
    <w:link w:val="CommentSubjectChar"/>
    <w:uiPriority w:val="99"/>
    <w:semiHidden/>
    <w:unhideWhenUsed/>
    <w:rsid w:val="0091183F"/>
    <w:rPr>
      <w:b/>
      <w:bCs/>
      <w:sz w:val="20"/>
      <w:szCs w:val="20"/>
    </w:rPr>
  </w:style>
  <w:style w:type="character" w:customStyle="1" w:styleId="CommentSubjectChar">
    <w:name w:val="Comment Subject Char"/>
    <w:basedOn w:val="CommentTextChar"/>
    <w:link w:val="CommentSubject"/>
    <w:uiPriority w:val="99"/>
    <w:semiHidden/>
    <w:rsid w:val="0091183F"/>
    <w:rPr>
      <w:b/>
      <w:bCs/>
      <w:sz w:val="20"/>
      <w:szCs w:val="20"/>
    </w:rPr>
  </w:style>
  <w:style w:type="paragraph" w:styleId="TOC1">
    <w:name w:val="toc 1"/>
    <w:basedOn w:val="Normal"/>
    <w:next w:val="Normal"/>
    <w:autoRedefine/>
    <w:uiPriority w:val="39"/>
    <w:semiHidden/>
    <w:unhideWhenUsed/>
    <w:rsid w:val="00DE51E1"/>
  </w:style>
  <w:style w:type="paragraph" w:styleId="TOC2">
    <w:name w:val="toc 2"/>
    <w:basedOn w:val="Normal"/>
    <w:next w:val="Normal"/>
    <w:autoRedefine/>
    <w:uiPriority w:val="39"/>
    <w:semiHidden/>
    <w:unhideWhenUsed/>
    <w:rsid w:val="00DE51E1"/>
    <w:pPr>
      <w:ind w:left="240"/>
    </w:pPr>
  </w:style>
  <w:style w:type="paragraph" w:styleId="TOC3">
    <w:name w:val="toc 3"/>
    <w:basedOn w:val="Normal"/>
    <w:next w:val="Normal"/>
    <w:autoRedefine/>
    <w:uiPriority w:val="39"/>
    <w:semiHidden/>
    <w:unhideWhenUsed/>
    <w:rsid w:val="00DE51E1"/>
    <w:pPr>
      <w:ind w:left="480"/>
    </w:pPr>
  </w:style>
  <w:style w:type="paragraph" w:styleId="TOC4">
    <w:name w:val="toc 4"/>
    <w:basedOn w:val="Normal"/>
    <w:next w:val="Normal"/>
    <w:autoRedefine/>
    <w:uiPriority w:val="39"/>
    <w:semiHidden/>
    <w:unhideWhenUsed/>
    <w:rsid w:val="00DE51E1"/>
    <w:pPr>
      <w:ind w:left="720"/>
    </w:pPr>
  </w:style>
  <w:style w:type="paragraph" w:styleId="TOC5">
    <w:name w:val="toc 5"/>
    <w:basedOn w:val="Normal"/>
    <w:next w:val="Normal"/>
    <w:autoRedefine/>
    <w:uiPriority w:val="39"/>
    <w:semiHidden/>
    <w:unhideWhenUsed/>
    <w:rsid w:val="00DE51E1"/>
    <w:pPr>
      <w:ind w:left="960"/>
    </w:pPr>
  </w:style>
  <w:style w:type="paragraph" w:styleId="TOC6">
    <w:name w:val="toc 6"/>
    <w:basedOn w:val="Normal"/>
    <w:next w:val="Normal"/>
    <w:autoRedefine/>
    <w:uiPriority w:val="39"/>
    <w:semiHidden/>
    <w:unhideWhenUsed/>
    <w:rsid w:val="00DE51E1"/>
    <w:pPr>
      <w:ind w:left="1200"/>
    </w:pPr>
  </w:style>
  <w:style w:type="paragraph" w:styleId="TOC7">
    <w:name w:val="toc 7"/>
    <w:basedOn w:val="Normal"/>
    <w:next w:val="Normal"/>
    <w:autoRedefine/>
    <w:uiPriority w:val="39"/>
    <w:semiHidden/>
    <w:unhideWhenUsed/>
    <w:rsid w:val="00DE51E1"/>
    <w:pPr>
      <w:ind w:left="1440"/>
    </w:pPr>
  </w:style>
  <w:style w:type="paragraph" w:styleId="TOC8">
    <w:name w:val="toc 8"/>
    <w:basedOn w:val="Normal"/>
    <w:next w:val="Normal"/>
    <w:autoRedefine/>
    <w:uiPriority w:val="39"/>
    <w:semiHidden/>
    <w:unhideWhenUsed/>
    <w:rsid w:val="00DE51E1"/>
    <w:pPr>
      <w:ind w:left="1680"/>
    </w:pPr>
  </w:style>
  <w:style w:type="paragraph" w:styleId="TOC9">
    <w:name w:val="toc 9"/>
    <w:basedOn w:val="Normal"/>
    <w:next w:val="Normal"/>
    <w:autoRedefine/>
    <w:uiPriority w:val="39"/>
    <w:semiHidden/>
    <w:unhideWhenUsed/>
    <w:rsid w:val="00DE51E1"/>
    <w:pPr>
      <w:ind w:left="1920"/>
    </w:pPr>
  </w:style>
  <w:style w:type="character" w:styleId="PageNumber">
    <w:name w:val="page number"/>
    <w:basedOn w:val="DefaultParagraphFont"/>
    <w:uiPriority w:val="99"/>
    <w:semiHidden/>
    <w:unhideWhenUsed/>
    <w:rsid w:val="003A1878"/>
  </w:style>
  <w:style w:type="paragraph" w:styleId="FootnoteText">
    <w:name w:val="footnote text"/>
    <w:basedOn w:val="Normal"/>
    <w:link w:val="FootnoteTextChar"/>
    <w:uiPriority w:val="99"/>
    <w:semiHidden/>
    <w:unhideWhenUsed/>
    <w:rsid w:val="006A23D4"/>
    <w:rPr>
      <w:sz w:val="20"/>
      <w:szCs w:val="20"/>
    </w:rPr>
  </w:style>
  <w:style w:type="character" w:customStyle="1" w:styleId="FootnoteTextChar">
    <w:name w:val="Footnote Text Char"/>
    <w:basedOn w:val="DefaultParagraphFont"/>
    <w:link w:val="FootnoteText"/>
    <w:uiPriority w:val="99"/>
    <w:semiHidden/>
    <w:rsid w:val="006A23D4"/>
    <w:rPr>
      <w:sz w:val="20"/>
      <w:szCs w:val="20"/>
    </w:rPr>
  </w:style>
  <w:style w:type="character" w:styleId="FootnoteReference">
    <w:name w:val="footnote reference"/>
    <w:basedOn w:val="DefaultParagraphFont"/>
    <w:uiPriority w:val="99"/>
    <w:semiHidden/>
    <w:unhideWhenUsed/>
    <w:rsid w:val="006A23D4"/>
    <w:rPr>
      <w:vertAlign w:val="superscript"/>
    </w:rPr>
  </w:style>
  <w:style w:type="paragraph" w:styleId="EndnoteText">
    <w:name w:val="endnote text"/>
    <w:basedOn w:val="Normal"/>
    <w:link w:val="EndnoteTextChar"/>
    <w:uiPriority w:val="99"/>
    <w:unhideWhenUsed/>
    <w:rsid w:val="00232F3B"/>
    <w:rPr>
      <w:sz w:val="20"/>
      <w:szCs w:val="20"/>
    </w:rPr>
  </w:style>
  <w:style w:type="character" w:customStyle="1" w:styleId="EndnoteTextChar">
    <w:name w:val="Endnote Text Char"/>
    <w:basedOn w:val="DefaultParagraphFont"/>
    <w:link w:val="EndnoteText"/>
    <w:uiPriority w:val="99"/>
    <w:rsid w:val="00232F3B"/>
    <w:rPr>
      <w:sz w:val="20"/>
      <w:szCs w:val="20"/>
    </w:rPr>
  </w:style>
  <w:style w:type="character" w:styleId="EndnoteReference">
    <w:name w:val="endnote reference"/>
    <w:basedOn w:val="DefaultParagraphFont"/>
    <w:uiPriority w:val="99"/>
    <w:unhideWhenUsed/>
    <w:rsid w:val="00232F3B"/>
    <w:rPr>
      <w:vertAlign w:val="superscript"/>
    </w:rPr>
  </w:style>
  <w:style w:type="paragraph" w:styleId="BodyText">
    <w:name w:val="Body Text"/>
    <w:basedOn w:val="Normal"/>
    <w:link w:val="BodyTextChar"/>
    <w:unhideWhenUsed/>
    <w:rsid w:val="00286D2E"/>
    <w:rPr>
      <w:rFonts w:ascii="Arial" w:eastAsia="Times New Roman" w:hAnsi="Arial" w:cs="Arial"/>
      <w:b/>
      <w:bCs/>
      <w:lang w:val="en-CA"/>
    </w:rPr>
  </w:style>
  <w:style w:type="character" w:customStyle="1" w:styleId="BodyTextChar">
    <w:name w:val="Body Text Char"/>
    <w:basedOn w:val="DefaultParagraphFont"/>
    <w:link w:val="BodyText"/>
    <w:rsid w:val="00286D2E"/>
    <w:rPr>
      <w:rFonts w:ascii="Arial" w:eastAsia="Times New Roman" w:hAnsi="Arial" w:cs="Arial"/>
      <w:b/>
      <w:bCs/>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7007">
      <w:bodyDiv w:val="1"/>
      <w:marLeft w:val="0"/>
      <w:marRight w:val="0"/>
      <w:marTop w:val="0"/>
      <w:marBottom w:val="0"/>
      <w:divBdr>
        <w:top w:val="none" w:sz="0" w:space="0" w:color="auto"/>
        <w:left w:val="none" w:sz="0" w:space="0" w:color="auto"/>
        <w:bottom w:val="none" w:sz="0" w:space="0" w:color="auto"/>
        <w:right w:val="none" w:sz="0" w:space="0" w:color="auto"/>
      </w:divBdr>
    </w:div>
    <w:div w:id="34237313">
      <w:bodyDiv w:val="1"/>
      <w:marLeft w:val="0"/>
      <w:marRight w:val="0"/>
      <w:marTop w:val="0"/>
      <w:marBottom w:val="0"/>
      <w:divBdr>
        <w:top w:val="none" w:sz="0" w:space="0" w:color="auto"/>
        <w:left w:val="none" w:sz="0" w:space="0" w:color="auto"/>
        <w:bottom w:val="none" w:sz="0" w:space="0" w:color="auto"/>
        <w:right w:val="none" w:sz="0" w:space="0" w:color="auto"/>
      </w:divBdr>
    </w:div>
    <w:div w:id="35396696">
      <w:bodyDiv w:val="1"/>
      <w:marLeft w:val="0"/>
      <w:marRight w:val="0"/>
      <w:marTop w:val="0"/>
      <w:marBottom w:val="0"/>
      <w:divBdr>
        <w:top w:val="none" w:sz="0" w:space="0" w:color="auto"/>
        <w:left w:val="none" w:sz="0" w:space="0" w:color="auto"/>
        <w:bottom w:val="none" w:sz="0" w:space="0" w:color="auto"/>
        <w:right w:val="none" w:sz="0" w:space="0" w:color="auto"/>
      </w:divBdr>
    </w:div>
    <w:div w:id="57441306">
      <w:bodyDiv w:val="1"/>
      <w:marLeft w:val="0"/>
      <w:marRight w:val="0"/>
      <w:marTop w:val="0"/>
      <w:marBottom w:val="0"/>
      <w:divBdr>
        <w:top w:val="none" w:sz="0" w:space="0" w:color="auto"/>
        <w:left w:val="none" w:sz="0" w:space="0" w:color="auto"/>
        <w:bottom w:val="none" w:sz="0" w:space="0" w:color="auto"/>
        <w:right w:val="none" w:sz="0" w:space="0" w:color="auto"/>
      </w:divBdr>
    </w:div>
    <w:div w:id="78447122">
      <w:bodyDiv w:val="1"/>
      <w:marLeft w:val="0"/>
      <w:marRight w:val="0"/>
      <w:marTop w:val="0"/>
      <w:marBottom w:val="0"/>
      <w:divBdr>
        <w:top w:val="none" w:sz="0" w:space="0" w:color="auto"/>
        <w:left w:val="none" w:sz="0" w:space="0" w:color="auto"/>
        <w:bottom w:val="none" w:sz="0" w:space="0" w:color="auto"/>
        <w:right w:val="none" w:sz="0" w:space="0" w:color="auto"/>
      </w:divBdr>
    </w:div>
    <w:div w:id="85738073">
      <w:bodyDiv w:val="1"/>
      <w:marLeft w:val="0"/>
      <w:marRight w:val="0"/>
      <w:marTop w:val="0"/>
      <w:marBottom w:val="0"/>
      <w:divBdr>
        <w:top w:val="none" w:sz="0" w:space="0" w:color="auto"/>
        <w:left w:val="none" w:sz="0" w:space="0" w:color="auto"/>
        <w:bottom w:val="none" w:sz="0" w:space="0" w:color="auto"/>
        <w:right w:val="none" w:sz="0" w:space="0" w:color="auto"/>
      </w:divBdr>
    </w:div>
    <w:div w:id="87894650">
      <w:bodyDiv w:val="1"/>
      <w:marLeft w:val="0"/>
      <w:marRight w:val="0"/>
      <w:marTop w:val="0"/>
      <w:marBottom w:val="0"/>
      <w:divBdr>
        <w:top w:val="none" w:sz="0" w:space="0" w:color="auto"/>
        <w:left w:val="none" w:sz="0" w:space="0" w:color="auto"/>
        <w:bottom w:val="none" w:sz="0" w:space="0" w:color="auto"/>
        <w:right w:val="none" w:sz="0" w:space="0" w:color="auto"/>
      </w:divBdr>
    </w:div>
    <w:div w:id="119079060">
      <w:bodyDiv w:val="1"/>
      <w:marLeft w:val="0"/>
      <w:marRight w:val="0"/>
      <w:marTop w:val="0"/>
      <w:marBottom w:val="0"/>
      <w:divBdr>
        <w:top w:val="none" w:sz="0" w:space="0" w:color="auto"/>
        <w:left w:val="none" w:sz="0" w:space="0" w:color="auto"/>
        <w:bottom w:val="none" w:sz="0" w:space="0" w:color="auto"/>
        <w:right w:val="none" w:sz="0" w:space="0" w:color="auto"/>
      </w:divBdr>
    </w:div>
    <w:div w:id="131875242">
      <w:bodyDiv w:val="1"/>
      <w:marLeft w:val="0"/>
      <w:marRight w:val="0"/>
      <w:marTop w:val="0"/>
      <w:marBottom w:val="0"/>
      <w:divBdr>
        <w:top w:val="none" w:sz="0" w:space="0" w:color="auto"/>
        <w:left w:val="none" w:sz="0" w:space="0" w:color="auto"/>
        <w:bottom w:val="none" w:sz="0" w:space="0" w:color="auto"/>
        <w:right w:val="none" w:sz="0" w:space="0" w:color="auto"/>
      </w:divBdr>
    </w:div>
    <w:div w:id="160436225">
      <w:bodyDiv w:val="1"/>
      <w:marLeft w:val="0"/>
      <w:marRight w:val="0"/>
      <w:marTop w:val="0"/>
      <w:marBottom w:val="0"/>
      <w:divBdr>
        <w:top w:val="none" w:sz="0" w:space="0" w:color="auto"/>
        <w:left w:val="none" w:sz="0" w:space="0" w:color="auto"/>
        <w:bottom w:val="none" w:sz="0" w:space="0" w:color="auto"/>
        <w:right w:val="none" w:sz="0" w:space="0" w:color="auto"/>
      </w:divBdr>
    </w:div>
    <w:div w:id="163401216">
      <w:bodyDiv w:val="1"/>
      <w:marLeft w:val="0"/>
      <w:marRight w:val="0"/>
      <w:marTop w:val="0"/>
      <w:marBottom w:val="0"/>
      <w:divBdr>
        <w:top w:val="none" w:sz="0" w:space="0" w:color="auto"/>
        <w:left w:val="none" w:sz="0" w:space="0" w:color="auto"/>
        <w:bottom w:val="none" w:sz="0" w:space="0" w:color="auto"/>
        <w:right w:val="none" w:sz="0" w:space="0" w:color="auto"/>
      </w:divBdr>
    </w:div>
    <w:div w:id="195049628">
      <w:bodyDiv w:val="1"/>
      <w:marLeft w:val="0"/>
      <w:marRight w:val="0"/>
      <w:marTop w:val="0"/>
      <w:marBottom w:val="0"/>
      <w:divBdr>
        <w:top w:val="none" w:sz="0" w:space="0" w:color="auto"/>
        <w:left w:val="none" w:sz="0" w:space="0" w:color="auto"/>
        <w:bottom w:val="none" w:sz="0" w:space="0" w:color="auto"/>
        <w:right w:val="none" w:sz="0" w:space="0" w:color="auto"/>
      </w:divBdr>
    </w:div>
    <w:div w:id="251546405">
      <w:bodyDiv w:val="1"/>
      <w:marLeft w:val="0"/>
      <w:marRight w:val="0"/>
      <w:marTop w:val="0"/>
      <w:marBottom w:val="0"/>
      <w:divBdr>
        <w:top w:val="none" w:sz="0" w:space="0" w:color="auto"/>
        <w:left w:val="none" w:sz="0" w:space="0" w:color="auto"/>
        <w:bottom w:val="none" w:sz="0" w:space="0" w:color="auto"/>
        <w:right w:val="none" w:sz="0" w:space="0" w:color="auto"/>
      </w:divBdr>
    </w:div>
    <w:div w:id="259724839">
      <w:bodyDiv w:val="1"/>
      <w:marLeft w:val="0"/>
      <w:marRight w:val="0"/>
      <w:marTop w:val="0"/>
      <w:marBottom w:val="0"/>
      <w:divBdr>
        <w:top w:val="none" w:sz="0" w:space="0" w:color="auto"/>
        <w:left w:val="none" w:sz="0" w:space="0" w:color="auto"/>
        <w:bottom w:val="none" w:sz="0" w:space="0" w:color="auto"/>
        <w:right w:val="none" w:sz="0" w:space="0" w:color="auto"/>
      </w:divBdr>
    </w:div>
    <w:div w:id="279267819">
      <w:bodyDiv w:val="1"/>
      <w:marLeft w:val="0"/>
      <w:marRight w:val="0"/>
      <w:marTop w:val="0"/>
      <w:marBottom w:val="0"/>
      <w:divBdr>
        <w:top w:val="none" w:sz="0" w:space="0" w:color="auto"/>
        <w:left w:val="none" w:sz="0" w:space="0" w:color="auto"/>
        <w:bottom w:val="none" w:sz="0" w:space="0" w:color="auto"/>
        <w:right w:val="none" w:sz="0" w:space="0" w:color="auto"/>
      </w:divBdr>
    </w:div>
    <w:div w:id="291525559">
      <w:bodyDiv w:val="1"/>
      <w:marLeft w:val="0"/>
      <w:marRight w:val="0"/>
      <w:marTop w:val="0"/>
      <w:marBottom w:val="0"/>
      <w:divBdr>
        <w:top w:val="none" w:sz="0" w:space="0" w:color="auto"/>
        <w:left w:val="none" w:sz="0" w:space="0" w:color="auto"/>
        <w:bottom w:val="none" w:sz="0" w:space="0" w:color="auto"/>
        <w:right w:val="none" w:sz="0" w:space="0" w:color="auto"/>
      </w:divBdr>
    </w:div>
    <w:div w:id="307169308">
      <w:bodyDiv w:val="1"/>
      <w:marLeft w:val="0"/>
      <w:marRight w:val="0"/>
      <w:marTop w:val="0"/>
      <w:marBottom w:val="0"/>
      <w:divBdr>
        <w:top w:val="none" w:sz="0" w:space="0" w:color="auto"/>
        <w:left w:val="none" w:sz="0" w:space="0" w:color="auto"/>
        <w:bottom w:val="none" w:sz="0" w:space="0" w:color="auto"/>
        <w:right w:val="none" w:sz="0" w:space="0" w:color="auto"/>
      </w:divBdr>
    </w:div>
    <w:div w:id="308172839">
      <w:bodyDiv w:val="1"/>
      <w:marLeft w:val="0"/>
      <w:marRight w:val="0"/>
      <w:marTop w:val="0"/>
      <w:marBottom w:val="0"/>
      <w:divBdr>
        <w:top w:val="none" w:sz="0" w:space="0" w:color="auto"/>
        <w:left w:val="none" w:sz="0" w:space="0" w:color="auto"/>
        <w:bottom w:val="none" w:sz="0" w:space="0" w:color="auto"/>
        <w:right w:val="none" w:sz="0" w:space="0" w:color="auto"/>
      </w:divBdr>
    </w:div>
    <w:div w:id="339625350">
      <w:bodyDiv w:val="1"/>
      <w:marLeft w:val="0"/>
      <w:marRight w:val="0"/>
      <w:marTop w:val="0"/>
      <w:marBottom w:val="0"/>
      <w:divBdr>
        <w:top w:val="none" w:sz="0" w:space="0" w:color="auto"/>
        <w:left w:val="none" w:sz="0" w:space="0" w:color="auto"/>
        <w:bottom w:val="none" w:sz="0" w:space="0" w:color="auto"/>
        <w:right w:val="none" w:sz="0" w:space="0" w:color="auto"/>
      </w:divBdr>
    </w:div>
    <w:div w:id="383794875">
      <w:bodyDiv w:val="1"/>
      <w:marLeft w:val="0"/>
      <w:marRight w:val="0"/>
      <w:marTop w:val="0"/>
      <w:marBottom w:val="0"/>
      <w:divBdr>
        <w:top w:val="none" w:sz="0" w:space="0" w:color="auto"/>
        <w:left w:val="none" w:sz="0" w:space="0" w:color="auto"/>
        <w:bottom w:val="none" w:sz="0" w:space="0" w:color="auto"/>
        <w:right w:val="none" w:sz="0" w:space="0" w:color="auto"/>
      </w:divBdr>
    </w:div>
    <w:div w:id="385253310">
      <w:bodyDiv w:val="1"/>
      <w:marLeft w:val="0"/>
      <w:marRight w:val="0"/>
      <w:marTop w:val="0"/>
      <w:marBottom w:val="0"/>
      <w:divBdr>
        <w:top w:val="none" w:sz="0" w:space="0" w:color="auto"/>
        <w:left w:val="none" w:sz="0" w:space="0" w:color="auto"/>
        <w:bottom w:val="none" w:sz="0" w:space="0" w:color="auto"/>
        <w:right w:val="none" w:sz="0" w:space="0" w:color="auto"/>
      </w:divBdr>
    </w:div>
    <w:div w:id="405421275">
      <w:bodyDiv w:val="1"/>
      <w:marLeft w:val="0"/>
      <w:marRight w:val="0"/>
      <w:marTop w:val="0"/>
      <w:marBottom w:val="0"/>
      <w:divBdr>
        <w:top w:val="none" w:sz="0" w:space="0" w:color="auto"/>
        <w:left w:val="none" w:sz="0" w:space="0" w:color="auto"/>
        <w:bottom w:val="none" w:sz="0" w:space="0" w:color="auto"/>
        <w:right w:val="none" w:sz="0" w:space="0" w:color="auto"/>
      </w:divBdr>
    </w:div>
    <w:div w:id="415784330">
      <w:bodyDiv w:val="1"/>
      <w:marLeft w:val="0"/>
      <w:marRight w:val="0"/>
      <w:marTop w:val="0"/>
      <w:marBottom w:val="0"/>
      <w:divBdr>
        <w:top w:val="none" w:sz="0" w:space="0" w:color="auto"/>
        <w:left w:val="none" w:sz="0" w:space="0" w:color="auto"/>
        <w:bottom w:val="none" w:sz="0" w:space="0" w:color="auto"/>
        <w:right w:val="none" w:sz="0" w:space="0" w:color="auto"/>
      </w:divBdr>
    </w:div>
    <w:div w:id="432091623">
      <w:bodyDiv w:val="1"/>
      <w:marLeft w:val="0"/>
      <w:marRight w:val="0"/>
      <w:marTop w:val="0"/>
      <w:marBottom w:val="0"/>
      <w:divBdr>
        <w:top w:val="none" w:sz="0" w:space="0" w:color="auto"/>
        <w:left w:val="none" w:sz="0" w:space="0" w:color="auto"/>
        <w:bottom w:val="none" w:sz="0" w:space="0" w:color="auto"/>
        <w:right w:val="none" w:sz="0" w:space="0" w:color="auto"/>
      </w:divBdr>
    </w:div>
    <w:div w:id="444816489">
      <w:bodyDiv w:val="1"/>
      <w:marLeft w:val="0"/>
      <w:marRight w:val="0"/>
      <w:marTop w:val="0"/>
      <w:marBottom w:val="0"/>
      <w:divBdr>
        <w:top w:val="none" w:sz="0" w:space="0" w:color="auto"/>
        <w:left w:val="none" w:sz="0" w:space="0" w:color="auto"/>
        <w:bottom w:val="none" w:sz="0" w:space="0" w:color="auto"/>
        <w:right w:val="none" w:sz="0" w:space="0" w:color="auto"/>
      </w:divBdr>
    </w:div>
    <w:div w:id="452792289">
      <w:bodyDiv w:val="1"/>
      <w:marLeft w:val="0"/>
      <w:marRight w:val="0"/>
      <w:marTop w:val="0"/>
      <w:marBottom w:val="0"/>
      <w:divBdr>
        <w:top w:val="none" w:sz="0" w:space="0" w:color="auto"/>
        <w:left w:val="none" w:sz="0" w:space="0" w:color="auto"/>
        <w:bottom w:val="none" w:sz="0" w:space="0" w:color="auto"/>
        <w:right w:val="none" w:sz="0" w:space="0" w:color="auto"/>
      </w:divBdr>
    </w:div>
    <w:div w:id="462844833">
      <w:bodyDiv w:val="1"/>
      <w:marLeft w:val="0"/>
      <w:marRight w:val="0"/>
      <w:marTop w:val="0"/>
      <w:marBottom w:val="0"/>
      <w:divBdr>
        <w:top w:val="none" w:sz="0" w:space="0" w:color="auto"/>
        <w:left w:val="none" w:sz="0" w:space="0" w:color="auto"/>
        <w:bottom w:val="none" w:sz="0" w:space="0" w:color="auto"/>
        <w:right w:val="none" w:sz="0" w:space="0" w:color="auto"/>
      </w:divBdr>
    </w:div>
    <w:div w:id="493491958">
      <w:bodyDiv w:val="1"/>
      <w:marLeft w:val="0"/>
      <w:marRight w:val="0"/>
      <w:marTop w:val="0"/>
      <w:marBottom w:val="0"/>
      <w:divBdr>
        <w:top w:val="none" w:sz="0" w:space="0" w:color="auto"/>
        <w:left w:val="none" w:sz="0" w:space="0" w:color="auto"/>
        <w:bottom w:val="none" w:sz="0" w:space="0" w:color="auto"/>
        <w:right w:val="none" w:sz="0" w:space="0" w:color="auto"/>
      </w:divBdr>
    </w:div>
    <w:div w:id="513541706">
      <w:bodyDiv w:val="1"/>
      <w:marLeft w:val="0"/>
      <w:marRight w:val="0"/>
      <w:marTop w:val="0"/>
      <w:marBottom w:val="0"/>
      <w:divBdr>
        <w:top w:val="none" w:sz="0" w:space="0" w:color="auto"/>
        <w:left w:val="none" w:sz="0" w:space="0" w:color="auto"/>
        <w:bottom w:val="none" w:sz="0" w:space="0" w:color="auto"/>
        <w:right w:val="none" w:sz="0" w:space="0" w:color="auto"/>
      </w:divBdr>
    </w:div>
    <w:div w:id="516886790">
      <w:bodyDiv w:val="1"/>
      <w:marLeft w:val="0"/>
      <w:marRight w:val="0"/>
      <w:marTop w:val="0"/>
      <w:marBottom w:val="0"/>
      <w:divBdr>
        <w:top w:val="none" w:sz="0" w:space="0" w:color="auto"/>
        <w:left w:val="none" w:sz="0" w:space="0" w:color="auto"/>
        <w:bottom w:val="none" w:sz="0" w:space="0" w:color="auto"/>
        <w:right w:val="none" w:sz="0" w:space="0" w:color="auto"/>
      </w:divBdr>
    </w:div>
    <w:div w:id="560947720">
      <w:bodyDiv w:val="1"/>
      <w:marLeft w:val="0"/>
      <w:marRight w:val="0"/>
      <w:marTop w:val="0"/>
      <w:marBottom w:val="0"/>
      <w:divBdr>
        <w:top w:val="none" w:sz="0" w:space="0" w:color="auto"/>
        <w:left w:val="none" w:sz="0" w:space="0" w:color="auto"/>
        <w:bottom w:val="none" w:sz="0" w:space="0" w:color="auto"/>
        <w:right w:val="none" w:sz="0" w:space="0" w:color="auto"/>
      </w:divBdr>
    </w:div>
    <w:div w:id="582952645">
      <w:bodyDiv w:val="1"/>
      <w:marLeft w:val="0"/>
      <w:marRight w:val="0"/>
      <w:marTop w:val="0"/>
      <w:marBottom w:val="0"/>
      <w:divBdr>
        <w:top w:val="none" w:sz="0" w:space="0" w:color="auto"/>
        <w:left w:val="none" w:sz="0" w:space="0" w:color="auto"/>
        <w:bottom w:val="none" w:sz="0" w:space="0" w:color="auto"/>
        <w:right w:val="none" w:sz="0" w:space="0" w:color="auto"/>
      </w:divBdr>
    </w:div>
    <w:div w:id="597367488">
      <w:bodyDiv w:val="1"/>
      <w:marLeft w:val="0"/>
      <w:marRight w:val="0"/>
      <w:marTop w:val="0"/>
      <w:marBottom w:val="0"/>
      <w:divBdr>
        <w:top w:val="none" w:sz="0" w:space="0" w:color="auto"/>
        <w:left w:val="none" w:sz="0" w:space="0" w:color="auto"/>
        <w:bottom w:val="none" w:sz="0" w:space="0" w:color="auto"/>
        <w:right w:val="none" w:sz="0" w:space="0" w:color="auto"/>
      </w:divBdr>
    </w:div>
    <w:div w:id="619384963">
      <w:bodyDiv w:val="1"/>
      <w:marLeft w:val="0"/>
      <w:marRight w:val="0"/>
      <w:marTop w:val="0"/>
      <w:marBottom w:val="0"/>
      <w:divBdr>
        <w:top w:val="none" w:sz="0" w:space="0" w:color="auto"/>
        <w:left w:val="none" w:sz="0" w:space="0" w:color="auto"/>
        <w:bottom w:val="none" w:sz="0" w:space="0" w:color="auto"/>
        <w:right w:val="none" w:sz="0" w:space="0" w:color="auto"/>
      </w:divBdr>
    </w:div>
    <w:div w:id="626743822">
      <w:bodyDiv w:val="1"/>
      <w:marLeft w:val="0"/>
      <w:marRight w:val="0"/>
      <w:marTop w:val="0"/>
      <w:marBottom w:val="0"/>
      <w:divBdr>
        <w:top w:val="none" w:sz="0" w:space="0" w:color="auto"/>
        <w:left w:val="none" w:sz="0" w:space="0" w:color="auto"/>
        <w:bottom w:val="none" w:sz="0" w:space="0" w:color="auto"/>
        <w:right w:val="none" w:sz="0" w:space="0" w:color="auto"/>
      </w:divBdr>
    </w:div>
    <w:div w:id="703823588">
      <w:bodyDiv w:val="1"/>
      <w:marLeft w:val="0"/>
      <w:marRight w:val="0"/>
      <w:marTop w:val="0"/>
      <w:marBottom w:val="0"/>
      <w:divBdr>
        <w:top w:val="none" w:sz="0" w:space="0" w:color="auto"/>
        <w:left w:val="none" w:sz="0" w:space="0" w:color="auto"/>
        <w:bottom w:val="none" w:sz="0" w:space="0" w:color="auto"/>
        <w:right w:val="none" w:sz="0" w:space="0" w:color="auto"/>
      </w:divBdr>
    </w:div>
    <w:div w:id="707605938">
      <w:bodyDiv w:val="1"/>
      <w:marLeft w:val="0"/>
      <w:marRight w:val="0"/>
      <w:marTop w:val="0"/>
      <w:marBottom w:val="0"/>
      <w:divBdr>
        <w:top w:val="none" w:sz="0" w:space="0" w:color="auto"/>
        <w:left w:val="none" w:sz="0" w:space="0" w:color="auto"/>
        <w:bottom w:val="none" w:sz="0" w:space="0" w:color="auto"/>
        <w:right w:val="none" w:sz="0" w:space="0" w:color="auto"/>
      </w:divBdr>
    </w:div>
    <w:div w:id="716007023">
      <w:bodyDiv w:val="1"/>
      <w:marLeft w:val="0"/>
      <w:marRight w:val="0"/>
      <w:marTop w:val="0"/>
      <w:marBottom w:val="0"/>
      <w:divBdr>
        <w:top w:val="none" w:sz="0" w:space="0" w:color="auto"/>
        <w:left w:val="none" w:sz="0" w:space="0" w:color="auto"/>
        <w:bottom w:val="none" w:sz="0" w:space="0" w:color="auto"/>
        <w:right w:val="none" w:sz="0" w:space="0" w:color="auto"/>
      </w:divBdr>
    </w:div>
    <w:div w:id="753553306">
      <w:bodyDiv w:val="1"/>
      <w:marLeft w:val="0"/>
      <w:marRight w:val="0"/>
      <w:marTop w:val="0"/>
      <w:marBottom w:val="0"/>
      <w:divBdr>
        <w:top w:val="none" w:sz="0" w:space="0" w:color="auto"/>
        <w:left w:val="none" w:sz="0" w:space="0" w:color="auto"/>
        <w:bottom w:val="none" w:sz="0" w:space="0" w:color="auto"/>
        <w:right w:val="none" w:sz="0" w:space="0" w:color="auto"/>
      </w:divBdr>
    </w:div>
    <w:div w:id="767238147">
      <w:bodyDiv w:val="1"/>
      <w:marLeft w:val="0"/>
      <w:marRight w:val="0"/>
      <w:marTop w:val="0"/>
      <w:marBottom w:val="0"/>
      <w:divBdr>
        <w:top w:val="none" w:sz="0" w:space="0" w:color="auto"/>
        <w:left w:val="none" w:sz="0" w:space="0" w:color="auto"/>
        <w:bottom w:val="none" w:sz="0" w:space="0" w:color="auto"/>
        <w:right w:val="none" w:sz="0" w:space="0" w:color="auto"/>
      </w:divBdr>
    </w:div>
    <w:div w:id="767502744">
      <w:bodyDiv w:val="1"/>
      <w:marLeft w:val="0"/>
      <w:marRight w:val="0"/>
      <w:marTop w:val="0"/>
      <w:marBottom w:val="0"/>
      <w:divBdr>
        <w:top w:val="none" w:sz="0" w:space="0" w:color="auto"/>
        <w:left w:val="none" w:sz="0" w:space="0" w:color="auto"/>
        <w:bottom w:val="none" w:sz="0" w:space="0" w:color="auto"/>
        <w:right w:val="none" w:sz="0" w:space="0" w:color="auto"/>
      </w:divBdr>
    </w:div>
    <w:div w:id="780611631">
      <w:bodyDiv w:val="1"/>
      <w:marLeft w:val="0"/>
      <w:marRight w:val="0"/>
      <w:marTop w:val="0"/>
      <w:marBottom w:val="0"/>
      <w:divBdr>
        <w:top w:val="none" w:sz="0" w:space="0" w:color="auto"/>
        <w:left w:val="none" w:sz="0" w:space="0" w:color="auto"/>
        <w:bottom w:val="none" w:sz="0" w:space="0" w:color="auto"/>
        <w:right w:val="none" w:sz="0" w:space="0" w:color="auto"/>
      </w:divBdr>
    </w:div>
    <w:div w:id="780733554">
      <w:bodyDiv w:val="1"/>
      <w:marLeft w:val="0"/>
      <w:marRight w:val="0"/>
      <w:marTop w:val="0"/>
      <w:marBottom w:val="0"/>
      <w:divBdr>
        <w:top w:val="none" w:sz="0" w:space="0" w:color="auto"/>
        <w:left w:val="none" w:sz="0" w:space="0" w:color="auto"/>
        <w:bottom w:val="none" w:sz="0" w:space="0" w:color="auto"/>
        <w:right w:val="none" w:sz="0" w:space="0" w:color="auto"/>
      </w:divBdr>
    </w:div>
    <w:div w:id="792285245">
      <w:bodyDiv w:val="1"/>
      <w:marLeft w:val="0"/>
      <w:marRight w:val="0"/>
      <w:marTop w:val="0"/>
      <w:marBottom w:val="0"/>
      <w:divBdr>
        <w:top w:val="none" w:sz="0" w:space="0" w:color="auto"/>
        <w:left w:val="none" w:sz="0" w:space="0" w:color="auto"/>
        <w:bottom w:val="none" w:sz="0" w:space="0" w:color="auto"/>
        <w:right w:val="none" w:sz="0" w:space="0" w:color="auto"/>
      </w:divBdr>
    </w:div>
    <w:div w:id="792795596">
      <w:bodyDiv w:val="1"/>
      <w:marLeft w:val="0"/>
      <w:marRight w:val="0"/>
      <w:marTop w:val="0"/>
      <w:marBottom w:val="0"/>
      <w:divBdr>
        <w:top w:val="none" w:sz="0" w:space="0" w:color="auto"/>
        <w:left w:val="none" w:sz="0" w:space="0" w:color="auto"/>
        <w:bottom w:val="none" w:sz="0" w:space="0" w:color="auto"/>
        <w:right w:val="none" w:sz="0" w:space="0" w:color="auto"/>
      </w:divBdr>
    </w:div>
    <w:div w:id="793600452">
      <w:bodyDiv w:val="1"/>
      <w:marLeft w:val="0"/>
      <w:marRight w:val="0"/>
      <w:marTop w:val="0"/>
      <w:marBottom w:val="0"/>
      <w:divBdr>
        <w:top w:val="none" w:sz="0" w:space="0" w:color="auto"/>
        <w:left w:val="none" w:sz="0" w:space="0" w:color="auto"/>
        <w:bottom w:val="none" w:sz="0" w:space="0" w:color="auto"/>
        <w:right w:val="none" w:sz="0" w:space="0" w:color="auto"/>
      </w:divBdr>
    </w:div>
    <w:div w:id="840630361">
      <w:bodyDiv w:val="1"/>
      <w:marLeft w:val="0"/>
      <w:marRight w:val="0"/>
      <w:marTop w:val="0"/>
      <w:marBottom w:val="0"/>
      <w:divBdr>
        <w:top w:val="none" w:sz="0" w:space="0" w:color="auto"/>
        <w:left w:val="none" w:sz="0" w:space="0" w:color="auto"/>
        <w:bottom w:val="none" w:sz="0" w:space="0" w:color="auto"/>
        <w:right w:val="none" w:sz="0" w:space="0" w:color="auto"/>
      </w:divBdr>
    </w:div>
    <w:div w:id="841503697">
      <w:bodyDiv w:val="1"/>
      <w:marLeft w:val="0"/>
      <w:marRight w:val="0"/>
      <w:marTop w:val="0"/>
      <w:marBottom w:val="0"/>
      <w:divBdr>
        <w:top w:val="none" w:sz="0" w:space="0" w:color="auto"/>
        <w:left w:val="none" w:sz="0" w:space="0" w:color="auto"/>
        <w:bottom w:val="none" w:sz="0" w:space="0" w:color="auto"/>
        <w:right w:val="none" w:sz="0" w:space="0" w:color="auto"/>
      </w:divBdr>
    </w:div>
    <w:div w:id="881479686">
      <w:bodyDiv w:val="1"/>
      <w:marLeft w:val="0"/>
      <w:marRight w:val="0"/>
      <w:marTop w:val="0"/>
      <w:marBottom w:val="0"/>
      <w:divBdr>
        <w:top w:val="none" w:sz="0" w:space="0" w:color="auto"/>
        <w:left w:val="none" w:sz="0" w:space="0" w:color="auto"/>
        <w:bottom w:val="none" w:sz="0" w:space="0" w:color="auto"/>
        <w:right w:val="none" w:sz="0" w:space="0" w:color="auto"/>
      </w:divBdr>
    </w:div>
    <w:div w:id="887841720">
      <w:bodyDiv w:val="1"/>
      <w:marLeft w:val="0"/>
      <w:marRight w:val="0"/>
      <w:marTop w:val="0"/>
      <w:marBottom w:val="0"/>
      <w:divBdr>
        <w:top w:val="none" w:sz="0" w:space="0" w:color="auto"/>
        <w:left w:val="none" w:sz="0" w:space="0" w:color="auto"/>
        <w:bottom w:val="none" w:sz="0" w:space="0" w:color="auto"/>
        <w:right w:val="none" w:sz="0" w:space="0" w:color="auto"/>
      </w:divBdr>
    </w:div>
    <w:div w:id="910970385">
      <w:bodyDiv w:val="1"/>
      <w:marLeft w:val="0"/>
      <w:marRight w:val="0"/>
      <w:marTop w:val="0"/>
      <w:marBottom w:val="0"/>
      <w:divBdr>
        <w:top w:val="none" w:sz="0" w:space="0" w:color="auto"/>
        <w:left w:val="none" w:sz="0" w:space="0" w:color="auto"/>
        <w:bottom w:val="none" w:sz="0" w:space="0" w:color="auto"/>
        <w:right w:val="none" w:sz="0" w:space="0" w:color="auto"/>
      </w:divBdr>
    </w:div>
    <w:div w:id="914704550">
      <w:bodyDiv w:val="1"/>
      <w:marLeft w:val="0"/>
      <w:marRight w:val="0"/>
      <w:marTop w:val="0"/>
      <w:marBottom w:val="0"/>
      <w:divBdr>
        <w:top w:val="none" w:sz="0" w:space="0" w:color="auto"/>
        <w:left w:val="none" w:sz="0" w:space="0" w:color="auto"/>
        <w:bottom w:val="none" w:sz="0" w:space="0" w:color="auto"/>
        <w:right w:val="none" w:sz="0" w:space="0" w:color="auto"/>
      </w:divBdr>
    </w:div>
    <w:div w:id="969673912">
      <w:bodyDiv w:val="1"/>
      <w:marLeft w:val="0"/>
      <w:marRight w:val="0"/>
      <w:marTop w:val="0"/>
      <w:marBottom w:val="0"/>
      <w:divBdr>
        <w:top w:val="none" w:sz="0" w:space="0" w:color="auto"/>
        <w:left w:val="none" w:sz="0" w:space="0" w:color="auto"/>
        <w:bottom w:val="none" w:sz="0" w:space="0" w:color="auto"/>
        <w:right w:val="none" w:sz="0" w:space="0" w:color="auto"/>
      </w:divBdr>
    </w:div>
    <w:div w:id="1040058410">
      <w:bodyDiv w:val="1"/>
      <w:marLeft w:val="0"/>
      <w:marRight w:val="0"/>
      <w:marTop w:val="0"/>
      <w:marBottom w:val="0"/>
      <w:divBdr>
        <w:top w:val="none" w:sz="0" w:space="0" w:color="auto"/>
        <w:left w:val="none" w:sz="0" w:space="0" w:color="auto"/>
        <w:bottom w:val="none" w:sz="0" w:space="0" w:color="auto"/>
        <w:right w:val="none" w:sz="0" w:space="0" w:color="auto"/>
      </w:divBdr>
    </w:div>
    <w:div w:id="1055162232">
      <w:bodyDiv w:val="1"/>
      <w:marLeft w:val="0"/>
      <w:marRight w:val="0"/>
      <w:marTop w:val="0"/>
      <w:marBottom w:val="0"/>
      <w:divBdr>
        <w:top w:val="none" w:sz="0" w:space="0" w:color="auto"/>
        <w:left w:val="none" w:sz="0" w:space="0" w:color="auto"/>
        <w:bottom w:val="none" w:sz="0" w:space="0" w:color="auto"/>
        <w:right w:val="none" w:sz="0" w:space="0" w:color="auto"/>
      </w:divBdr>
    </w:div>
    <w:div w:id="1055395549">
      <w:bodyDiv w:val="1"/>
      <w:marLeft w:val="0"/>
      <w:marRight w:val="0"/>
      <w:marTop w:val="0"/>
      <w:marBottom w:val="0"/>
      <w:divBdr>
        <w:top w:val="none" w:sz="0" w:space="0" w:color="auto"/>
        <w:left w:val="none" w:sz="0" w:space="0" w:color="auto"/>
        <w:bottom w:val="none" w:sz="0" w:space="0" w:color="auto"/>
        <w:right w:val="none" w:sz="0" w:space="0" w:color="auto"/>
      </w:divBdr>
    </w:div>
    <w:div w:id="1079519251">
      <w:bodyDiv w:val="1"/>
      <w:marLeft w:val="0"/>
      <w:marRight w:val="0"/>
      <w:marTop w:val="0"/>
      <w:marBottom w:val="0"/>
      <w:divBdr>
        <w:top w:val="none" w:sz="0" w:space="0" w:color="auto"/>
        <w:left w:val="none" w:sz="0" w:space="0" w:color="auto"/>
        <w:bottom w:val="none" w:sz="0" w:space="0" w:color="auto"/>
        <w:right w:val="none" w:sz="0" w:space="0" w:color="auto"/>
      </w:divBdr>
    </w:div>
    <w:div w:id="1105078822">
      <w:bodyDiv w:val="1"/>
      <w:marLeft w:val="0"/>
      <w:marRight w:val="0"/>
      <w:marTop w:val="0"/>
      <w:marBottom w:val="0"/>
      <w:divBdr>
        <w:top w:val="none" w:sz="0" w:space="0" w:color="auto"/>
        <w:left w:val="none" w:sz="0" w:space="0" w:color="auto"/>
        <w:bottom w:val="none" w:sz="0" w:space="0" w:color="auto"/>
        <w:right w:val="none" w:sz="0" w:space="0" w:color="auto"/>
      </w:divBdr>
    </w:div>
    <w:div w:id="1136722612">
      <w:bodyDiv w:val="1"/>
      <w:marLeft w:val="0"/>
      <w:marRight w:val="0"/>
      <w:marTop w:val="0"/>
      <w:marBottom w:val="0"/>
      <w:divBdr>
        <w:top w:val="none" w:sz="0" w:space="0" w:color="auto"/>
        <w:left w:val="none" w:sz="0" w:space="0" w:color="auto"/>
        <w:bottom w:val="none" w:sz="0" w:space="0" w:color="auto"/>
        <w:right w:val="none" w:sz="0" w:space="0" w:color="auto"/>
      </w:divBdr>
    </w:div>
    <w:div w:id="1148933899">
      <w:bodyDiv w:val="1"/>
      <w:marLeft w:val="0"/>
      <w:marRight w:val="0"/>
      <w:marTop w:val="0"/>
      <w:marBottom w:val="0"/>
      <w:divBdr>
        <w:top w:val="none" w:sz="0" w:space="0" w:color="auto"/>
        <w:left w:val="none" w:sz="0" w:space="0" w:color="auto"/>
        <w:bottom w:val="none" w:sz="0" w:space="0" w:color="auto"/>
        <w:right w:val="none" w:sz="0" w:space="0" w:color="auto"/>
      </w:divBdr>
    </w:div>
    <w:div w:id="1159005390">
      <w:bodyDiv w:val="1"/>
      <w:marLeft w:val="0"/>
      <w:marRight w:val="0"/>
      <w:marTop w:val="0"/>
      <w:marBottom w:val="0"/>
      <w:divBdr>
        <w:top w:val="none" w:sz="0" w:space="0" w:color="auto"/>
        <w:left w:val="none" w:sz="0" w:space="0" w:color="auto"/>
        <w:bottom w:val="none" w:sz="0" w:space="0" w:color="auto"/>
        <w:right w:val="none" w:sz="0" w:space="0" w:color="auto"/>
      </w:divBdr>
    </w:div>
    <w:div w:id="1183975308">
      <w:bodyDiv w:val="1"/>
      <w:marLeft w:val="0"/>
      <w:marRight w:val="0"/>
      <w:marTop w:val="0"/>
      <w:marBottom w:val="0"/>
      <w:divBdr>
        <w:top w:val="none" w:sz="0" w:space="0" w:color="auto"/>
        <w:left w:val="none" w:sz="0" w:space="0" w:color="auto"/>
        <w:bottom w:val="none" w:sz="0" w:space="0" w:color="auto"/>
        <w:right w:val="none" w:sz="0" w:space="0" w:color="auto"/>
      </w:divBdr>
    </w:div>
    <w:div w:id="1184972840">
      <w:bodyDiv w:val="1"/>
      <w:marLeft w:val="0"/>
      <w:marRight w:val="0"/>
      <w:marTop w:val="0"/>
      <w:marBottom w:val="0"/>
      <w:divBdr>
        <w:top w:val="none" w:sz="0" w:space="0" w:color="auto"/>
        <w:left w:val="none" w:sz="0" w:space="0" w:color="auto"/>
        <w:bottom w:val="none" w:sz="0" w:space="0" w:color="auto"/>
        <w:right w:val="none" w:sz="0" w:space="0" w:color="auto"/>
      </w:divBdr>
    </w:div>
    <w:div w:id="1188904936">
      <w:bodyDiv w:val="1"/>
      <w:marLeft w:val="0"/>
      <w:marRight w:val="0"/>
      <w:marTop w:val="0"/>
      <w:marBottom w:val="0"/>
      <w:divBdr>
        <w:top w:val="none" w:sz="0" w:space="0" w:color="auto"/>
        <w:left w:val="none" w:sz="0" w:space="0" w:color="auto"/>
        <w:bottom w:val="none" w:sz="0" w:space="0" w:color="auto"/>
        <w:right w:val="none" w:sz="0" w:space="0" w:color="auto"/>
      </w:divBdr>
    </w:div>
    <w:div w:id="1210606844">
      <w:bodyDiv w:val="1"/>
      <w:marLeft w:val="0"/>
      <w:marRight w:val="0"/>
      <w:marTop w:val="0"/>
      <w:marBottom w:val="0"/>
      <w:divBdr>
        <w:top w:val="none" w:sz="0" w:space="0" w:color="auto"/>
        <w:left w:val="none" w:sz="0" w:space="0" w:color="auto"/>
        <w:bottom w:val="none" w:sz="0" w:space="0" w:color="auto"/>
        <w:right w:val="none" w:sz="0" w:space="0" w:color="auto"/>
      </w:divBdr>
    </w:div>
    <w:div w:id="1234388838">
      <w:bodyDiv w:val="1"/>
      <w:marLeft w:val="0"/>
      <w:marRight w:val="0"/>
      <w:marTop w:val="0"/>
      <w:marBottom w:val="0"/>
      <w:divBdr>
        <w:top w:val="none" w:sz="0" w:space="0" w:color="auto"/>
        <w:left w:val="none" w:sz="0" w:space="0" w:color="auto"/>
        <w:bottom w:val="none" w:sz="0" w:space="0" w:color="auto"/>
        <w:right w:val="none" w:sz="0" w:space="0" w:color="auto"/>
      </w:divBdr>
    </w:div>
    <w:div w:id="1247421472">
      <w:bodyDiv w:val="1"/>
      <w:marLeft w:val="0"/>
      <w:marRight w:val="0"/>
      <w:marTop w:val="0"/>
      <w:marBottom w:val="0"/>
      <w:divBdr>
        <w:top w:val="none" w:sz="0" w:space="0" w:color="auto"/>
        <w:left w:val="none" w:sz="0" w:space="0" w:color="auto"/>
        <w:bottom w:val="none" w:sz="0" w:space="0" w:color="auto"/>
        <w:right w:val="none" w:sz="0" w:space="0" w:color="auto"/>
      </w:divBdr>
    </w:div>
    <w:div w:id="1295137549">
      <w:bodyDiv w:val="1"/>
      <w:marLeft w:val="0"/>
      <w:marRight w:val="0"/>
      <w:marTop w:val="0"/>
      <w:marBottom w:val="0"/>
      <w:divBdr>
        <w:top w:val="none" w:sz="0" w:space="0" w:color="auto"/>
        <w:left w:val="none" w:sz="0" w:space="0" w:color="auto"/>
        <w:bottom w:val="none" w:sz="0" w:space="0" w:color="auto"/>
        <w:right w:val="none" w:sz="0" w:space="0" w:color="auto"/>
      </w:divBdr>
    </w:div>
    <w:div w:id="1352536258">
      <w:bodyDiv w:val="1"/>
      <w:marLeft w:val="0"/>
      <w:marRight w:val="0"/>
      <w:marTop w:val="0"/>
      <w:marBottom w:val="0"/>
      <w:divBdr>
        <w:top w:val="none" w:sz="0" w:space="0" w:color="auto"/>
        <w:left w:val="none" w:sz="0" w:space="0" w:color="auto"/>
        <w:bottom w:val="none" w:sz="0" w:space="0" w:color="auto"/>
        <w:right w:val="none" w:sz="0" w:space="0" w:color="auto"/>
      </w:divBdr>
    </w:div>
    <w:div w:id="1356536763">
      <w:bodyDiv w:val="1"/>
      <w:marLeft w:val="0"/>
      <w:marRight w:val="0"/>
      <w:marTop w:val="0"/>
      <w:marBottom w:val="0"/>
      <w:divBdr>
        <w:top w:val="none" w:sz="0" w:space="0" w:color="auto"/>
        <w:left w:val="none" w:sz="0" w:space="0" w:color="auto"/>
        <w:bottom w:val="none" w:sz="0" w:space="0" w:color="auto"/>
        <w:right w:val="none" w:sz="0" w:space="0" w:color="auto"/>
      </w:divBdr>
    </w:div>
    <w:div w:id="1359352004">
      <w:bodyDiv w:val="1"/>
      <w:marLeft w:val="0"/>
      <w:marRight w:val="0"/>
      <w:marTop w:val="0"/>
      <w:marBottom w:val="0"/>
      <w:divBdr>
        <w:top w:val="none" w:sz="0" w:space="0" w:color="auto"/>
        <w:left w:val="none" w:sz="0" w:space="0" w:color="auto"/>
        <w:bottom w:val="none" w:sz="0" w:space="0" w:color="auto"/>
        <w:right w:val="none" w:sz="0" w:space="0" w:color="auto"/>
      </w:divBdr>
    </w:div>
    <w:div w:id="1364747286">
      <w:bodyDiv w:val="1"/>
      <w:marLeft w:val="0"/>
      <w:marRight w:val="0"/>
      <w:marTop w:val="0"/>
      <w:marBottom w:val="0"/>
      <w:divBdr>
        <w:top w:val="none" w:sz="0" w:space="0" w:color="auto"/>
        <w:left w:val="none" w:sz="0" w:space="0" w:color="auto"/>
        <w:bottom w:val="none" w:sz="0" w:space="0" w:color="auto"/>
        <w:right w:val="none" w:sz="0" w:space="0" w:color="auto"/>
      </w:divBdr>
    </w:div>
    <w:div w:id="1382511531">
      <w:bodyDiv w:val="1"/>
      <w:marLeft w:val="0"/>
      <w:marRight w:val="0"/>
      <w:marTop w:val="0"/>
      <w:marBottom w:val="0"/>
      <w:divBdr>
        <w:top w:val="none" w:sz="0" w:space="0" w:color="auto"/>
        <w:left w:val="none" w:sz="0" w:space="0" w:color="auto"/>
        <w:bottom w:val="none" w:sz="0" w:space="0" w:color="auto"/>
        <w:right w:val="none" w:sz="0" w:space="0" w:color="auto"/>
      </w:divBdr>
    </w:div>
    <w:div w:id="1392801604">
      <w:bodyDiv w:val="1"/>
      <w:marLeft w:val="0"/>
      <w:marRight w:val="0"/>
      <w:marTop w:val="0"/>
      <w:marBottom w:val="0"/>
      <w:divBdr>
        <w:top w:val="none" w:sz="0" w:space="0" w:color="auto"/>
        <w:left w:val="none" w:sz="0" w:space="0" w:color="auto"/>
        <w:bottom w:val="none" w:sz="0" w:space="0" w:color="auto"/>
        <w:right w:val="none" w:sz="0" w:space="0" w:color="auto"/>
      </w:divBdr>
    </w:div>
    <w:div w:id="1399591672">
      <w:bodyDiv w:val="1"/>
      <w:marLeft w:val="0"/>
      <w:marRight w:val="0"/>
      <w:marTop w:val="0"/>
      <w:marBottom w:val="0"/>
      <w:divBdr>
        <w:top w:val="none" w:sz="0" w:space="0" w:color="auto"/>
        <w:left w:val="none" w:sz="0" w:space="0" w:color="auto"/>
        <w:bottom w:val="none" w:sz="0" w:space="0" w:color="auto"/>
        <w:right w:val="none" w:sz="0" w:space="0" w:color="auto"/>
      </w:divBdr>
    </w:div>
    <w:div w:id="1414932695">
      <w:bodyDiv w:val="1"/>
      <w:marLeft w:val="0"/>
      <w:marRight w:val="0"/>
      <w:marTop w:val="0"/>
      <w:marBottom w:val="0"/>
      <w:divBdr>
        <w:top w:val="none" w:sz="0" w:space="0" w:color="auto"/>
        <w:left w:val="none" w:sz="0" w:space="0" w:color="auto"/>
        <w:bottom w:val="none" w:sz="0" w:space="0" w:color="auto"/>
        <w:right w:val="none" w:sz="0" w:space="0" w:color="auto"/>
      </w:divBdr>
    </w:div>
    <w:div w:id="1424299227">
      <w:bodyDiv w:val="1"/>
      <w:marLeft w:val="0"/>
      <w:marRight w:val="0"/>
      <w:marTop w:val="0"/>
      <w:marBottom w:val="0"/>
      <w:divBdr>
        <w:top w:val="none" w:sz="0" w:space="0" w:color="auto"/>
        <w:left w:val="none" w:sz="0" w:space="0" w:color="auto"/>
        <w:bottom w:val="none" w:sz="0" w:space="0" w:color="auto"/>
        <w:right w:val="none" w:sz="0" w:space="0" w:color="auto"/>
      </w:divBdr>
    </w:div>
    <w:div w:id="1429427658">
      <w:bodyDiv w:val="1"/>
      <w:marLeft w:val="0"/>
      <w:marRight w:val="0"/>
      <w:marTop w:val="0"/>
      <w:marBottom w:val="0"/>
      <w:divBdr>
        <w:top w:val="none" w:sz="0" w:space="0" w:color="auto"/>
        <w:left w:val="none" w:sz="0" w:space="0" w:color="auto"/>
        <w:bottom w:val="none" w:sz="0" w:space="0" w:color="auto"/>
        <w:right w:val="none" w:sz="0" w:space="0" w:color="auto"/>
      </w:divBdr>
    </w:div>
    <w:div w:id="1431856523">
      <w:bodyDiv w:val="1"/>
      <w:marLeft w:val="0"/>
      <w:marRight w:val="0"/>
      <w:marTop w:val="0"/>
      <w:marBottom w:val="0"/>
      <w:divBdr>
        <w:top w:val="none" w:sz="0" w:space="0" w:color="auto"/>
        <w:left w:val="none" w:sz="0" w:space="0" w:color="auto"/>
        <w:bottom w:val="none" w:sz="0" w:space="0" w:color="auto"/>
        <w:right w:val="none" w:sz="0" w:space="0" w:color="auto"/>
      </w:divBdr>
    </w:div>
    <w:div w:id="1438793030">
      <w:bodyDiv w:val="1"/>
      <w:marLeft w:val="0"/>
      <w:marRight w:val="0"/>
      <w:marTop w:val="0"/>
      <w:marBottom w:val="0"/>
      <w:divBdr>
        <w:top w:val="none" w:sz="0" w:space="0" w:color="auto"/>
        <w:left w:val="none" w:sz="0" w:space="0" w:color="auto"/>
        <w:bottom w:val="none" w:sz="0" w:space="0" w:color="auto"/>
        <w:right w:val="none" w:sz="0" w:space="0" w:color="auto"/>
      </w:divBdr>
    </w:div>
    <w:div w:id="1444298601">
      <w:bodyDiv w:val="1"/>
      <w:marLeft w:val="0"/>
      <w:marRight w:val="0"/>
      <w:marTop w:val="0"/>
      <w:marBottom w:val="0"/>
      <w:divBdr>
        <w:top w:val="none" w:sz="0" w:space="0" w:color="auto"/>
        <w:left w:val="none" w:sz="0" w:space="0" w:color="auto"/>
        <w:bottom w:val="none" w:sz="0" w:space="0" w:color="auto"/>
        <w:right w:val="none" w:sz="0" w:space="0" w:color="auto"/>
      </w:divBdr>
    </w:div>
    <w:div w:id="1483158327">
      <w:bodyDiv w:val="1"/>
      <w:marLeft w:val="0"/>
      <w:marRight w:val="0"/>
      <w:marTop w:val="0"/>
      <w:marBottom w:val="0"/>
      <w:divBdr>
        <w:top w:val="none" w:sz="0" w:space="0" w:color="auto"/>
        <w:left w:val="none" w:sz="0" w:space="0" w:color="auto"/>
        <w:bottom w:val="none" w:sz="0" w:space="0" w:color="auto"/>
        <w:right w:val="none" w:sz="0" w:space="0" w:color="auto"/>
      </w:divBdr>
    </w:div>
    <w:div w:id="1542593160">
      <w:bodyDiv w:val="1"/>
      <w:marLeft w:val="0"/>
      <w:marRight w:val="0"/>
      <w:marTop w:val="0"/>
      <w:marBottom w:val="0"/>
      <w:divBdr>
        <w:top w:val="none" w:sz="0" w:space="0" w:color="auto"/>
        <w:left w:val="none" w:sz="0" w:space="0" w:color="auto"/>
        <w:bottom w:val="none" w:sz="0" w:space="0" w:color="auto"/>
        <w:right w:val="none" w:sz="0" w:space="0" w:color="auto"/>
      </w:divBdr>
    </w:div>
    <w:div w:id="1569877077">
      <w:bodyDiv w:val="1"/>
      <w:marLeft w:val="0"/>
      <w:marRight w:val="0"/>
      <w:marTop w:val="0"/>
      <w:marBottom w:val="0"/>
      <w:divBdr>
        <w:top w:val="none" w:sz="0" w:space="0" w:color="auto"/>
        <w:left w:val="none" w:sz="0" w:space="0" w:color="auto"/>
        <w:bottom w:val="none" w:sz="0" w:space="0" w:color="auto"/>
        <w:right w:val="none" w:sz="0" w:space="0" w:color="auto"/>
      </w:divBdr>
    </w:div>
    <w:div w:id="1601982926">
      <w:bodyDiv w:val="1"/>
      <w:marLeft w:val="0"/>
      <w:marRight w:val="0"/>
      <w:marTop w:val="0"/>
      <w:marBottom w:val="0"/>
      <w:divBdr>
        <w:top w:val="none" w:sz="0" w:space="0" w:color="auto"/>
        <w:left w:val="none" w:sz="0" w:space="0" w:color="auto"/>
        <w:bottom w:val="none" w:sz="0" w:space="0" w:color="auto"/>
        <w:right w:val="none" w:sz="0" w:space="0" w:color="auto"/>
      </w:divBdr>
    </w:div>
    <w:div w:id="1634872345">
      <w:bodyDiv w:val="1"/>
      <w:marLeft w:val="0"/>
      <w:marRight w:val="0"/>
      <w:marTop w:val="0"/>
      <w:marBottom w:val="0"/>
      <w:divBdr>
        <w:top w:val="none" w:sz="0" w:space="0" w:color="auto"/>
        <w:left w:val="none" w:sz="0" w:space="0" w:color="auto"/>
        <w:bottom w:val="none" w:sz="0" w:space="0" w:color="auto"/>
        <w:right w:val="none" w:sz="0" w:space="0" w:color="auto"/>
      </w:divBdr>
    </w:div>
    <w:div w:id="1665351822">
      <w:bodyDiv w:val="1"/>
      <w:marLeft w:val="0"/>
      <w:marRight w:val="0"/>
      <w:marTop w:val="0"/>
      <w:marBottom w:val="0"/>
      <w:divBdr>
        <w:top w:val="none" w:sz="0" w:space="0" w:color="auto"/>
        <w:left w:val="none" w:sz="0" w:space="0" w:color="auto"/>
        <w:bottom w:val="none" w:sz="0" w:space="0" w:color="auto"/>
        <w:right w:val="none" w:sz="0" w:space="0" w:color="auto"/>
      </w:divBdr>
    </w:div>
    <w:div w:id="1689327536">
      <w:bodyDiv w:val="1"/>
      <w:marLeft w:val="0"/>
      <w:marRight w:val="0"/>
      <w:marTop w:val="0"/>
      <w:marBottom w:val="0"/>
      <w:divBdr>
        <w:top w:val="none" w:sz="0" w:space="0" w:color="auto"/>
        <w:left w:val="none" w:sz="0" w:space="0" w:color="auto"/>
        <w:bottom w:val="none" w:sz="0" w:space="0" w:color="auto"/>
        <w:right w:val="none" w:sz="0" w:space="0" w:color="auto"/>
      </w:divBdr>
    </w:div>
    <w:div w:id="1764496702">
      <w:bodyDiv w:val="1"/>
      <w:marLeft w:val="0"/>
      <w:marRight w:val="0"/>
      <w:marTop w:val="0"/>
      <w:marBottom w:val="0"/>
      <w:divBdr>
        <w:top w:val="none" w:sz="0" w:space="0" w:color="auto"/>
        <w:left w:val="none" w:sz="0" w:space="0" w:color="auto"/>
        <w:bottom w:val="none" w:sz="0" w:space="0" w:color="auto"/>
        <w:right w:val="none" w:sz="0" w:space="0" w:color="auto"/>
      </w:divBdr>
    </w:div>
    <w:div w:id="1785340239">
      <w:bodyDiv w:val="1"/>
      <w:marLeft w:val="0"/>
      <w:marRight w:val="0"/>
      <w:marTop w:val="0"/>
      <w:marBottom w:val="0"/>
      <w:divBdr>
        <w:top w:val="none" w:sz="0" w:space="0" w:color="auto"/>
        <w:left w:val="none" w:sz="0" w:space="0" w:color="auto"/>
        <w:bottom w:val="none" w:sz="0" w:space="0" w:color="auto"/>
        <w:right w:val="none" w:sz="0" w:space="0" w:color="auto"/>
      </w:divBdr>
    </w:div>
    <w:div w:id="1789160716">
      <w:bodyDiv w:val="1"/>
      <w:marLeft w:val="0"/>
      <w:marRight w:val="0"/>
      <w:marTop w:val="0"/>
      <w:marBottom w:val="0"/>
      <w:divBdr>
        <w:top w:val="none" w:sz="0" w:space="0" w:color="auto"/>
        <w:left w:val="none" w:sz="0" w:space="0" w:color="auto"/>
        <w:bottom w:val="none" w:sz="0" w:space="0" w:color="auto"/>
        <w:right w:val="none" w:sz="0" w:space="0" w:color="auto"/>
      </w:divBdr>
    </w:div>
    <w:div w:id="1808740205">
      <w:bodyDiv w:val="1"/>
      <w:marLeft w:val="0"/>
      <w:marRight w:val="0"/>
      <w:marTop w:val="0"/>
      <w:marBottom w:val="0"/>
      <w:divBdr>
        <w:top w:val="none" w:sz="0" w:space="0" w:color="auto"/>
        <w:left w:val="none" w:sz="0" w:space="0" w:color="auto"/>
        <w:bottom w:val="none" w:sz="0" w:space="0" w:color="auto"/>
        <w:right w:val="none" w:sz="0" w:space="0" w:color="auto"/>
      </w:divBdr>
    </w:div>
    <w:div w:id="1811048445">
      <w:bodyDiv w:val="1"/>
      <w:marLeft w:val="0"/>
      <w:marRight w:val="0"/>
      <w:marTop w:val="0"/>
      <w:marBottom w:val="0"/>
      <w:divBdr>
        <w:top w:val="none" w:sz="0" w:space="0" w:color="auto"/>
        <w:left w:val="none" w:sz="0" w:space="0" w:color="auto"/>
        <w:bottom w:val="none" w:sz="0" w:space="0" w:color="auto"/>
        <w:right w:val="none" w:sz="0" w:space="0" w:color="auto"/>
      </w:divBdr>
    </w:div>
    <w:div w:id="1842625731">
      <w:bodyDiv w:val="1"/>
      <w:marLeft w:val="0"/>
      <w:marRight w:val="0"/>
      <w:marTop w:val="0"/>
      <w:marBottom w:val="0"/>
      <w:divBdr>
        <w:top w:val="none" w:sz="0" w:space="0" w:color="auto"/>
        <w:left w:val="none" w:sz="0" w:space="0" w:color="auto"/>
        <w:bottom w:val="none" w:sz="0" w:space="0" w:color="auto"/>
        <w:right w:val="none" w:sz="0" w:space="0" w:color="auto"/>
      </w:divBdr>
    </w:div>
    <w:div w:id="1879538723">
      <w:bodyDiv w:val="1"/>
      <w:marLeft w:val="0"/>
      <w:marRight w:val="0"/>
      <w:marTop w:val="0"/>
      <w:marBottom w:val="0"/>
      <w:divBdr>
        <w:top w:val="none" w:sz="0" w:space="0" w:color="auto"/>
        <w:left w:val="none" w:sz="0" w:space="0" w:color="auto"/>
        <w:bottom w:val="none" w:sz="0" w:space="0" w:color="auto"/>
        <w:right w:val="none" w:sz="0" w:space="0" w:color="auto"/>
      </w:divBdr>
    </w:div>
    <w:div w:id="1924021741">
      <w:bodyDiv w:val="1"/>
      <w:marLeft w:val="0"/>
      <w:marRight w:val="0"/>
      <w:marTop w:val="0"/>
      <w:marBottom w:val="0"/>
      <w:divBdr>
        <w:top w:val="none" w:sz="0" w:space="0" w:color="auto"/>
        <w:left w:val="none" w:sz="0" w:space="0" w:color="auto"/>
        <w:bottom w:val="none" w:sz="0" w:space="0" w:color="auto"/>
        <w:right w:val="none" w:sz="0" w:space="0" w:color="auto"/>
      </w:divBdr>
    </w:div>
    <w:div w:id="1931422936">
      <w:bodyDiv w:val="1"/>
      <w:marLeft w:val="0"/>
      <w:marRight w:val="0"/>
      <w:marTop w:val="0"/>
      <w:marBottom w:val="0"/>
      <w:divBdr>
        <w:top w:val="none" w:sz="0" w:space="0" w:color="auto"/>
        <w:left w:val="none" w:sz="0" w:space="0" w:color="auto"/>
        <w:bottom w:val="none" w:sz="0" w:space="0" w:color="auto"/>
        <w:right w:val="none" w:sz="0" w:space="0" w:color="auto"/>
      </w:divBdr>
    </w:div>
    <w:div w:id="1938512831">
      <w:bodyDiv w:val="1"/>
      <w:marLeft w:val="0"/>
      <w:marRight w:val="0"/>
      <w:marTop w:val="0"/>
      <w:marBottom w:val="0"/>
      <w:divBdr>
        <w:top w:val="none" w:sz="0" w:space="0" w:color="auto"/>
        <w:left w:val="none" w:sz="0" w:space="0" w:color="auto"/>
        <w:bottom w:val="none" w:sz="0" w:space="0" w:color="auto"/>
        <w:right w:val="none" w:sz="0" w:space="0" w:color="auto"/>
      </w:divBdr>
    </w:div>
    <w:div w:id="1949849845">
      <w:bodyDiv w:val="1"/>
      <w:marLeft w:val="0"/>
      <w:marRight w:val="0"/>
      <w:marTop w:val="0"/>
      <w:marBottom w:val="0"/>
      <w:divBdr>
        <w:top w:val="none" w:sz="0" w:space="0" w:color="auto"/>
        <w:left w:val="none" w:sz="0" w:space="0" w:color="auto"/>
        <w:bottom w:val="none" w:sz="0" w:space="0" w:color="auto"/>
        <w:right w:val="none" w:sz="0" w:space="0" w:color="auto"/>
      </w:divBdr>
    </w:div>
    <w:div w:id="1992177142">
      <w:bodyDiv w:val="1"/>
      <w:marLeft w:val="0"/>
      <w:marRight w:val="0"/>
      <w:marTop w:val="0"/>
      <w:marBottom w:val="0"/>
      <w:divBdr>
        <w:top w:val="none" w:sz="0" w:space="0" w:color="auto"/>
        <w:left w:val="none" w:sz="0" w:space="0" w:color="auto"/>
        <w:bottom w:val="none" w:sz="0" w:space="0" w:color="auto"/>
        <w:right w:val="none" w:sz="0" w:space="0" w:color="auto"/>
      </w:divBdr>
    </w:div>
    <w:div w:id="1993023745">
      <w:bodyDiv w:val="1"/>
      <w:marLeft w:val="0"/>
      <w:marRight w:val="0"/>
      <w:marTop w:val="0"/>
      <w:marBottom w:val="0"/>
      <w:divBdr>
        <w:top w:val="none" w:sz="0" w:space="0" w:color="auto"/>
        <w:left w:val="none" w:sz="0" w:space="0" w:color="auto"/>
        <w:bottom w:val="none" w:sz="0" w:space="0" w:color="auto"/>
        <w:right w:val="none" w:sz="0" w:space="0" w:color="auto"/>
      </w:divBdr>
    </w:div>
    <w:div w:id="2013950363">
      <w:bodyDiv w:val="1"/>
      <w:marLeft w:val="0"/>
      <w:marRight w:val="0"/>
      <w:marTop w:val="0"/>
      <w:marBottom w:val="0"/>
      <w:divBdr>
        <w:top w:val="none" w:sz="0" w:space="0" w:color="auto"/>
        <w:left w:val="none" w:sz="0" w:space="0" w:color="auto"/>
        <w:bottom w:val="none" w:sz="0" w:space="0" w:color="auto"/>
        <w:right w:val="none" w:sz="0" w:space="0" w:color="auto"/>
      </w:divBdr>
    </w:div>
    <w:div w:id="2017464567">
      <w:bodyDiv w:val="1"/>
      <w:marLeft w:val="0"/>
      <w:marRight w:val="0"/>
      <w:marTop w:val="0"/>
      <w:marBottom w:val="0"/>
      <w:divBdr>
        <w:top w:val="none" w:sz="0" w:space="0" w:color="auto"/>
        <w:left w:val="none" w:sz="0" w:space="0" w:color="auto"/>
        <w:bottom w:val="none" w:sz="0" w:space="0" w:color="auto"/>
        <w:right w:val="none" w:sz="0" w:space="0" w:color="auto"/>
      </w:divBdr>
    </w:div>
    <w:div w:id="2070837607">
      <w:bodyDiv w:val="1"/>
      <w:marLeft w:val="0"/>
      <w:marRight w:val="0"/>
      <w:marTop w:val="0"/>
      <w:marBottom w:val="0"/>
      <w:divBdr>
        <w:top w:val="none" w:sz="0" w:space="0" w:color="auto"/>
        <w:left w:val="none" w:sz="0" w:space="0" w:color="auto"/>
        <w:bottom w:val="none" w:sz="0" w:space="0" w:color="auto"/>
        <w:right w:val="none" w:sz="0" w:space="0" w:color="auto"/>
      </w:divBdr>
    </w:div>
    <w:div w:id="2074044722">
      <w:bodyDiv w:val="1"/>
      <w:marLeft w:val="0"/>
      <w:marRight w:val="0"/>
      <w:marTop w:val="0"/>
      <w:marBottom w:val="0"/>
      <w:divBdr>
        <w:top w:val="none" w:sz="0" w:space="0" w:color="auto"/>
        <w:left w:val="none" w:sz="0" w:space="0" w:color="auto"/>
        <w:bottom w:val="none" w:sz="0" w:space="0" w:color="auto"/>
        <w:right w:val="none" w:sz="0" w:space="0" w:color="auto"/>
      </w:divBdr>
    </w:div>
    <w:div w:id="2132744448">
      <w:bodyDiv w:val="1"/>
      <w:marLeft w:val="0"/>
      <w:marRight w:val="0"/>
      <w:marTop w:val="0"/>
      <w:marBottom w:val="0"/>
      <w:divBdr>
        <w:top w:val="none" w:sz="0" w:space="0" w:color="auto"/>
        <w:left w:val="none" w:sz="0" w:space="0" w:color="auto"/>
        <w:bottom w:val="none" w:sz="0" w:space="0" w:color="auto"/>
        <w:right w:val="none" w:sz="0" w:space="0" w:color="auto"/>
      </w:divBdr>
    </w:div>
    <w:div w:id="213281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aodaalliance.org/strong-effective-aoda/01272016.asp" TargetMode="External"/><Relationship Id="rId13" Type="http://schemas.openxmlformats.org/officeDocument/2006/relationships/hyperlink" Target="http://www.aodaalliance.org/strong-effective-aoda/ElectionInOntario.asp" TargetMode="External"/><Relationship Id="rId18" Type="http://schemas.openxmlformats.org/officeDocument/2006/relationships/hyperlink" Target="http://www.aodaalliance.org/strong-effective-aoda/05312010.asp" TargetMode="External"/><Relationship Id="rId3" Type="http://schemas.openxmlformats.org/officeDocument/2006/relationships/hyperlink" Target="http://www.aodaalliance.org/strong-effective-aoda/03212011.asp" TargetMode="External"/><Relationship Id="rId21" Type="http://schemas.openxmlformats.org/officeDocument/2006/relationships/hyperlink" Target="http://www.aodaalliance.org/strong-effective-aoda/04292015.asp%20and%20http:/www.aodaalliance.org/strong-effective-aoda/05012015.asp" TargetMode="External"/><Relationship Id="rId7" Type="http://schemas.openxmlformats.org/officeDocument/2006/relationships/hyperlink" Target="http://www.aodaalliance.org/strong-effective-aoda/11182013.asp" TargetMode="External"/><Relationship Id="rId12" Type="http://schemas.openxmlformats.org/officeDocument/2006/relationships/hyperlink" Target="http://www.aodaalliance.org/strong-effective-aoda/03232015.asp" TargetMode="External"/><Relationship Id="rId17" Type="http://schemas.openxmlformats.org/officeDocument/2006/relationships/hyperlink" Target="https://askjan.org/" TargetMode="External"/><Relationship Id="rId2" Type="http://schemas.openxmlformats.org/officeDocument/2006/relationships/hyperlink" Target="http://barrierfreecanada.org/home/" TargetMode="External"/><Relationship Id="rId16" Type="http://schemas.openxmlformats.org/officeDocument/2006/relationships/hyperlink" Target="http://www.ontariocourts.on.ca/accessible_courts/en/report_courts_disabilities.htm" TargetMode="External"/><Relationship Id="rId20" Type="http://schemas.openxmlformats.org/officeDocument/2006/relationships/hyperlink" Target="http://www.aodaalliance.org/strong-effective-aoda/Final-Report-Second-Legislative-Review-of-the-AODA.docx" TargetMode="External"/><Relationship Id="rId1" Type="http://schemas.openxmlformats.org/officeDocument/2006/relationships/hyperlink" Target="http://barrierfreecanada.org/principles/" TargetMode="External"/><Relationship Id="rId6" Type="http://schemas.openxmlformats.org/officeDocument/2006/relationships/hyperlink" Target="http://www.aodaalliance.org/strong-effective-aoda/090220111.asp" TargetMode="External"/><Relationship Id="rId11" Type="http://schemas.openxmlformats.org/officeDocument/2006/relationships/hyperlink" Target="http://www.aodaalliance.org/strong-effective-aoda/12032015.asp" TargetMode="External"/><Relationship Id="rId5" Type="http://schemas.openxmlformats.org/officeDocument/2006/relationships/hyperlink" Target="http://www.aodaalliance.org/strong-effective-aoda/09142007.asp" TargetMode="External"/><Relationship Id="rId15" Type="http://schemas.openxmlformats.org/officeDocument/2006/relationships/hyperlink" Target="http://www.ontariocourts.on.ca/accessible_courts/en/report_courts_disabilities.htm" TargetMode="External"/><Relationship Id="rId10" Type="http://schemas.openxmlformats.org/officeDocument/2006/relationships/hyperlink" Target="http://www.aodaalliance.org/strong-effective-aoda/11212013.asp" TargetMode="External"/><Relationship Id="rId19" Type="http://schemas.openxmlformats.org/officeDocument/2006/relationships/hyperlink" Target="http://www.aodaalliance.org/strong-effective-aoda/06032010.asp" TargetMode="External"/><Relationship Id="rId4" Type="http://schemas.openxmlformats.org/officeDocument/2006/relationships/hyperlink" Target="http://www.ohrc.on.ca/en/opportunity-succeed-achieving-barrier-free-education-students-disabilities" TargetMode="External"/><Relationship Id="rId9" Type="http://schemas.openxmlformats.org/officeDocument/2006/relationships/hyperlink" Target="http://www.odacommittee.net/ODA_Discussion_Paper.html" TargetMode="External"/><Relationship Id="rId14" Type="http://schemas.openxmlformats.org/officeDocument/2006/relationships/hyperlink" Target="http://www.aodaalliance.org/strong-effective-aoda/06282011.asp" TargetMode="External"/><Relationship Id="rId22" Type="http://schemas.openxmlformats.org/officeDocument/2006/relationships/hyperlink" Target="http://www.aodaalliance.org/strong-effective-aoda/09102013.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F7E19-353C-4B2E-808A-E7A5B4AF3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33</Pages>
  <Words>13651</Words>
  <Characters>77811</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YORK UNIVERSITY</Company>
  <LinksUpToDate>false</LinksUpToDate>
  <CharactersWithSpaces>91280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dc:creator>
  <cp:lastModifiedBy>David Lepofsky</cp:lastModifiedBy>
  <cp:revision>136</cp:revision>
  <dcterms:created xsi:type="dcterms:W3CDTF">2016-08-18T21:56:00Z</dcterms:created>
  <dcterms:modified xsi:type="dcterms:W3CDTF">2016-08-19T20:02:00Z</dcterms:modified>
</cp:coreProperties>
</file>