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821" w:rsidRDefault="005A3CF1" w:rsidP="005A3CF1">
      <w:pPr>
        <w:pStyle w:val="Title"/>
        <w:rPr>
          <w:lang w:val="en-US"/>
        </w:rPr>
      </w:pPr>
      <w:r w:rsidRPr="005A3CF1">
        <w:rPr>
          <w:lang w:val="en-US"/>
        </w:rPr>
        <w:t>Accessibility Directorate of Ontario</w:t>
      </w:r>
    </w:p>
    <w:p w:rsidR="00893821" w:rsidRPr="00A4603B" w:rsidRDefault="00893821" w:rsidP="00893821">
      <w:pPr>
        <w:rPr>
          <w:b/>
        </w:rPr>
      </w:pPr>
      <w:r w:rsidRPr="00A4603B">
        <w:rPr>
          <w:b/>
        </w:rPr>
        <w:t>Research Services – Accessibility in Healthcare</w:t>
      </w:r>
    </w:p>
    <w:p w:rsidR="00893821" w:rsidRPr="00A4603B" w:rsidRDefault="00893821" w:rsidP="00893821">
      <w:pPr>
        <w:rPr>
          <w:b/>
          <w:bCs/>
        </w:rPr>
      </w:pPr>
      <w:r w:rsidRPr="00A4603B">
        <w:rPr>
          <w:bCs/>
          <w:lang w:val="en-US"/>
        </w:rPr>
        <w:t>Final Report</w:t>
      </w:r>
      <w:r w:rsidR="005A3CF1">
        <w:rPr>
          <w:bCs/>
          <w:lang w:val="en-US"/>
        </w:rPr>
        <w:t xml:space="preserve"> by KPMG</w:t>
      </w:r>
      <w:r w:rsidR="005A3CF1" w:rsidRPr="005A3CF1">
        <w:rPr>
          <w:bCs/>
          <w:lang w:val="en-US"/>
        </w:rPr>
        <w:t xml:space="preserve"> </w:t>
      </w:r>
      <w:r w:rsidR="005A3CF1" w:rsidRPr="00A4603B">
        <w:rPr>
          <w:bCs/>
          <w:lang w:val="en-US"/>
        </w:rPr>
        <w:t>Management Consulting</w:t>
      </w:r>
    </w:p>
    <w:p w:rsidR="00893821" w:rsidRPr="00A4603B" w:rsidRDefault="00893821" w:rsidP="00893821">
      <w:pPr>
        <w:rPr>
          <w:bCs/>
          <w:lang w:val="en-US"/>
        </w:rPr>
      </w:pPr>
      <w:bookmarkStart w:id="0" w:name="_GoBack"/>
      <w:bookmarkEnd w:id="0"/>
      <w:r w:rsidRPr="00A4603B">
        <w:rPr>
          <w:bCs/>
          <w:lang w:val="en-US"/>
        </w:rPr>
        <w:t>2015</w:t>
      </w:r>
    </w:p>
    <w:p w:rsidR="001E72F7" w:rsidRDefault="00893821" w:rsidP="005A3CF1">
      <w:pPr>
        <w:rPr>
          <w:b/>
          <w:bCs/>
        </w:rPr>
      </w:pPr>
      <w:r w:rsidRPr="00A4603B">
        <w:rPr>
          <w:bCs/>
          <w:lang w:val="en-US"/>
        </w:rPr>
        <w:br/>
      </w:r>
      <w:bookmarkStart w:id="1" w:name="_Toc424669239"/>
      <w:r w:rsidR="0088786D">
        <w:rPr>
          <w:b/>
          <w:bCs/>
        </w:rPr>
        <w:t>Table of Contents</w:t>
      </w:r>
    </w:p>
    <w:p w:rsidR="0088786D" w:rsidRDefault="0088786D">
      <w:pPr>
        <w:pStyle w:val="TOC1"/>
        <w:tabs>
          <w:tab w:val="right" w:leader="dot" w:pos="9350"/>
        </w:tabs>
        <w:rPr>
          <w:noProof/>
          <w:sz w:val="22"/>
        </w:rPr>
      </w:pPr>
      <w:r>
        <w:rPr>
          <w:b/>
          <w:bCs/>
        </w:rPr>
        <w:fldChar w:fldCharType="begin"/>
      </w:r>
      <w:r>
        <w:rPr>
          <w:b/>
          <w:bCs/>
        </w:rPr>
        <w:instrText xml:space="preserve"> TOC \o "1-2" \h \z \u </w:instrText>
      </w:r>
      <w:r>
        <w:rPr>
          <w:b/>
          <w:bCs/>
        </w:rPr>
        <w:fldChar w:fldCharType="separate"/>
      </w:r>
      <w:hyperlink w:anchor="_Toc457553243" w:history="1">
        <w:r w:rsidRPr="00E10AB5">
          <w:rPr>
            <w:rStyle w:val="Hyperlink"/>
            <w:noProof/>
          </w:rPr>
          <w:t>1. Executive Summary</w:t>
        </w:r>
        <w:r>
          <w:rPr>
            <w:noProof/>
            <w:webHidden/>
          </w:rPr>
          <w:tab/>
        </w:r>
        <w:r>
          <w:rPr>
            <w:noProof/>
            <w:webHidden/>
          </w:rPr>
          <w:fldChar w:fldCharType="begin"/>
        </w:r>
        <w:r>
          <w:rPr>
            <w:noProof/>
            <w:webHidden/>
          </w:rPr>
          <w:instrText xml:space="preserve"> PAGEREF _Toc457553243 \h </w:instrText>
        </w:r>
        <w:r>
          <w:rPr>
            <w:noProof/>
            <w:webHidden/>
          </w:rPr>
        </w:r>
        <w:r>
          <w:rPr>
            <w:noProof/>
            <w:webHidden/>
          </w:rPr>
          <w:fldChar w:fldCharType="separate"/>
        </w:r>
        <w:r w:rsidR="00D04B3A">
          <w:rPr>
            <w:noProof/>
            <w:webHidden/>
          </w:rPr>
          <w:t>5</w:t>
        </w:r>
        <w:r>
          <w:rPr>
            <w:noProof/>
            <w:webHidden/>
          </w:rPr>
          <w:fldChar w:fldCharType="end"/>
        </w:r>
      </w:hyperlink>
    </w:p>
    <w:p w:rsidR="0088786D" w:rsidRDefault="0055176D">
      <w:pPr>
        <w:pStyle w:val="TOC2"/>
        <w:tabs>
          <w:tab w:val="right" w:leader="dot" w:pos="9350"/>
        </w:tabs>
        <w:rPr>
          <w:noProof/>
          <w:sz w:val="22"/>
        </w:rPr>
      </w:pPr>
      <w:hyperlink w:anchor="_Toc457553244" w:history="1">
        <w:r w:rsidR="0088786D" w:rsidRPr="00E10AB5">
          <w:rPr>
            <w:rStyle w:val="Hyperlink"/>
            <w:noProof/>
          </w:rPr>
          <w:t>Introduction</w:t>
        </w:r>
        <w:r w:rsidR="0088786D">
          <w:rPr>
            <w:noProof/>
            <w:webHidden/>
          </w:rPr>
          <w:tab/>
        </w:r>
        <w:r w:rsidR="0088786D">
          <w:rPr>
            <w:noProof/>
            <w:webHidden/>
          </w:rPr>
          <w:fldChar w:fldCharType="begin"/>
        </w:r>
        <w:r w:rsidR="0088786D">
          <w:rPr>
            <w:noProof/>
            <w:webHidden/>
          </w:rPr>
          <w:instrText xml:space="preserve"> PAGEREF _Toc457553244 \h </w:instrText>
        </w:r>
        <w:r w:rsidR="0088786D">
          <w:rPr>
            <w:noProof/>
            <w:webHidden/>
          </w:rPr>
        </w:r>
        <w:r w:rsidR="0088786D">
          <w:rPr>
            <w:noProof/>
            <w:webHidden/>
          </w:rPr>
          <w:fldChar w:fldCharType="separate"/>
        </w:r>
        <w:r w:rsidR="00D04B3A">
          <w:rPr>
            <w:noProof/>
            <w:webHidden/>
          </w:rPr>
          <w:t>5</w:t>
        </w:r>
        <w:r w:rsidR="0088786D">
          <w:rPr>
            <w:noProof/>
            <w:webHidden/>
          </w:rPr>
          <w:fldChar w:fldCharType="end"/>
        </w:r>
      </w:hyperlink>
    </w:p>
    <w:p w:rsidR="0088786D" w:rsidRDefault="0055176D">
      <w:pPr>
        <w:pStyle w:val="TOC2"/>
        <w:tabs>
          <w:tab w:val="right" w:leader="dot" w:pos="9350"/>
        </w:tabs>
        <w:rPr>
          <w:noProof/>
          <w:sz w:val="22"/>
        </w:rPr>
      </w:pPr>
      <w:hyperlink w:anchor="_Toc457553245" w:history="1">
        <w:r w:rsidR="0088786D" w:rsidRPr="00E10AB5">
          <w:rPr>
            <w:rStyle w:val="Hyperlink"/>
            <w:noProof/>
          </w:rPr>
          <w:t>Jurisdictional Scan and Analysis</w:t>
        </w:r>
        <w:r w:rsidR="0088786D">
          <w:rPr>
            <w:noProof/>
            <w:webHidden/>
          </w:rPr>
          <w:tab/>
        </w:r>
        <w:r w:rsidR="0088786D">
          <w:rPr>
            <w:noProof/>
            <w:webHidden/>
          </w:rPr>
          <w:fldChar w:fldCharType="begin"/>
        </w:r>
        <w:r w:rsidR="0088786D">
          <w:rPr>
            <w:noProof/>
            <w:webHidden/>
          </w:rPr>
          <w:instrText xml:space="preserve"> PAGEREF _Toc457553245 \h </w:instrText>
        </w:r>
        <w:r w:rsidR="0088786D">
          <w:rPr>
            <w:noProof/>
            <w:webHidden/>
          </w:rPr>
        </w:r>
        <w:r w:rsidR="0088786D">
          <w:rPr>
            <w:noProof/>
            <w:webHidden/>
          </w:rPr>
          <w:fldChar w:fldCharType="separate"/>
        </w:r>
        <w:r w:rsidR="00D04B3A">
          <w:rPr>
            <w:noProof/>
            <w:webHidden/>
          </w:rPr>
          <w:t>6</w:t>
        </w:r>
        <w:r w:rsidR="0088786D">
          <w:rPr>
            <w:noProof/>
            <w:webHidden/>
          </w:rPr>
          <w:fldChar w:fldCharType="end"/>
        </w:r>
      </w:hyperlink>
    </w:p>
    <w:p w:rsidR="0088786D" w:rsidRDefault="0055176D">
      <w:pPr>
        <w:pStyle w:val="TOC2"/>
        <w:tabs>
          <w:tab w:val="right" w:leader="dot" w:pos="9350"/>
        </w:tabs>
        <w:rPr>
          <w:noProof/>
          <w:sz w:val="22"/>
        </w:rPr>
      </w:pPr>
      <w:hyperlink w:anchor="_Toc457553246" w:history="1">
        <w:r w:rsidR="0088786D" w:rsidRPr="00E10AB5">
          <w:rPr>
            <w:rStyle w:val="Hyperlink"/>
            <w:noProof/>
          </w:rPr>
          <w:t>Literature Review</w:t>
        </w:r>
        <w:r w:rsidR="0088786D">
          <w:rPr>
            <w:noProof/>
            <w:webHidden/>
          </w:rPr>
          <w:tab/>
        </w:r>
        <w:r w:rsidR="0088786D">
          <w:rPr>
            <w:noProof/>
            <w:webHidden/>
          </w:rPr>
          <w:fldChar w:fldCharType="begin"/>
        </w:r>
        <w:r w:rsidR="0088786D">
          <w:rPr>
            <w:noProof/>
            <w:webHidden/>
          </w:rPr>
          <w:instrText xml:space="preserve"> PAGEREF _Toc457553246 \h </w:instrText>
        </w:r>
        <w:r w:rsidR="0088786D">
          <w:rPr>
            <w:noProof/>
            <w:webHidden/>
          </w:rPr>
        </w:r>
        <w:r w:rsidR="0088786D">
          <w:rPr>
            <w:noProof/>
            <w:webHidden/>
          </w:rPr>
          <w:fldChar w:fldCharType="separate"/>
        </w:r>
        <w:r w:rsidR="00D04B3A">
          <w:rPr>
            <w:noProof/>
            <w:webHidden/>
          </w:rPr>
          <w:t>7</w:t>
        </w:r>
        <w:r w:rsidR="0088786D">
          <w:rPr>
            <w:noProof/>
            <w:webHidden/>
          </w:rPr>
          <w:fldChar w:fldCharType="end"/>
        </w:r>
      </w:hyperlink>
    </w:p>
    <w:p w:rsidR="0088786D" w:rsidRDefault="0055176D">
      <w:pPr>
        <w:pStyle w:val="TOC2"/>
        <w:tabs>
          <w:tab w:val="right" w:leader="dot" w:pos="9350"/>
        </w:tabs>
        <w:rPr>
          <w:noProof/>
          <w:sz w:val="22"/>
        </w:rPr>
      </w:pPr>
      <w:hyperlink w:anchor="_Toc457553247" w:history="1">
        <w:r w:rsidR="0088786D" w:rsidRPr="00E10AB5">
          <w:rPr>
            <w:rStyle w:val="Hyperlink"/>
            <w:noProof/>
          </w:rPr>
          <w:t>Emerging Trends and Issues</w:t>
        </w:r>
        <w:r w:rsidR="0088786D">
          <w:rPr>
            <w:noProof/>
            <w:webHidden/>
          </w:rPr>
          <w:tab/>
        </w:r>
        <w:r w:rsidR="0088786D">
          <w:rPr>
            <w:noProof/>
            <w:webHidden/>
          </w:rPr>
          <w:fldChar w:fldCharType="begin"/>
        </w:r>
        <w:r w:rsidR="0088786D">
          <w:rPr>
            <w:noProof/>
            <w:webHidden/>
          </w:rPr>
          <w:instrText xml:space="preserve"> PAGEREF _Toc457553247 \h </w:instrText>
        </w:r>
        <w:r w:rsidR="0088786D">
          <w:rPr>
            <w:noProof/>
            <w:webHidden/>
          </w:rPr>
        </w:r>
        <w:r w:rsidR="0088786D">
          <w:rPr>
            <w:noProof/>
            <w:webHidden/>
          </w:rPr>
          <w:fldChar w:fldCharType="separate"/>
        </w:r>
        <w:r w:rsidR="00D04B3A">
          <w:rPr>
            <w:noProof/>
            <w:webHidden/>
          </w:rPr>
          <w:t>8</w:t>
        </w:r>
        <w:r w:rsidR="0088786D">
          <w:rPr>
            <w:noProof/>
            <w:webHidden/>
          </w:rPr>
          <w:fldChar w:fldCharType="end"/>
        </w:r>
      </w:hyperlink>
    </w:p>
    <w:p w:rsidR="0088786D" w:rsidRDefault="0055176D">
      <w:pPr>
        <w:pStyle w:val="TOC2"/>
        <w:tabs>
          <w:tab w:val="right" w:leader="dot" w:pos="9350"/>
        </w:tabs>
        <w:rPr>
          <w:noProof/>
          <w:sz w:val="22"/>
        </w:rPr>
      </w:pPr>
      <w:hyperlink w:anchor="_Toc457553248" w:history="1">
        <w:r w:rsidR="0088786D" w:rsidRPr="00E10AB5">
          <w:rPr>
            <w:rStyle w:val="Hyperlink"/>
            <w:noProof/>
          </w:rPr>
          <w:t>Industry Leaders and Experts</w:t>
        </w:r>
        <w:r w:rsidR="0088786D">
          <w:rPr>
            <w:noProof/>
            <w:webHidden/>
          </w:rPr>
          <w:tab/>
        </w:r>
        <w:r w:rsidR="0088786D">
          <w:rPr>
            <w:noProof/>
            <w:webHidden/>
          </w:rPr>
          <w:fldChar w:fldCharType="begin"/>
        </w:r>
        <w:r w:rsidR="0088786D">
          <w:rPr>
            <w:noProof/>
            <w:webHidden/>
          </w:rPr>
          <w:instrText xml:space="preserve"> PAGEREF _Toc457553248 \h </w:instrText>
        </w:r>
        <w:r w:rsidR="0088786D">
          <w:rPr>
            <w:noProof/>
            <w:webHidden/>
          </w:rPr>
        </w:r>
        <w:r w:rsidR="0088786D">
          <w:rPr>
            <w:noProof/>
            <w:webHidden/>
          </w:rPr>
          <w:fldChar w:fldCharType="separate"/>
        </w:r>
        <w:r w:rsidR="00D04B3A">
          <w:rPr>
            <w:noProof/>
            <w:webHidden/>
          </w:rPr>
          <w:t>8</w:t>
        </w:r>
        <w:r w:rsidR="0088786D">
          <w:rPr>
            <w:noProof/>
            <w:webHidden/>
          </w:rPr>
          <w:fldChar w:fldCharType="end"/>
        </w:r>
      </w:hyperlink>
    </w:p>
    <w:p w:rsidR="0088786D" w:rsidRDefault="0055176D">
      <w:pPr>
        <w:pStyle w:val="TOC2"/>
        <w:tabs>
          <w:tab w:val="right" w:leader="dot" w:pos="9350"/>
        </w:tabs>
        <w:rPr>
          <w:noProof/>
          <w:sz w:val="22"/>
        </w:rPr>
      </w:pPr>
      <w:hyperlink w:anchor="_Toc457553249" w:history="1">
        <w:r w:rsidR="0088786D" w:rsidRPr="00E10AB5">
          <w:rPr>
            <w:rStyle w:val="Hyperlink"/>
            <w:noProof/>
          </w:rPr>
          <w:t>Leading Practices</w:t>
        </w:r>
        <w:r w:rsidR="0088786D">
          <w:rPr>
            <w:noProof/>
            <w:webHidden/>
          </w:rPr>
          <w:tab/>
        </w:r>
        <w:r w:rsidR="0088786D">
          <w:rPr>
            <w:noProof/>
            <w:webHidden/>
          </w:rPr>
          <w:fldChar w:fldCharType="begin"/>
        </w:r>
        <w:r w:rsidR="0088786D">
          <w:rPr>
            <w:noProof/>
            <w:webHidden/>
          </w:rPr>
          <w:instrText xml:space="preserve"> PAGEREF _Toc457553249 \h </w:instrText>
        </w:r>
        <w:r w:rsidR="0088786D">
          <w:rPr>
            <w:noProof/>
            <w:webHidden/>
          </w:rPr>
        </w:r>
        <w:r w:rsidR="0088786D">
          <w:rPr>
            <w:noProof/>
            <w:webHidden/>
          </w:rPr>
          <w:fldChar w:fldCharType="separate"/>
        </w:r>
        <w:r w:rsidR="00D04B3A">
          <w:rPr>
            <w:noProof/>
            <w:webHidden/>
          </w:rPr>
          <w:t>9</w:t>
        </w:r>
        <w:r w:rsidR="0088786D">
          <w:rPr>
            <w:noProof/>
            <w:webHidden/>
          </w:rPr>
          <w:fldChar w:fldCharType="end"/>
        </w:r>
      </w:hyperlink>
    </w:p>
    <w:p w:rsidR="0088786D" w:rsidRDefault="0055176D">
      <w:pPr>
        <w:pStyle w:val="TOC2"/>
        <w:tabs>
          <w:tab w:val="right" w:leader="dot" w:pos="9350"/>
        </w:tabs>
        <w:rPr>
          <w:noProof/>
          <w:sz w:val="22"/>
        </w:rPr>
      </w:pPr>
      <w:hyperlink w:anchor="_Toc457553250" w:history="1">
        <w:r w:rsidR="0088786D" w:rsidRPr="00E10AB5">
          <w:rPr>
            <w:rStyle w:val="Hyperlink"/>
            <w:noProof/>
          </w:rPr>
          <w:t>Conclusion</w:t>
        </w:r>
        <w:r w:rsidR="0088786D">
          <w:rPr>
            <w:noProof/>
            <w:webHidden/>
          </w:rPr>
          <w:tab/>
        </w:r>
        <w:r w:rsidR="0088786D">
          <w:rPr>
            <w:noProof/>
            <w:webHidden/>
          </w:rPr>
          <w:fldChar w:fldCharType="begin"/>
        </w:r>
        <w:r w:rsidR="0088786D">
          <w:rPr>
            <w:noProof/>
            <w:webHidden/>
          </w:rPr>
          <w:instrText xml:space="preserve"> PAGEREF _Toc457553250 \h </w:instrText>
        </w:r>
        <w:r w:rsidR="0088786D">
          <w:rPr>
            <w:noProof/>
            <w:webHidden/>
          </w:rPr>
        </w:r>
        <w:r w:rsidR="0088786D">
          <w:rPr>
            <w:noProof/>
            <w:webHidden/>
          </w:rPr>
          <w:fldChar w:fldCharType="separate"/>
        </w:r>
        <w:r w:rsidR="00D04B3A">
          <w:rPr>
            <w:noProof/>
            <w:webHidden/>
          </w:rPr>
          <w:t>9</w:t>
        </w:r>
        <w:r w:rsidR="0088786D">
          <w:rPr>
            <w:noProof/>
            <w:webHidden/>
          </w:rPr>
          <w:fldChar w:fldCharType="end"/>
        </w:r>
      </w:hyperlink>
    </w:p>
    <w:p w:rsidR="0088786D" w:rsidRDefault="0055176D">
      <w:pPr>
        <w:pStyle w:val="TOC1"/>
        <w:tabs>
          <w:tab w:val="right" w:leader="dot" w:pos="9350"/>
        </w:tabs>
        <w:rPr>
          <w:noProof/>
          <w:sz w:val="22"/>
        </w:rPr>
      </w:pPr>
      <w:hyperlink w:anchor="_Toc457553251" w:history="1">
        <w:r w:rsidR="0088786D" w:rsidRPr="00E10AB5">
          <w:rPr>
            <w:rStyle w:val="Hyperlink"/>
            <w:noProof/>
          </w:rPr>
          <w:t>2. Introduction</w:t>
        </w:r>
        <w:r w:rsidR="0088786D">
          <w:rPr>
            <w:noProof/>
            <w:webHidden/>
          </w:rPr>
          <w:tab/>
        </w:r>
        <w:r w:rsidR="0088786D">
          <w:rPr>
            <w:noProof/>
            <w:webHidden/>
          </w:rPr>
          <w:fldChar w:fldCharType="begin"/>
        </w:r>
        <w:r w:rsidR="0088786D">
          <w:rPr>
            <w:noProof/>
            <w:webHidden/>
          </w:rPr>
          <w:instrText xml:space="preserve"> PAGEREF _Toc457553251 \h </w:instrText>
        </w:r>
        <w:r w:rsidR="0088786D">
          <w:rPr>
            <w:noProof/>
            <w:webHidden/>
          </w:rPr>
        </w:r>
        <w:r w:rsidR="0088786D">
          <w:rPr>
            <w:noProof/>
            <w:webHidden/>
          </w:rPr>
          <w:fldChar w:fldCharType="separate"/>
        </w:r>
        <w:r w:rsidR="00D04B3A">
          <w:rPr>
            <w:noProof/>
            <w:webHidden/>
          </w:rPr>
          <w:t>10</w:t>
        </w:r>
        <w:r w:rsidR="0088786D">
          <w:rPr>
            <w:noProof/>
            <w:webHidden/>
          </w:rPr>
          <w:fldChar w:fldCharType="end"/>
        </w:r>
      </w:hyperlink>
    </w:p>
    <w:p w:rsidR="0088786D" w:rsidRDefault="0055176D">
      <w:pPr>
        <w:pStyle w:val="TOC2"/>
        <w:tabs>
          <w:tab w:val="right" w:leader="dot" w:pos="9350"/>
        </w:tabs>
        <w:rPr>
          <w:noProof/>
          <w:sz w:val="22"/>
        </w:rPr>
      </w:pPr>
      <w:hyperlink w:anchor="_Toc457553252" w:history="1">
        <w:r w:rsidR="0088786D" w:rsidRPr="00E10AB5">
          <w:rPr>
            <w:rStyle w:val="Hyperlink"/>
            <w:noProof/>
            <w:lang w:val="en-US"/>
          </w:rPr>
          <w:t>2.1 Purpose of this Final Report</w:t>
        </w:r>
        <w:r w:rsidR="0088786D">
          <w:rPr>
            <w:noProof/>
            <w:webHidden/>
          </w:rPr>
          <w:tab/>
        </w:r>
        <w:r w:rsidR="0088786D">
          <w:rPr>
            <w:noProof/>
            <w:webHidden/>
          </w:rPr>
          <w:fldChar w:fldCharType="begin"/>
        </w:r>
        <w:r w:rsidR="0088786D">
          <w:rPr>
            <w:noProof/>
            <w:webHidden/>
          </w:rPr>
          <w:instrText xml:space="preserve"> PAGEREF _Toc457553252 \h </w:instrText>
        </w:r>
        <w:r w:rsidR="0088786D">
          <w:rPr>
            <w:noProof/>
            <w:webHidden/>
          </w:rPr>
        </w:r>
        <w:r w:rsidR="0088786D">
          <w:rPr>
            <w:noProof/>
            <w:webHidden/>
          </w:rPr>
          <w:fldChar w:fldCharType="separate"/>
        </w:r>
        <w:r w:rsidR="00D04B3A">
          <w:rPr>
            <w:noProof/>
            <w:webHidden/>
          </w:rPr>
          <w:t>10</w:t>
        </w:r>
        <w:r w:rsidR="0088786D">
          <w:rPr>
            <w:noProof/>
            <w:webHidden/>
          </w:rPr>
          <w:fldChar w:fldCharType="end"/>
        </w:r>
      </w:hyperlink>
    </w:p>
    <w:p w:rsidR="0088786D" w:rsidRDefault="0055176D">
      <w:pPr>
        <w:pStyle w:val="TOC2"/>
        <w:tabs>
          <w:tab w:val="right" w:leader="dot" w:pos="9350"/>
        </w:tabs>
        <w:rPr>
          <w:noProof/>
          <w:sz w:val="22"/>
        </w:rPr>
      </w:pPr>
      <w:hyperlink w:anchor="_Toc457553253" w:history="1">
        <w:r w:rsidR="0088786D" w:rsidRPr="00E10AB5">
          <w:rPr>
            <w:rStyle w:val="Hyperlink"/>
            <w:noProof/>
            <w:lang w:val="en-US"/>
          </w:rPr>
          <w:t>2.2 Background and Context</w:t>
        </w:r>
        <w:r w:rsidR="0088786D">
          <w:rPr>
            <w:noProof/>
            <w:webHidden/>
          </w:rPr>
          <w:tab/>
        </w:r>
        <w:r w:rsidR="0088786D">
          <w:rPr>
            <w:noProof/>
            <w:webHidden/>
          </w:rPr>
          <w:fldChar w:fldCharType="begin"/>
        </w:r>
        <w:r w:rsidR="0088786D">
          <w:rPr>
            <w:noProof/>
            <w:webHidden/>
          </w:rPr>
          <w:instrText xml:space="preserve"> PAGEREF _Toc457553253 \h </w:instrText>
        </w:r>
        <w:r w:rsidR="0088786D">
          <w:rPr>
            <w:noProof/>
            <w:webHidden/>
          </w:rPr>
        </w:r>
        <w:r w:rsidR="0088786D">
          <w:rPr>
            <w:noProof/>
            <w:webHidden/>
          </w:rPr>
          <w:fldChar w:fldCharType="separate"/>
        </w:r>
        <w:r w:rsidR="00D04B3A">
          <w:rPr>
            <w:noProof/>
            <w:webHidden/>
          </w:rPr>
          <w:t>10</w:t>
        </w:r>
        <w:r w:rsidR="0088786D">
          <w:rPr>
            <w:noProof/>
            <w:webHidden/>
          </w:rPr>
          <w:fldChar w:fldCharType="end"/>
        </w:r>
      </w:hyperlink>
    </w:p>
    <w:p w:rsidR="0088786D" w:rsidRDefault="0055176D">
      <w:pPr>
        <w:pStyle w:val="TOC2"/>
        <w:tabs>
          <w:tab w:val="right" w:leader="dot" w:pos="9350"/>
        </w:tabs>
        <w:rPr>
          <w:noProof/>
          <w:sz w:val="22"/>
        </w:rPr>
      </w:pPr>
      <w:hyperlink w:anchor="_Toc457553254" w:history="1">
        <w:r w:rsidR="0088786D" w:rsidRPr="00E10AB5">
          <w:rPr>
            <w:rStyle w:val="Hyperlink"/>
            <w:noProof/>
            <w:lang w:val="en-US"/>
          </w:rPr>
          <w:t>2.3 Objectives and Scope of the Engagement</w:t>
        </w:r>
        <w:r w:rsidR="0088786D">
          <w:rPr>
            <w:noProof/>
            <w:webHidden/>
          </w:rPr>
          <w:tab/>
        </w:r>
        <w:r w:rsidR="0088786D">
          <w:rPr>
            <w:noProof/>
            <w:webHidden/>
          </w:rPr>
          <w:fldChar w:fldCharType="begin"/>
        </w:r>
        <w:r w:rsidR="0088786D">
          <w:rPr>
            <w:noProof/>
            <w:webHidden/>
          </w:rPr>
          <w:instrText xml:space="preserve"> PAGEREF _Toc457553254 \h </w:instrText>
        </w:r>
        <w:r w:rsidR="0088786D">
          <w:rPr>
            <w:noProof/>
            <w:webHidden/>
          </w:rPr>
        </w:r>
        <w:r w:rsidR="0088786D">
          <w:rPr>
            <w:noProof/>
            <w:webHidden/>
          </w:rPr>
          <w:fldChar w:fldCharType="separate"/>
        </w:r>
        <w:r w:rsidR="00D04B3A">
          <w:rPr>
            <w:noProof/>
            <w:webHidden/>
          </w:rPr>
          <w:t>11</w:t>
        </w:r>
        <w:r w:rsidR="0088786D">
          <w:rPr>
            <w:noProof/>
            <w:webHidden/>
          </w:rPr>
          <w:fldChar w:fldCharType="end"/>
        </w:r>
      </w:hyperlink>
    </w:p>
    <w:p w:rsidR="0088786D" w:rsidRDefault="0055176D">
      <w:pPr>
        <w:pStyle w:val="TOC2"/>
        <w:tabs>
          <w:tab w:val="right" w:leader="dot" w:pos="9350"/>
        </w:tabs>
        <w:rPr>
          <w:noProof/>
          <w:sz w:val="22"/>
        </w:rPr>
      </w:pPr>
      <w:hyperlink w:anchor="_Toc457553255" w:history="1">
        <w:r w:rsidR="0088786D" w:rsidRPr="00E10AB5">
          <w:rPr>
            <w:rStyle w:val="Hyperlink"/>
            <w:noProof/>
            <w:lang w:val="en-US"/>
          </w:rPr>
          <w:t>2.4 Methodology</w:t>
        </w:r>
        <w:r w:rsidR="0088786D">
          <w:rPr>
            <w:noProof/>
            <w:webHidden/>
          </w:rPr>
          <w:tab/>
        </w:r>
        <w:r w:rsidR="0088786D">
          <w:rPr>
            <w:noProof/>
            <w:webHidden/>
          </w:rPr>
          <w:fldChar w:fldCharType="begin"/>
        </w:r>
        <w:r w:rsidR="0088786D">
          <w:rPr>
            <w:noProof/>
            <w:webHidden/>
          </w:rPr>
          <w:instrText xml:space="preserve"> PAGEREF _Toc457553255 \h </w:instrText>
        </w:r>
        <w:r w:rsidR="0088786D">
          <w:rPr>
            <w:noProof/>
            <w:webHidden/>
          </w:rPr>
        </w:r>
        <w:r w:rsidR="0088786D">
          <w:rPr>
            <w:noProof/>
            <w:webHidden/>
          </w:rPr>
          <w:fldChar w:fldCharType="separate"/>
        </w:r>
        <w:r w:rsidR="00D04B3A">
          <w:rPr>
            <w:noProof/>
            <w:webHidden/>
          </w:rPr>
          <w:t>14</w:t>
        </w:r>
        <w:r w:rsidR="0088786D">
          <w:rPr>
            <w:noProof/>
            <w:webHidden/>
          </w:rPr>
          <w:fldChar w:fldCharType="end"/>
        </w:r>
      </w:hyperlink>
    </w:p>
    <w:p w:rsidR="0088786D" w:rsidRDefault="0055176D">
      <w:pPr>
        <w:pStyle w:val="TOC1"/>
        <w:tabs>
          <w:tab w:val="right" w:leader="dot" w:pos="9350"/>
        </w:tabs>
        <w:rPr>
          <w:noProof/>
          <w:sz w:val="22"/>
        </w:rPr>
      </w:pPr>
      <w:hyperlink w:anchor="_Toc457553256" w:history="1">
        <w:r w:rsidR="0088786D" w:rsidRPr="00E10AB5">
          <w:rPr>
            <w:rStyle w:val="Hyperlink"/>
            <w:noProof/>
          </w:rPr>
          <w:t>3. Jurisdictional Scan – Healthcare</w:t>
        </w:r>
        <w:r w:rsidR="0088786D">
          <w:rPr>
            <w:noProof/>
            <w:webHidden/>
          </w:rPr>
          <w:tab/>
        </w:r>
        <w:r w:rsidR="0088786D">
          <w:rPr>
            <w:noProof/>
            <w:webHidden/>
          </w:rPr>
          <w:fldChar w:fldCharType="begin"/>
        </w:r>
        <w:r w:rsidR="0088786D">
          <w:rPr>
            <w:noProof/>
            <w:webHidden/>
          </w:rPr>
          <w:instrText xml:space="preserve"> PAGEREF _Toc457553256 \h </w:instrText>
        </w:r>
        <w:r w:rsidR="0088786D">
          <w:rPr>
            <w:noProof/>
            <w:webHidden/>
          </w:rPr>
        </w:r>
        <w:r w:rsidR="0088786D">
          <w:rPr>
            <w:noProof/>
            <w:webHidden/>
          </w:rPr>
          <w:fldChar w:fldCharType="separate"/>
        </w:r>
        <w:r w:rsidR="00D04B3A">
          <w:rPr>
            <w:noProof/>
            <w:webHidden/>
          </w:rPr>
          <w:t>17</w:t>
        </w:r>
        <w:r w:rsidR="0088786D">
          <w:rPr>
            <w:noProof/>
            <w:webHidden/>
          </w:rPr>
          <w:fldChar w:fldCharType="end"/>
        </w:r>
      </w:hyperlink>
    </w:p>
    <w:p w:rsidR="0088786D" w:rsidRDefault="0055176D">
      <w:pPr>
        <w:pStyle w:val="TOC2"/>
        <w:tabs>
          <w:tab w:val="right" w:leader="dot" w:pos="9350"/>
        </w:tabs>
        <w:rPr>
          <w:noProof/>
          <w:sz w:val="22"/>
        </w:rPr>
      </w:pPr>
      <w:hyperlink w:anchor="_Toc457553257" w:history="1">
        <w:r w:rsidR="0088786D" w:rsidRPr="00E10AB5">
          <w:rPr>
            <w:rStyle w:val="Hyperlink"/>
            <w:noProof/>
          </w:rPr>
          <w:t>3.1 Summary of Research</w:t>
        </w:r>
        <w:r w:rsidR="0088786D">
          <w:rPr>
            <w:noProof/>
            <w:webHidden/>
          </w:rPr>
          <w:tab/>
        </w:r>
        <w:r w:rsidR="0088786D">
          <w:rPr>
            <w:noProof/>
            <w:webHidden/>
          </w:rPr>
          <w:fldChar w:fldCharType="begin"/>
        </w:r>
        <w:r w:rsidR="0088786D">
          <w:rPr>
            <w:noProof/>
            <w:webHidden/>
          </w:rPr>
          <w:instrText xml:space="preserve"> PAGEREF _Toc457553257 \h </w:instrText>
        </w:r>
        <w:r w:rsidR="0088786D">
          <w:rPr>
            <w:noProof/>
            <w:webHidden/>
          </w:rPr>
        </w:r>
        <w:r w:rsidR="0088786D">
          <w:rPr>
            <w:noProof/>
            <w:webHidden/>
          </w:rPr>
          <w:fldChar w:fldCharType="separate"/>
        </w:r>
        <w:r w:rsidR="00D04B3A">
          <w:rPr>
            <w:noProof/>
            <w:webHidden/>
          </w:rPr>
          <w:t>19</w:t>
        </w:r>
        <w:r w:rsidR="0088786D">
          <w:rPr>
            <w:noProof/>
            <w:webHidden/>
          </w:rPr>
          <w:fldChar w:fldCharType="end"/>
        </w:r>
      </w:hyperlink>
    </w:p>
    <w:p w:rsidR="0088786D" w:rsidRDefault="0055176D">
      <w:pPr>
        <w:pStyle w:val="TOC2"/>
        <w:tabs>
          <w:tab w:val="right" w:leader="dot" w:pos="9350"/>
        </w:tabs>
        <w:rPr>
          <w:noProof/>
          <w:sz w:val="22"/>
        </w:rPr>
      </w:pPr>
      <w:hyperlink w:anchor="_Toc457553258" w:history="1">
        <w:r w:rsidR="0088786D" w:rsidRPr="00E10AB5">
          <w:rPr>
            <w:rStyle w:val="Hyperlink"/>
            <w:noProof/>
          </w:rPr>
          <w:t>3.2 Ontario’s Relative Position</w:t>
        </w:r>
        <w:r w:rsidR="0088786D">
          <w:rPr>
            <w:noProof/>
            <w:webHidden/>
          </w:rPr>
          <w:tab/>
        </w:r>
        <w:r w:rsidR="0088786D">
          <w:rPr>
            <w:noProof/>
            <w:webHidden/>
          </w:rPr>
          <w:fldChar w:fldCharType="begin"/>
        </w:r>
        <w:r w:rsidR="0088786D">
          <w:rPr>
            <w:noProof/>
            <w:webHidden/>
          </w:rPr>
          <w:instrText xml:space="preserve"> PAGEREF _Toc457553258 \h </w:instrText>
        </w:r>
        <w:r w:rsidR="0088786D">
          <w:rPr>
            <w:noProof/>
            <w:webHidden/>
          </w:rPr>
        </w:r>
        <w:r w:rsidR="0088786D">
          <w:rPr>
            <w:noProof/>
            <w:webHidden/>
          </w:rPr>
          <w:fldChar w:fldCharType="separate"/>
        </w:r>
        <w:r w:rsidR="00D04B3A">
          <w:rPr>
            <w:noProof/>
            <w:webHidden/>
          </w:rPr>
          <w:t>50</w:t>
        </w:r>
        <w:r w:rsidR="0088786D">
          <w:rPr>
            <w:noProof/>
            <w:webHidden/>
          </w:rPr>
          <w:fldChar w:fldCharType="end"/>
        </w:r>
      </w:hyperlink>
    </w:p>
    <w:p w:rsidR="0088786D" w:rsidRDefault="0055176D">
      <w:pPr>
        <w:pStyle w:val="TOC1"/>
        <w:tabs>
          <w:tab w:val="right" w:leader="dot" w:pos="9350"/>
        </w:tabs>
        <w:rPr>
          <w:noProof/>
          <w:sz w:val="22"/>
        </w:rPr>
      </w:pPr>
      <w:hyperlink w:anchor="_Toc457553259" w:history="1">
        <w:r w:rsidR="0088786D" w:rsidRPr="00E10AB5">
          <w:rPr>
            <w:rStyle w:val="Hyperlink"/>
            <w:noProof/>
          </w:rPr>
          <w:t>4. Literature Review</w:t>
        </w:r>
        <w:r w:rsidR="0088786D">
          <w:rPr>
            <w:noProof/>
            <w:webHidden/>
          </w:rPr>
          <w:tab/>
        </w:r>
        <w:r w:rsidR="0088786D">
          <w:rPr>
            <w:noProof/>
            <w:webHidden/>
          </w:rPr>
          <w:fldChar w:fldCharType="begin"/>
        </w:r>
        <w:r w:rsidR="0088786D">
          <w:rPr>
            <w:noProof/>
            <w:webHidden/>
          </w:rPr>
          <w:instrText xml:space="preserve"> PAGEREF _Toc457553259 \h </w:instrText>
        </w:r>
        <w:r w:rsidR="0088786D">
          <w:rPr>
            <w:noProof/>
            <w:webHidden/>
          </w:rPr>
        </w:r>
        <w:r w:rsidR="0088786D">
          <w:rPr>
            <w:noProof/>
            <w:webHidden/>
          </w:rPr>
          <w:fldChar w:fldCharType="separate"/>
        </w:r>
        <w:r w:rsidR="00D04B3A">
          <w:rPr>
            <w:noProof/>
            <w:webHidden/>
          </w:rPr>
          <w:t>62</w:t>
        </w:r>
        <w:r w:rsidR="0088786D">
          <w:rPr>
            <w:noProof/>
            <w:webHidden/>
          </w:rPr>
          <w:fldChar w:fldCharType="end"/>
        </w:r>
      </w:hyperlink>
    </w:p>
    <w:p w:rsidR="0088786D" w:rsidRDefault="0055176D">
      <w:pPr>
        <w:pStyle w:val="TOC2"/>
        <w:tabs>
          <w:tab w:val="right" w:leader="dot" w:pos="9350"/>
        </w:tabs>
        <w:rPr>
          <w:noProof/>
          <w:sz w:val="22"/>
        </w:rPr>
      </w:pPr>
      <w:hyperlink w:anchor="_Toc457553260" w:history="1">
        <w:r w:rsidR="0088786D" w:rsidRPr="00E10AB5">
          <w:rPr>
            <w:rStyle w:val="Hyperlink"/>
            <w:noProof/>
          </w:rPr>
          <w:t>Transitioning between providers</w:t>
        </w:r>
        <w:r w:rsidR="0088786D">
          <w:rPr>
            <w:noProof/>
            <w:webHidden/>
          </w:rPr>
          <w:tab/>
        </w:r>
        <w:r w:rsidR="0088786D">
          <w:rPr>
            <w:noProof/>
            <w:webHidden/>
          </w:rPr>
          <w:fldChar w:fldCharType="begin"/>
        </w:r>
        <w:r w:rsidR="0088786D">
          <w:rPr>
            <w:noProof/>
            <w:webHidden/>
          </w:rPr>
          <w:instrText xml:space="preserve"> PAGEREF _Toc457553260 \h </w:instrText>
        </w:r>
        <w:r w:rsidR="0088786D">
          <w:rPr>
            <w:noProof/>
            <w:webHidden/>
          </w:rPr>
        </w:r>
        <w:r w:rsidR="0088786D">
          <w:rPr>
            <w:noProof/>
            <w:webHidden/>
          </w:rPr>
          <w:fldChar w:fldCharType="separate"/>
        </w:r>
        <w:r w:rsidR="00D04B3A">
          <w:rPr>
            <w:noProof/>
            <w:webHidden/>
          </w:rPr>
          <w:t>63</w:t>
        </w:r>
        <w:r w:rsidR="0088786D">
          <w:rPr>
            <w:noProof/>
            <w:webHidden/>
          </w:rPr>
          <w:fldChar w:fldCharType="end"/>
        </w:r>
      </w:hyperlink>
    </w:p>
    <w:p w:rsidR="0088786D" w:rsidRDefault="0055176D">
      <w:pPr>
        <w:pStyle w:val="TOC2"/>
        <w:tabs>
          <w:tab w:val="right" w:leader="dot" w:pos="9350"/>
        </w:tabs>
        <w:rPr>
          <w:noProof/>
          <w:sz w:val="22"/>
        </w:rPr>
      </w:pPr>
      <w:hyperlink w:anchor="_Toc457553261" w:history="1">
        <w:r w:rsidR="0088786D" w:rsidRPr="00E10AB5">
          <w:rPr>
            <w:rStyle w:val="Hyperlink"/>
            <w:noProof/>
          </w:rPr>
          <w:t>Trust barriers, insensitivities, negative experiences, and discrimination</w:t>
        </w:r>
        <w:r w:rsidR="0088786D">
          <w:rPr>
            <w:noProof/>
            <w:webHidden/>
          </w:rPr>
          <w:tab/>
        </w:r>
        <w:r w:rsidR="0088786D">
          <w:rPr>
            <w:noProof/>
            <w:webHidden/>
          </w:rPr>
          <w:fldChar w:fldCharType="begin"/>
        </w:r>
        <w:r w:rsidR="0088786D">
          <w:rPr>
            <w:noProof/>
            <w:webHidden/>
          </w:rPr>
          <w:instrText xml:space="preserve"> PAGEREF _Toc457553261 \h </w:instrText>
        </w:r>
        <w:r w:rsidR="0088786D">
          <w:rPr>
            <w:noProof/>
            <w:webHidden/>
          </w:rPr>
        </w:r>
        <w:r w:rsidR="0088786D">
          <w:rPr>
            <w:noProof/>
            <w:webHidden/>
          </w:rPr>
          <w:fldChar w:fldCharType="separate"/>
        </w:r>
        <w:r w:rsidR="00D04B3A">
          <w:rPr>
            <w:noProof/>
            <w:webHidden/>
          </w:rPr>
          <w:t>63</w:t>
        </w:r>
        <w:r w:rsidR="0088786D">
          <w:rPr>
            <w:noProof/>
            <w:webHidden/>
          </w:rPr>
          <w:fldChar w:fldCharType="end"/>
        </w:r>
      </w:hyperlink>
    </w:p>
    <w:p w:rsidR="0088786D" w:rsidRDefault="0055176D">
      <w:pPr>
        <w:pStyle w:val="TOC2"/>
        <w:tabs>
          <w:tab w:val="right" w:leader="dot" w:pos="9350"/>
        </w:tabs>
        <w:rPr>
          <w:noProof/>
          <w:sz w:val="22"/>
        </w:rPr>
      </w:pPr>
      <w:hyperlink w:anchor="_Toc457553262" w:history="1">
        <w:r w:rsidR="0088786D" w:rsidRPr="00E10AB5">
          <w:rPr>
            <w:rStyle w:val="Hyperlink"/>
            <w:noProof/>
          </w:rPr>
          <w:t>Communication issues</w:t>
        </w:r>
        <w:r w:rsidR="0088786D">
          <w:rPr>
            <w:noProof/>
            <w:webHidden/>
          </w:rPr>
          <w:tab/>
        </w:r>
        <w:r w:rsidR="0088786D">
          <w:rPr>
            <w:noProof/>
            <w:webHidden/>
          </w:rPr>
          <w:fldChar w:fldCharType="begin"/>
        </w:r>
        <w:r w:rsidR="0088786D">
          <w:rPr>
            <w:noProof/>
            <w:webHidden/>
          </w:rPr>
          <w:instrText xml:space="preserve"> PAGEREF _Toc457553262 \h </w:instrText>
        </w:r>
        <w:r w:rsidR="0088786D">
          <w:rPr>
            <w:noProof/>
            <w:webHidden/>
          </w:rPr>
        </w:r>
        <w:r w:rsidR="0088786D">
          <w:rPr>
            <w:noProof/>
            <w:webHidden/>
          </w:rPr>
          <w:fldChar w:fldCharType="separate"/>
        </w:r>
        <w:r w:rsidR="00D04B3A">
          <w:rPr>
            <w:noProof/>
            <w:webHidden/>
          </w:rPr>
          <w:t>65</w:t>
        </w:r>
        <w:r w:rsidR="0088786D">
          <w:rPr>
            <w:noProof/>
            <w:webHidden/>
          </w:rPr>
          <w:fldChar w:fldCharType="end"/>
        </w:r>
      </w:hyperlink>
    </w:p>
    <w:p w:rsidR="0088786D" w:rsidRDefault="0055176D">
      <w:pPr>
        <w:pStyle w:val="TOC2"/>
        <w:tabs>
          <w:tab w:val="right" w:leader="dot" w:pos="9350"/>
        </w:tabs>
        <w:rPr>
          <w:noProof/>
          <w:sz w:val="22"/>
        </w:rPr>
      </w:pPr>
      <w:hyperlink w:anchor="_Toc457553263" w:history="1">
        <w:r w:rsidR="0088786D" w:rsidRPr="00E10AB5">
          <w:rPr>
            <w:rStyle w:val="Hyperlink"/>
            <w:noProof/>
          </w:rPr>
          <w:t>Missed appointments due to accessibility barriers</w:t>
        </w:r>
        <w:r w:rsidR="0088786D">
          <w:rPr>
            <w:noProof/>
            <w:webHidden/>
          </w:rPr>
          <w:tab/>
        </w:r>
        <w:r w:rsidR="0088786D">
          <w:rPr>
            <w:noProof/>
            <w:webHidden/>
          </w:rPr>
          <w:fldChar w:fldCharType="begin"/>
        </w:r>
        <w:r w:rsidR="0088786D">
          <w:rPr>
            <w:noProof/>
            <w:webHidden/>
          </w:rPr>
          <w:instrText xml:space="preserve"> PAGEREF _Toc457553263 \h </w:instrText>
        </w:r>
        <w:r w:rsidR="0088786D">
          <w:rPr>
            <w:noProof/>
            <w:webHidden/>
          </w:rPr>
        </w:r>
        <w:r w:rsidR="0088786D">
          <w:rPr>
            <w:noProof/>
            <w:webHidden/>
          </w:rPr>
          <w:fldChar w:fldCharType="separate"/>
        </w:r>
        <w:r w:rsidR="00D04B3A">
          <w:rPr>
            <w:noProof/>
            <w:webHidden/>
          </w:rPr>
          <w:t>67</w:t>
        </w:r>
        <w:r w:rsidR="0088786D">
          <w:rPr>
            <w:noProof/>
            <w:webHidden/>
          </w:rPr>
          <w:fldChar w:fldCharType="end"/>
        </w:r>
      </w:hyperlink>
    </w:p>
    <w:p w:rsidR="0088786D" w:rsidRDefault="0055176D">
      <w:pPr>
        <w:pStyle w:val="TOC2"/>
        <w:tabs>
          <w:tab w:val="right" w:leader="dot" w:pos="9350"/>
        </w:tabs>
        <w:rPr>
          <w:noProof/>
          <w:sz w:val="22"/>
        </w:rPr>
      </w:pPr>
      <w:hyperlink w:anchor="_Toc457553264" w:history="1">
        <w:r w:rsidR="0088786D" w:rsidRPr="00E10AB5">
          <w:rPr>
            <w:rStyle w:val="Hyperlink"/>
            <w:noProof/>
          </w:rPr>
          <w:t>Risks of improper use of medication</w:t>
        </w:r>
        <w:r w:rsidR="0088786D">
          <w:rPr>
            <w:noProof/>
            <w:webHidden/>
          </w:rPr>
          <w:tab/>
        </w:r>
        <w:r w:rsidR="0088786D">
          <w:rPr>
            <w:noProof/>
            <w:webHidden/>
          </w:rPr>
          <w:fldChar w:fldCharType="begin"/>
        </w:r>
        <w:r w:rsidR="0088786D">
          <w:rPr>
            <w:noProof/>
            <w:webHidden/>
          </w:rPr>
          <w:instrText xml:space="preserve"> PAGEREF _Toc457553264 \h </w:instrText>
        </w:r>
        <w:r w:rsidR="0088786D">
          <w:rPr>
            <w:noProof/>
            <w:webHidden/>
          </w:rPr>
        </w:r>
        <w:r w:rsidR="0088786D">
          <w:rPr>
            <w:noProof/>
            <w:webHidden/>
          </w:rPr>
          <w:fldChar w:fldCharType="separate"/>
        </w:r>
        <w:r w:rsidR="00D04B3A">
          <w:rPr>
            <w:noProof/>
            <w:webHidden/>
          </w:rPr>
          <w:t>68</w:t>
        </w:r>
        <w:r w:rsidR="0088786D">
          <w:rPr>
            <w:noProof/>
            <w:webHidden/>
          </w:rPr>
          <w:fldChar w:fldCharType="end"/>
        </w:r>
      </w:hyperlink>
    </w:p>
    <w:p w:rsidR="0088786D" w:rsidRDefault="0055176D">
      <w:pPr>
        <w:pStyle w:val="TOC2"/>
        <w:tabs>
          <w:tab w:val="right" w:leader="dot" w:pos="9350"/>
        </w:tabs>
        <w:rPr>
          <w:noProof/>
          <w:sz w:val="22"/>
        </w:rPr>
      </w:pPr>
      <w:hyperlink w:anchor="_Toc457553265" w:history="1">
        <w:r w:rsidR="0088786D" w:rsidRPr="00E10AB5">
          <w:rPr>
            <w:rStyle w:val="Hyperlink"/>
            <w:noProof/>
          </w:rPr>
          <w:t>Physical activity and fitness</w:t>
        </w:r>
        <w:r w:rsidR="0088786D">
          <w:rPr>
            <w:noProof/>
            <w:webHidden/>
          </w:rPr>
          <w:tab/>
        </w:r>
        <w:r w:rsidR="0088786D">
          <w:rPr>
            <w:noProof/>
            <w:webHidden/>
          </w:rPr>
          <w:fldChar w:fldCharType="begin"/>
        </w:r>
        <w:r w:rsidR="0088786D">
          <w:rPr>
            <w:noProof/>
            <w:webHidden/>
          </w:rPr>
          <w:instrText xml:space="preserve"> PAGEREF _Toc457553265 \h </w:instrText>
        </w:r>
        <w:r w:rsidR="0088786D">
          <w:rPr>
            <w:noProof/>
            <w:webHidden/>
          </w:rPr>
        </w:r>
        <w:r w:rsidR="0088786D">
          <w:rPr>
            <w:noProof/>
            <w:webHidden/>
          </w:rPr>
          <w:fldChar w:fldCharType="separate"/>
        </w:r>
        <w:r w:rsidR="00D04B3A">
          <w:rPr>
            <w:noProof/>
            <w:webHidden/>
          </w:rPr>
          <w:t>69</w:t>
        </w:r>
        <w:r w:rsidR="0088786D">
          <w:rPr>
            <w:noProof/>
            <w:webHidden/>
          </w:rPr>
          <w:fldChar w:fldCharType="end"/>
        </w:r>
      </w:hyperlink>
    </w:p>
    <w:p w:rsidR="0088786D" w:rsidRDefault="0055176D">
      <w:pPr>
        <w:pStyle w:val="TOC2"/>
        <w:tabs>
          <w:tab w:val="right" w:leader="dot" w:pos="9350"/>
        </w:tabs>
        <w:rPr>
          <w:noProof/>
          <w:sz w:val="22"/>
        </w:rPr>
      </w:pPr>
      <w:hyperlink w:anchor="_Toc457553266" w:history="1">
        <w:r w:rsidR="0088786D" w:rsidRPr="00E10AB5">
          <w:rPr>
            <w:rStyle w:val="Hyperlink"/>
            <w:noProof/>
            <w:lang w:val="en"/>
          </w:rPr>
          <w:t>Conclusion</w:t>
        </w:r>
        <w:r w:rsidR="0088786D">
          <w:rPr>
            <w:noProof/>
            <w:webHidden/>
          </w:rPr>
          <w:tab/>
        </w:r>
        <w:r w:rsidR="0088786D">
          <w:rPr>
            <w:noProof/>
            <w:webHidden/>
          </w:rPr>
          <w:fldChar w:fldCharType="begin"/>
        </w:r>
        <w:r w:rsidR="0088786D">
          <w:rPr>
            <w:noProof/>
            <w:webHidden/>
          </w:rPr>
          <w:instrText xml:space="preserve"> PAGEREF _Toc457553266 \h </w:instrText>
        </w:r>
        <w:r w:rsidR="0088786D">
          <w:rPr>
            <w:noProof/>
            <w:webHidden/>
          </w:rPr>
        </w:r>
        <w:r w:rsidR="0088786D">
          <w:rPr>
            <w:noProof/>
            <w:webHidden/>
          </w:rPr>
          <w:fldChar w:fldCharType="separate"/>
        </w:r>
        <w:r w:rsidR="00D04B3A">
          <w:rPr>
            <w:noProof/>
            <w:webHidden/>
          </w:rPr>
          <w:t>70</w:t>
        </w:r>
        <w:r w:rsidR="0088786D">
          <w:rPr>
            <w:noProof/>
            <w:webHidden/>
          </w:rPr>
          <w:fldChar w:fldCharType="end"/>
        </w:r>
      </w:hyperlink>
    </w:p>
    <w:p w:rsidR="0088786D" w:rsidRDefault="0055176D">
      <w:pPr>
        <w:pStyle w:val="TOC1"/>
        <w:tabs>
          <w:tab w:val="right" w:leader="dot" w:pos="9350"/>
        </w:tabs>
        <w:rPr>
          <w:noProof/>
          <w:sz w:val="22"/>
        </w:rPr>
      </w:pPr>
      <w:hyperlink w:anchor="_Toc457553267" w:history="1">
        <w:r w:rsidR="0088786D" w:rsidRPr="00E10AB5">
          <w:rPr>
            <w:rStyle w:val="Hyperlink"/>
            <w:noProof/>
          </w:rPr>
          <w:t>5. Emerging Trends and Issues</w:t>
        </w:r>
        <w:r w:rsidR="0088786D">
          <w:rPr>
            <w:noProof/>
            <w:webHidden/>
          </w:rPr>
          <w:tab/>
        </w:r>
        <w:r w:rsidR="0088786D">
          <w:rPr>
            <w:noProof/>
            <w:webHidden/>
          </w:rPr>
          <w:fldChar w:fldCharType="begin"/>
        </w:r>
        <w:r w:rsidR="0088786D">
          <w:rPr>
            <w:noProof/>
            <w:webHidden/>
          </w:rPr>
          <w:instrText xml:space="preserve"> PAGEREF _Toc457553267 \h </w:instrText>
        </w:r>
        <w:r w:rsidR="0088786D">
          <w:rPr>
            <w:noProof/>
            <w:webHidden/>
          </w:rPr>
        </w:r>
        <w:r w:rsidR="0088786D">
          <w:rPr>
            <w:noProof/>
            <w:webHidden/>
          </w:rPr>
          <w:fldChar w:fldCharType="separate"/>
        </w:r>
        <w:r w:rsidR="00D04B3A">
          <w:rPr>
            <w:noProof/>
            <w:webHidden/>
          </w:rPr>
          <w:t>71</w:t>
        </w:r>
        <w:r w:rsidR="0088786D">
          <w:rPr>
            <w:noProof/>
            <w:webHidden/>
          </w:rPr>
          <w:fldChar w:fldCharType="end"/>
        </w:r>
      </w:hyperlink>
    </w:p>
    <w:p w:rsidR="0088786D" w:rsidRDefault="0055176D">
      <w:pPr>
        <w:pStyle w:val="TOC2"/>
        <w:tabs>
          <w:tab w:val="right" w:leader="dot" w:pos="9350"/>
        </w:tabs>
        <w:rPr>
          <w:noProof/>
          <w:sz w:val="22"/>
        </w:rPr>
      </w:pPr>
      <w:hyperlink w:anchor="_Toc457553268" w:history="1">
        <w:r w:rsidR="0088786D" w:rsidRPr="00E10AB5">
          <w:rPr>
            <w:rStyle w:val="Hyperlink"/>
            <w:noProof/>
            <w:lang w:val="en-US"/>
          </w:rPr>
          <w:t>Many programs in place to facilitate independent living and keep care in the community and homes.</w:t>
        </w:r>
        <w:r w:rsidR="0088786D">
          <w:rPr>
            <w:noProof/>
            <w:webHidden/>
          </w:rPr>
          <w:tab/>
        </w:r>
        <w:r w:rsidR="0088786D">
          <w:rPr>
            <w:noProof/>
            <w:webHidden/>
          </w:rPr>
          <w:fldChar w:fldCharType="begin"/>
        </w:r>
        <w:r w:rsidR="0088786D">
          <w:rPr>
            <w:noProof/>
            <w:webHidden/>
          </w:rPr>
          <w:instrText xml:space="preserve"> PAGEREF _Toc457553268 \h </w:instrText>
        </w:r>
        <w:r w:rsidR="0088786D">
          <w:rPr>
            <w:noProof/>
            <w:webHidden/>
          </w:rPr>
        </w:r>
        <w:r w:rsidR="0088786D">
          <w:rPr>
            <w:noProof/>
            <w:webHidden/>
          </w:rPr>
          <w:fldChar w:fldCharType="separate"/>
        </w:r>
        <w:r w:rsidR="00D04B3A">
          <w:rPr>
            <w:noProof/>
            <w:webHidden/>
          </w:rPr>
          <w:t>72</w:t>
        </w:r>
        <w:r w:rsidR="0088786D">
          <w:rPr>
            <w:noProof/>
            <w:webHidden/>
          </w:rPr>
          <w:fldChar w:fldCharType="end"/>
        </w:r>
      </w:hyperlink>
    </w:p>
    <w:p w:rsidR="0088786D" w:rsidRDefault="0055176D">
      <w:pPr>
        <w:pStyle w:val="TOC2"/>
        <w:tabs>
          <w:tab w:val="right" w:leader="dot" w:pos="9350"/>
        </w:tabs>
        <w:rPr>
          <w:noProof/>
          <w:sz w:val="22"/>
        </w:rPr>
      </w:pPr>
      <w:hyperlink w:anchor="_Toc457553269" w:history="1">
        <w:r w:rsidR="0088786D" w:rsidRPr="00E10AB5">
          <w:rPr>
            <w:rStyle w:val="Hyperlink"/>
            <w:noProof/>
            <w:lang w:val="en-US"/>
          </w:rPr>
          <w:t>Increased coordination among healthcare providers, caregivers and families</w:t>
        </w:r>
        <w:r w:rsidR="0088786D">
          <w:rPr>
            <w:noProof/>
            <w:webHidden/>
          </w:rPr>
          <w:tab/>
        </w:r>
        <w:r w:rsidR="0088786D">
          <w:rPr>
            <w:noProof/>
            <w:webHidden/>
          </w:rPr>
          <w:fldChar w:fldCharType="begin"/>
        </w:r>
        <w:r w:rsidR="0088786D">
          <w:rPr>
            <w:noProof/>
            <w:webHidden/>
          </w:rPr>
          <w:instrText xml:space="preserve"> PAGEREF _Toc457553269 \h </w:instrText>
        </w:r>
        <w:r w:rsidR="0088786D">
          <w:rPr>
            <w:noProof/>
            <w:webHidden/>
          </w:rPr>
        </w:r>
        <w:r w:rsidR="0088786D">
          <w:rPr>
            <w:noProof/>
            <w:webHidden/>
          </w:rPr>
          <w:fldChar w:fldCharType="separate"/>
        </w:r>
        <w:r w:rsidR="00D04B3A">
          <w:rPr>
            <w:noProof/>
            <w:webHidden/>
          </w:rPr>
          <w:t>73</w:t>
        </w:r>
        <w:r w:rsidR="0088786D">
          <w:rPr>
            <w:noProof/>
            <w:webHidden/>
          </w:rPr>
          <w:fldChar w:fldCharType="end"/>
        </w:r>
      </w:hyperlink>
    </w:p>
    <w:p w:rsidR="0088786D" w:rsidRDefault="0055176D">
      <w:pPr>
        <w:pStyle w:val="TOC2"/>
        <w:tabs>
          <w:tab w:val="right" w:leader="dot" w:pos="9350"/>
        </w:tabs>
        <w:rPr>
          <w:noProof/>
          <w:sz w:val="22"/>
        </w:rPr>
      </w:pPr>
      <w:hyperlink w:anchor="_Toc457553270" w:history="1">
        <w:r w:rsidR="0088786D" w:rsidRPr="00E10AB5">
          <w:rPr>
            <w:rStyle w:val="Hyperlink"/>
            <w:noProof/>
            <w:lang w:val="en-US"/>
          </w:rPr>
          <w:t>Enabling independence has led to an emerging focus on confidentiality and consent</w:t>
        </w:r>
        <w:r w:rsidR="0088786D">
          <w:rPr>
            <w:noProof/>
            <w:webHidden/>
          </w:rPr>
          <w:tab/>
        </w:r>
        <w:r w:rsidR="0088786D">
          <w:rPr>
            <w:noProof/>
            <w:webHidden/>
          </w:rPr>
          <w:fldChar w:fldCharType="begin"/>
        </w:r>
        <w:r w:rsidR="0088786D">
          <w:rPr>
            <w:noProof/>
            <w:webHidden/>
          </w:rPr>
          <w:instrText xml:space="preserve"> PAGEREF _Toc457553270 \h </w:instrText>
        </w:r>
        <w:r w:rsidR="0088786D">
          <w:rPr>
            <w:noProof/>
            <w:webHidden/>
          </w:rPr>
        </w:r>
        <w:r w:rsidR="0088786D">
          <w:rPr>
            <w:noProof/>
            <w:webHidden/>
          </w:rPr>
          <w:fldChar w:fldCharType="separate"/>
        </w:r>
        <w:r w:rsidR="00D04B3A">
          <w:rPr>
            <w:noProof/>
            <w:webHidden/>
          </w:rPr>
          <w:t>75</w:t>
        </w:r>
        <w:r w:rsidR="0088786D">
          <w:rPr>
            <w:noProof/>
            <w:webHidden/>
          </w:rPr>
          <w:fldChar w:fldCharType="end"/>
        </w:r>
      </w:hyperlink>
    </w:p>
    <w:p w:rsidR="0088786D" w:rsidRDefault="0055176D">
      <w:pPr>
        <w:pStyle w:val="TOC2"/>
        <w:tabs>
          <w:tab w:val="right" w:leader="dot" w:pos="9350"/>
        </w:tabs>
        <w:rPr>
          <w:noProof/>
          <w:sz w:val="22"/>
        </w:rPr>
      </w:pPr>
      <w:hyperlink w:anchor="_Toc457553271" w:history="1">
        <w:r w:rsidR="0088786D" w:rsidRPr="00E10AB5">
          <w:rPr>
            <w:rStyle w:val="Hyperlink"/>
            <w:noProof/>
            <w:lang w:val="en-US"/>
          </w:rPr>
          <w:t>Policies and programs to enhance training and education for healthcare professionals</w:t>
        </w:r>
        <w:r w:rsidR="0088786D">
          <w:rPr>
            <w:noProof/>
            <w:webHidden/>
          </w:rPr>
          <w:tab/>
        </w:r>
        <w:r w:rsidR="0088786D">
          <w:rPr>
            <w:noProof/>
            <w:webHidden/>
          </w:rPr>
          <w:fldChar w:fldCharType="begin"/>
        </w:r>
        <w:r w:rsidR="0088786D">
          <w:rPr>
            <w:noProof/>
            <w:webHidden/>
          </w:rPr>
          <w:instrText xml:space="preserve"> PAGEREF _Toc457553271 \h </w:instrText>
        </w:r>
        <w:r w:rsidR="0088786D">
          <w:rPr>
            <w:noProof/>
            <w:webHidden/>
          </w:rPr>
        </w:r>
        <w:r w:rsidR="0088786D">
          <w:rPr>
            <w:noProof/>
            <w:webHidden/>
          </w:rPr>
          <w:fldChar w:fldCharType="separate"/>
        </w:r>
        <w:r w:rsidR="00D04B3A">
          <w:rPr>
            <w:noProof/>
            <w:webHidden/>
          </w:rPr>
          <w:t>76</w:t>
        </w:r>
        <w:r w:rsidR="0088786D">
          <w:rPr>
            <w:noProof/>
            <w:webHidden/>
          </w:rPr>
          <w:fldChar w:fldCharType="end"/>
        </w:r>
      </w:hyperlink>
    </w:p>
    <w:p w:rsidR="0088786D" w:rsidRDefault="0055176D">
      <w:pPr>
        <w:pStyle w:val="TOC2"/>
        <w:tabs>
          <w:tab w:val="right" w:leader="dot" w:pos="9350"/>
        </w:tabs>
        <w:rPr>
          <w:noProof/>
          <w:sz w:val="22"/>
        </w:rPr>
      </w:pPr>
      <w:hyperlink w:anchor="_Toc457553272" w:history="1">
        <w:r w:rsidR="0088786D" w:rsidRPr="00E10AB5">
          <w:rPr>
            <w:rStyle w:val="Hyperlink"/>
            <w:noProof/>
            <w:lang w:val="en-US"/>
          </w:rPr>
          <w:t>A recognition that programs are needed to address barriers for specific populations</w:t>
        </w:r>
        <w:r w:rsidR="0088786D">
          <w:rPr>
            <w:noProof/>
            <w:webHidden/>
          </w:rPr>
          <w:tab/>
        </w:r>
        <w:r w:rsidR="0088786D">
          <w:rPr>
            <w:noProof/>
            <w:webHidden/>
          </w:rPr>
          <w:fldChar w:fldCharType="begin"/>
        </w:r>
        <w:r w:rsidR="0088786D">
          <w:rPr>
            <w:noProof/>
            <w:webHidden/>
          </w:rPr>
          <w:instrText xml:space="preserve"> PAGEREF _Toc457553272 \h </w:instrText>
        </w:r>
        <w:r w:rsidR="0088786D">
          <w:rPr>
            <w:noProof/>
            <w:webHidden/>
          </w:rPr>
        </w:r>
        <w:r w:rsidR="0088786D">
          <w:rPr>
            <w:noProof/>
            <w:webHidden/>
          </w:rPr>
          <w:fldChar w:fldCharType="separate"/>
        </w:r>
        <w:r w:rsidR="00D04B3A">
          <w:rPr>
            <w:noProof/>
            <w:webHidden/>
          </w:rPr>
          <w:t>77</w:t>
        </w:r>
        <w:r w:rsidR="0088786D">
          <w:rPr>
            <w:noProof/>
            <w:webHidden/>
          </w:rPr>
          <w:fldChar w:fldCharType="end"/>
        </w:r>
      </w:hyperlink>
    </w:p>
    <w:p w:rsidR="0088786D" w:rsidRDefault="0055176D">
      <w:pPr>
        <w:pStyle w:val="TOC1"/>
        <w:tabs>
          <w:tab w:val="right" w:leader="dot" w:pos="9350"/>
        </w:tabs>
        <w:rPr>
          <w:noProof/>
          <w:sz w:val="22"/>
        </w:rPr>
      </w:pPr>
      <w:hyperlink w:anchor="_Toc457553273" w:history="1">
        <w:r w:rsidR="0088786D" w:rsidRPr="00E10AB5">
          <w:rPr>
            <w:rStyle w:val="Hyperlink"/>
            <w:noProof/>
          </w:rPr>
          <w:t>6. Industry Leaders and Experts</w:t>
        </w:r>
        <w:r w:rsidR="0088786D">
          <w:rPr>
            <w:noProof/>
            <w:webHidden/>
          </w:rPr>
          <w:tab/>
        </w:r>
        <w:r w:rsidR="0088786D">
          <w:rPr>
            <w:noProof/>
            <w:webHidden/>
          </w:rPr>
          <w:fldChar w:fldCharType="begin"/>
        </w:r>
        <w:r w:rsidR="0088786D">
          <w:rPr>
            <w:noProof/>
            <w:webHidden/>
          </w:rPr>
          <w:instrText xml:space="preserve"> PAGEREF _Toc457553273 \h </w:instrText>
        </w:r>
        <w:r w:rsidR="0088786D">
          <w:rPr>
            <w:noProof/>
            <w:webHidden/>
          </w:rPr>
        </w:r>
        <w:r w:rsidR="0088786D">
          <w:rPr>
            <w:noProof/>
            <w:webHidden/>
          </w:rPr>
          <w:fldChar w:fldCharType="separate"/>
        </w:r>
        <w:r w:rsidR="00D04B3A">
          <w:rPr>
            <w:noProof/>
            <w:webHidden/>
          </w:rPr>
          <w:t>79</w:t>
        </w:r>
        <w:r w:rsidR="0088786D">
          <w:rPr>
            <w:noProof/>
            <w:webHidden/>
          </w:rPr>
          <w:fldChar w:fldCharType="end"/>
        </w:r>
      </w:hyperlink>
    </w:p>
    <w:p w:rsidR="0088786D" w:rsidRDefault="0055176D">
      <w:pPr>
        <w:pStyle w:val="TOC2"/>
        <w:tabs>
          <w:tab w:val="right" w:leader="dot" w:pos="9350"/>
        </w:tabs>
        <w:rPr>
          <w:noProof/>
          <w:sz w:val="22"/>
        </w:rPr>
      </w:pPr>
      <w:hyperlink w:anchor="_Toc457553274" w:history="1">
        <w:r w:rsidR="0088786D" w:rsidRPr="00E10AB5">
          <w:rPr>
            <w:rStyle w:val="Hyperlink"/>
            <w:noProof/>
          </w:rPr>
          <w:t>Bridgepoint Health</w:t>
        </w:r>
        <w:r w:rsidR="0088786D">
          <w:rPr>
            <w:noProof/>
            <w:webHidden/>
          </w:rPr>
          <w:tab/>
        </w:r>
        <w:r w:rsidR="0088786D">
          <w:rPr>
            <w:noProof/>
            <w:webHidden/>
          </w:rPr>
          <w:fldChar w:fldCharType="begin"/>
        </w:r>
        <w:r w:rsidR="0088786D">
          <w:rPr>
            <w:noProof/>
            <w:webHidden/>
          </w:rPr>
          <w:instrText xml:space="preserve"> PAGEREF _Toc457553274 \h </w:instrText>
        </w:r>
        <w:r w:rsidR="0088786D">
          <w:rPr>
            <w:noProof/>
            <w:webHidden/>
          </w:rPr>
        </w:r>
        <w:r w:rsidR="0088786D">
          <w:rPr>
            <w:noProof/>
            <w:webHidden/>
          </w:rPr>
          <w:fldChar w:fldCharType="separate"/>
        </w:r>
        <w:r w:rsidR="00D04B3A">
          <w:rPr>
            <w:noProof/>
            <w:webHidden/>
          </w:rPr>
          <w:t>79</w:t>
        </w:r>
        <w:r w:rsidR="0088786D">
          <w:rPr>
            <w:noProof/>
            <w:webHidden/>
          </w:rPr>
          <w:fldChar w:fldCharType="end"/>
        </w:r>
      </w:hyperlink>
    </w:p>
    <w:p w:rsidR="0088786D" w:rsidRDefault="0055176D">
      <w:pPr>
        <w:pStyle w:val="TOC2"/>
        <w:tabs>
          <w:tab w:val="right" w:leader="dot" w:pos="9350"/>
        </w:tabs>
        <w:rPr>
          <w:noProof/>
          <w:sz w:val="22"/>
        </w:rPr>
      </w:pPr>
      <w:hyperlink w:anchor="_Toc457553275" w:history="1">
        <w:r w:rsidR="0088786D" w:rsidRPr="00E10AB5">
          <w:rPr>
            <w:rStyle w:val="Hyperlink"/>
            <w:noProof/>
          </w:rPr>
          <w:t>Siemens Healthcare</w:t>
        </w:r>
        <w:r w:rsidR="0088786D">
          <w:rPr>
            <w:noProof/>
            <w:webHidden/>
          </w:rPr>
          <w:tab/>
        </w:r>
        <w:r w:rsidR="0088786D">
          <w:rPr>
            <w:noProof/>
            <w:webHidden/>
          </w:rPr>
          <w:fldChar w:fldCharType="begin"/>
        </w:r>
        <w:r w:rsidR="0088786D">
          <w:rPr>
            <w:noProof/>
            <w:webHidden/>
          </w:rPr>
          <w:instrText xml:space="preserve"> PAGEREF _Toc457553275 \h </w:instrText>
        </w:r>
        <w:r w:rsidR="0088786D">
          <w:rPr>
            <w:noProof/>
            <w:webHidden/>
          </w:rPr>
        </w:r>
        <w:r w:rsidR="0088786D">
          <w:rPr>
            <w:noProof/>
            <w:webHidden/>
          </w:rPr>
          <w:fldChar w:fldCharType="separate"/>
        </w:r>
        <w:r w:rsidR="00D04B3A">
          <w:rPr>
            <w:noProof/>
            <w:webHidden/>
          </w:rPr>
          <w:t>79</w:t>
        </w:r>
        <w:r w:rsidR="0088786D">
          <w:rPr>
            <w:noProof/>
            <w:webHidden/>
          </w:rPr>
          <w:fldChar w:fldCharType="end"/>
        </w:r>
      </w:hyperlink>
    </w:p>
    <w:p w:rsidR="0088786D" w:rsidRDefault="0055176D">
      <w:pPr>
        <w:pStyle w:val="TOC2"/>
        <w:tabs>
          <w:tab w:val="right" w:leader="dot" w:pos="9350"/>
        </w:tabs>
        <w:rPr>
          <w:noProof/>
          <w:sz w:val="22"/>
        </w:rPr>
      </w:pPr>
      <w:hyperlink w:anchor="_Toc457553276" w:history="1">
        <w:r w:rsidR="0088786D" w:rsidRPr="00E10AB5">
          <w:rPr>
            <w:rStyle w:val="Hyperlink"/>
            <w:noProof/>
          </w:rPr>
          <w:t>Worker’s Safety and Insurance Board (WSIB)</w:t>
        </w:r>
        <w:r w:rsidR="0088786D">
          <w:rPr>
            <w:noProof/>
            <w:webHidden/>
          </w:rPr>
          <w:tab/>
        </w:r>
        <w:r w:rsidR="0088786D">
          <w:rPr>
            <w:noProof/>
            <w:webHidden/>
          </w:rPr>
          <w:fldChar w:fldCharType="begin"/>
        </w:r>
        <w:r w:rsidR="0088786D">
          <w:rPr>
            <w:noProof/>
            <w:webHidden/>
          </w:rPr>
          <w:instrText xml:space="preserve"> PAGEREF _Toc457553276 \h </w:instrText>
        </w:r>
        <w:r w:rsidR="0088786D">
          <w:rPr>
            <w:noProof/>
            <w:webHidden/>
          </w:rPr>
        </w:r>
        <w:r w:rsidR="0088786D">
          <w:rPr>
            <w:noProof/>
            <w:webHidden/>
          </w:rPr>
          <w:fldChar w:fldCharType="separate"/>
        </w:r>
        <w:r w:rsidR="00D04B3A">
          <w:rPr>
            <w:noProof/>
            <w:webHidden/>
          </w:rPr>
          <w:t>80</w:t>
        </w:r>
        <w:r w:rsidR="0088786D">
          <w:rPr>
            <w:noProof/>
            <w:webHidden/>
          </w:rPr>
          <w:fldChar w:fldCharType="end"/>
        </w:r>
      </w:hyperlink>
    </w:p>
    <w:p w:rsidR="0088786D" w:rsidRDefault="0055176D">
      <w:pPr>
        <w:pStyle w:val="TOC2"/>
        <w:tabs>
          <w:tab w:val="right" w:leader="dot" w:pos="9350"/>
        </w:tabs>
        <w:rPr>
          <w:noProof/>
          <w:sz w:val="22"/>
        </w:rPr>
      </w:pPr>
      <w:hyperlink w:anchor="_Toc457553277" w:history="1">
        <w:r w:rsidR="0088786D" w:rsidRPr="00E10AB5">
          <w:rPr>
            <w:rStyle w:val="Hyperlink"/>
            <w:noProof/>
          </w:rPr>
          <w:t>Dr. Alice Dong</w:t>
        </w:r>
        <w:r w:rsidR="0088786D">
          <w:rPr>
            <w:noProof/>
            <w:webHidden/>
          </w:rPr>
          <w:tab/>
        </w:r>
        <w:r w:rsidR="0088786D">
          <w:rPr>
            <w:noProof/>
            <w:webHidden/>
          </w:rPr>
          <w:fldChar w:fldCharType="begin"/>
        </w:r>
        <w:r w:rsidR="0088786D">
          <w:rPr>
            <w:noProof/>
            <w:webHidden/>
          </w:rPr>
          <w:instrText xml:space="preserve"> PAGEREF _Toc457553277 \h </w:instrText>
        </w:r>
        <w:r w:rsidR="0088786D">
          <w:rPr>
            <w:noProof/>
            <w:webHidden/>
          </w:rPr>
        </w:r>
        <w:r w:rsidR="0088786D">
          <w:rPr>
            <w:noProof/>
            <w:webHidden/>
          </w:rPr>
          <w:fldChar w:fldCharType="separate"/>
        </w:r>
        <w:r w:rsidR="00D04B3A">
          <w:rPr>
            <w:noProof/>
            <w:webHidden/>
          </w:rPr>
          <w:t>80</w:t>
        </w:r>
        <w:r w:rsidR="0088786D">
          <w:rPr>
            <w:noProof/>
            <w:webHidden/>
          </w:rPr>
          <w:fldChar w:fldCharType="end"/>
        </w:r>
      </w:hyperlink>
    </w:p>
    <w:p w:rsidR="0088786D" w:rsidRDefault="0055176D">
      <w:pPr>
        <w:pStyle w:val="TOC2"/>
        <w:tabs>
          <w:tab w:val="right" w:leader="dot" w:pos="9350"/>
        </w:tabs>
        <w:rPr>
          <w:noProof/>
          <w:sz w:val="22"/>
        </w:rPr>
      </w:pPr>
      <w:hyperlink w:anchor="_Toc457553278" w:history="1">
        <w:r w:rsidR="0088786D" w:rsidRPr="00E10AB5">
          <w:rPr>
            <w:rStyle w:val="Hyperlink"/>
            <w:noProof/>
          </w:rPr>
          <w:t>Dr. Yona Lunsky</w:t>
        </w:r>
        <w:r w:rsidR="0088786D">
          <w:rPr>
            <w:noProof/>
            <w:webHidden/>
          </w:rPr>
          <w:tab/>
        </w:r>
        <w:r w:rsidR="0088786D">
          <w:rPr>
            <w:noProof/>
            <w:webHidden/>
          </w:rPr>
          <w:fldChar w:fldCharType="begin"/>
        </w:r>
        <w:r w:rsidR="0088786D">
          <w:rPr>
            <w:noProof/>
            <w:webHidden/>
          </w:rPr>
          <w:instrText xml:space="preserve"> PAGEREF _Toc457553278 \h </w:instrText>
        </w:r>
        <w:r w:rsidR="0088786D">
          <w:rPr>
            <w:noProof/>
            <w:webHidden/>
          </w:rPr>
        </w:r>
        <w:r w:rsidR="0088786D">
          <w:rPr>
            <w:noProof/>
            <w:webHidden/>
          </w:rPr>
          <w:fldChar w:fldCharType="separate"/>
        </w:r>
        <w:r w:rsidR="00D04B3A">
          <w:rPr>
            <w:noProof/>
            <w:webHidden/>
          </w:rPr>
          <w:t>80</w:t>
        </w:r>
        <w:r w:rsidR="0088786D">
          <w:rPr>
            <w:noProof/>
            <w:webHidden/>
          </w:rPr>
          <w:fldChar w:fldCharType="end"/>
        </w:r>
      </w:hyperlink>
    </w:p>
    <w:p w:rsidR="0088786D" w:rsidRDefault="0055176D">
      <w:pPr>
        <w:pStyle w:val="TOC2"/>
        <w:tabs>
          <w:tab w:val="right" w:leader="dot" w:pos="9350"/>
        </w:tabs>
        <w:rPr>
          <w:noProof/>
          <w:sz w:val="22"/>
        </w:rPr>
      </w:pPr>
      <w:hyperlink w:anchor="_Toc457553279" w:history="1">
        <w:r w:rsidR="0088786D" w:rsidRPr="00E10AB5">
          <w:rPr>
            <w:rStyle w:val="Hyperlink"/>
            <w:noProof/>
          </w:rPr>
          <w:t>Canadian Mental Health Association</w:t>
        </w:r>
        <w:r w:rsidR="0088786D">
          <w:rPr>
            <w:noProof/>
            <w:webHidden/>
          </w:rPr>
          <w:tab/>
        </w:r>
        <w:r w:rsidR="0088786D">
          <w:rPr>
            <w:noProof/>
            <w:webHidden/>
          </w:rPr>
          <w:fldChar w:fldCharType="begin"/>
        </w:r>
        <w:r w:rsidR="0088786D">
          <w:rPr>
            <w:noProof/>
            <w:webHidden/>
          </w:rPr>
          <w:instrText xml:space="preserve"> PAGEREF _Toc457553279 \h </w:instrText>
        </w:r>
        <w:r w:rsidR="0088786D">
          <w:rPr>
            <w:noProof/>
            <w:webHidden/>
          </w:rPr>
        </w:r>
        <w:r w:rsidR="0088786D">
          <w:rPr>
            <w:noProof/>
            <w:webHidden/>
          </w:rPr>
          <w:fldChar w:fldCharType="separate"/>
        </w:r>
        <w:r w:rsidR="00D04B3A">
          <w:rPr>
            <w:noProof/>
            <w:webHidden/>
          </w:rPr>
          <w:t>81</w:t>
        </w:r>
        <w:r w:rsidR="0088786D">
          <w:rPr>
            <w:noProof/>
            <w:webHidden/>
          </w:rPr>
          <w:fldChar w:fldCharType="end"/>
        </w:r>
      </w:hyperlink>
    </w:p>
    <w:p w:rsidR="0088786D" w:rsidRDefault="0055176D">
      <w:pPr>
        <w:pStyle w:val="TOC2"/>
        <w:tabs>
          <w:tab w:val="right" w:leader="dot" w:pos="9350"/>
        </w:tabs>
        <w:rPr>
          <w:noProof/>
          <w:sz w:val="22"/>
        </w:rPr>
      </w:pPr>
      <w:hyperlink w:anchor="_Toc457553280" w:history="1">
        <w:r w:rsidR="0088786D" w:rsidRPr="00E10AB5">
          <w:rPr>
            <w:rStyle w:val="Hyperlink"/>
            <w:noProof/>
          </w:rPr>
          <w:t>Communications Disability Access Canada (CDAC)</w:t>
        </w:r>
        <w:r w:rsidR="0088786D">
          <w:rPr>
            <w:noProof/>
            <w:webHidden/>
          </w:rPr>
          <w:tab/>
        </w:r>
        <w:r w:rsidR="0088786D">
          <w:rPr>
            <w:noProof/>
            <w:webHidden/>
          </w:rPr>
          <w:fldChar w:fldCharType="begin"/>
        </w:r>
        <w:r w:rsidR="0088786D">
          <w:rPr>
            <w:noProof/>
            <w:webHidden/>
          </w:rPr>
          <w:instrText xml:space="preserve"> PAGEREF _Toc457553280 \h </w:instrText>
        </w:r>
        <w:r w:rsidR="0088786D">
          <w:rPr>
            <w:noProof/>
            <w:webHidden/>
          </w:rPr>
        </w:r>
        <w:r w:rsidR="0088786D">
          <w:rPr>
            <w:noProof/>
            <w:webHidden/>
          </w:rPr>
          <w:fldChar w:fldCharType="separate"/>
        </w:r>
        <w:r w:rsidR="00D04B3A">
          <w:rPr>
            <w:noProof/>
            <w:webHidden/>
          </w:rPr>
          <w:t>81</w:t>
        </w:r>
        <w:r w:rsidR="0088786D">
          <w:rPr>
            <w:noProof/>
            <w:webHidden/>
          </w:rPr>
          <w:fldChar w:fldCharType="end"/>
        </w:r>
      </w:hyperlink>
    </w:p>
    <w:p w:rsidR="0088786D" w:rsidRDefault="0055176D">
      <w:pPr>
        <w:pStyle w:val="TOC2"/>
        <w:tabs>
          <w:tab w:val="right" w:leader="dot" w:pos="9350"/>
        </w:tabs>
        <w:rPr>
          <w:noProof/>
          <w:sz w:val="22"/>
        </w:rPr>
      </w:pPr>
      <w:hyperlink w:anchor="_Toc457553281" w:history="1">
        <w:r w:rsidR="0088786D" w:rsidRPr="00E10AB5">
          <w:rPr>
            <w:rStyle w:val="Hyperlink"/>
            <w:noProof/>
          </w:rPr>
          <w:t>Dr. William (Bill) F. Sullivan</w:t>
        </w:r>
        <w:r w:rsidR="0088786D">
          <w:rPr>
            <w:noProof/>
            <w:webHidden/>
          </w:rPr>
          <w:tab/>
        </w:r>
        <w:r w:rsidR="0088786D">
          <w:rPr>
            <w:noProof/>
            <w:webHidden/>
          </w:rPr>
          <w:fldChar w:fldCharType="begin"/>
        </w:r>
        <w:r w:rsidR="0088786D">
          <w:rPr>
            <w:noProof/>
            <w:webHidden/>
          </w:rPr>
          <w:instrText xml:space="preserve"> PAGEREF _Toc457553281 \h </w:instrText>
        </w:r>
        <w:r w:rsidR="0088786D">
          <w:rPr>
            <w:noProof/>
            <w:webHidden/>
          </w:rPr>
        </w:r>
        <w:r w:rsidR="0088786D">
          <w:rPr>
            <w:noProof/>
            <w:webHidden/>
          </w:rPr>
          <w:fldChar w:fldCharType="separate"/>
        </w:r>
        <w:r w:rsidR="00D04B3A">
          <w:rPr>
            <w:noProof/>
            <w:webHidden/>
          </w:rPr>
          <w:t>82</w:t>
        </w:r>
        <w:r w:rsidR="0088786D">
          <w:rPr>
            <w:noProof/>
            <w:webHidden/>
          </w:rPr>
          <w:fldChar w:fldCharType="end"/>
        </w:r>
      </w:hyperlink>
    </w:p>
    <w:p w:rsidR="0088786D" w:rsidRDefault="0055176D">
      <w:pPr>
        <w:pStyle w:val="TOC2"/>
        <w:tabs>
          <w:tab w:val="right" w:leader="dot" w:pos="9350"/>
        </w:tabs>
        <w:rPr>
          <w:noProof/>
          <w:sz w:val="22"/>
        </w:rPr>
      </w:pPr>
      <w:hyperlink w:anchor="_Toc457553282" w:history="1">
        <w:r w:rsidR="0088786D" w:rsidRPr="00E10AB5">
          <w:rPr>
            <w:rStyle w:val="Hyperlink"/>
            <w:noProof/>
          </w:rPr>
          <w:t>Toronto Rehabilitation Institute</w:t>
        </w:r>
        <w:r w:rsidR="0088786D">
          <w:rPr>
            <w:noProof/>
            <w:webHidden/>
          </w:rPr>
          <w:tab/>
        </w:r>
        <w:r w:rsidR="0088786D">
          <w:rPr>
            <w:noProof/>
            <w:webHidden/>
          </w:rPr>
          <w:fldChar w:fldCharType="begin"/>
        </w:r>
        <w:r w:rsidR="0088786D">
          <w:rPr>
            <w:noProof/>
            <w:webHidden/>
          </w:rPr>
          <w:instrText xml:space="preserve"> PAGEREF _Toc457553282 \h </w:instrText>
        </w:r>
        <w:r w:rsidR="0088786D">
          <w:rPr>
            <w:noProof/>
            <w:webHidden/>
          </w:rPr>
        </w:r>
        <w:r w:rsidR="0088786D">
          <w:rPr>
            <w:noProof/>
            <w:webHidden/>
          </w:rPr>
          <w:fldChar w:fldCharType="separate"/>
        </w:r>
        <w:r w:rsidR="00D04B3A">
          <w:rPr>
            <w:noProof/>
            <w:webHidden/>
          </w:rPr>
          <w:t>82</w:t>
        </w:r>
        <w:r w:rsidR="0088786D">
          <w:rPr>
            <w:noProof/>
            <w:webHidden/>
          </w:rPr>
          <w:fldChar w:fldCharType="end"/>
        </w:r>
      </w:hyperlink>
    </w:p>
    <w:p w:rsidR="0088786D" w:rsidRDefault="0055176D">
      <w:pPr>
        <w:pStyle w:val="TOC1"/>
        <w:tabs>
          <w:tab w:val="right" w:leader="dot" w:pos="9350"/>
        </w:tabs>
        <w:rPr>
          <w:noProof/>
          <w:sz w:val="22"/>
        </w:rPr>
      </w:pPr>
      <w:hyperlink w:anchor="_Toc457553283" w:history="1">
        <w:r w:rsidR="0088786D" w:rsidRPr="00E10AB5">
          <w:rPr>
            <w:rStyle w:val="Hyperlink"/>
            <w:noProof/>
          </w:rPr>
          <w:t>7. Leading Practices</w:t>
        </w:r>
        <w:r w:rsidR="0088786D">
          <w:rPr>
            <w:noProof/>
            <w:webHidden/>
          </w:rPr>
          <w:tab/>
        </w:r>
        <w:r w:rsidR="0088786D">
          <w:rPr>
            <w:noProof/>
            <w:webHidden/>
          </w:rPr>
          <w:fldChar w:fldCharType="begin"/>
        </w:r>
        <w:r w:rsidR="0088786D">
          <w:rPr>
            <w:noProof/>
            <w:webHidden/>
          </w:rPr>
          <w:instrText xml:space="preserve"> PAGEREF _Toc457553283 \h </w:instrText>
        </w:r>
        <w:r w:rsidR="0088786D">
          <w:rPr>
            <w:noProof/>
            <w:webHidden/>
          </w:rPr>
        </w:r>
        <w:r w:rsidR="0088786D">
          <w:rPr>
            <w:noProof/>
            <w:webHidden/>
          </w:rPr>
          <w:fldChar w:fldCharType="separate"/>
        </w:r>
        <w:r w:rsidR="00D04B3A">
          <w:rPr>
            <w:noProof/>
            <w:webHidden/>
          </w:rPr>
          <w:t>83</w:t>
        </w:r>
        <w:r w:rsidR="0088786D">
          <w:rPr>
            <w:noProof/>
            <w:webHidden/>
          </w:rPr>
          <w:fldChar w:fldCharType="end"/>
        </w:r>
      </w:hyperlink>
    </w:p>
    <w:p w:rsidR="0088786D" w:rsidRDefault="0055176D">
      <w:pPr>
        <w:pStyle w:val="TOC2"/>
        <w:tabs>
          <w:tab w:val="right" w:leader="dot" w:pos="9350"/>
        </w:tabs>
        <w:rPr>
          <w:noProof/>
          <w:sz w:val="22"/>
        </w:rPr>
      </w:pPr>
      <w:hyperlink w:anchor="_Toc457553284" w:history="1">
        <w:r w:rsidR="0088786D" w:rsidRPr="00E10AB5">
          <w:rPr>
            <w:rStyle w:val="Hyperlink"/>
            <w:noProof/>
          </w:rPr>
          <w:t>Access and Equality in Primary and Secondary Care</w:t>
        </w:r>
        <w:r w:rsidR="0088786D">
          <w:rPr>
            <w:noProof/>
            <w:webHidden/>
          </w:rPr>
          <w:tab/>
        </w:r>
        <w:r w:rsidR="0088786D">
          <w:rPr>
            <w:noProof/>
            <w:webHidden/>
          </w:rPr>
          <w:fldChar w:fldCharType="begin"/>
        </w:r>
        <w:r w:rsidR="0088786D">
          <w:rPr>
            <w:noProof/>
            <w:webHidden/>
          </w:rPr>
          <w:instrText xml:space="preserve"> PAGEREF _Toc457553284 \h </w:instrText>
        </w:r>
        <w:r w:rsidR="0088786D">
          <w:rPr>
            <w:noProof/>
            <w:webHidden/>
          </w:rPr>
        </w:r>
        <w:r w:rsidR="0088786D">
          <w:rPr>
            <w:noProof/>
            <w:webHidden/>
          </w:rPr>
          <w:fldChar w:fldCharType="separate"/>
        </w:r>
        <w:r w:rsidR="00D04B3A">
          <w:rPr>
            <w:noProof/>
            <w:webHidden/>
          </w:rPr>
          <w:t>83</w:t>
        </w:r>
        <w:r w:rsidR="0088786D">
          <w:rPr>
            <w:noProof/>
            <w:webHidden/>
          </w:rPr>
          <w:fldChar w:fldCharType="end"/>
        </w:r>
      </w:hyperlink>
    </w:p>
    <w:p w:rsidR="0088786D" w:rsidRDefault="0055176D">
      <w:pPr>
        <w:pStyle w:val="TOC2"/>
        <w:tabs>
          <w:tab w:val="right" w:leader="dot" w:pos="9350"/>
        </w:tabs>
        <w:rPr>
          <w:noProof/>
          <w:sz w:val="22"/>
        </w:rPr>
      </w:pPr>
      <w:hyperlink w:anchor="_Toc457553285" w:history="1">
        <w:r w:rsidR="0088786D" w:rsidRPr="00E10AB5">
          <w:rPr>
            <w:rStyle w:val="Hyperlink"/>
            <w:noProof/>
          </w:rPr>
          <w:t>Patient Medical Transportation</w:t>
        </w:r>
        <w:r w:rsidR="0088786D">
          <w:rPr>
            <w:noProof/>
            <w:webHidden/>
          </w:rPr>
          <w:tab/>
        </w:r>
        <w:r w:rsidR="0088786D">
          <w:rPr>
            <w:noProof/>
            <w:webHidden/>
          </w:rPr>
          <w:fldChar w:fldCharType="begin"/>
        </w:r>
        <w:r w:rsidR="0088786D">
          <w:rPr>
            <w:noProof/>
            <w:webHidden/>
          </w:rPr>
          <w:instrText xml:space="preserve"> PAGEREF _Toc457553285 \h </w:instrText>
        </w:r>
        <w:r w:rsidR="0088786D">
          <w:rPr>
            <w:noProof/>
            <w:webHidden/>
          </w:rPr>
        </w:r>
        <w:r w:rsidR="0088786D">
          <w:rPr>
            <w:noProof/>
            <w:webHidden/>
          </w:rPr>
          <w:fldChar w:fldCharType="separate"/>
        </w:r>
        <w:r w:rsidR="00D04B3A">
          <w:rPr>
            <w:noProof/>
            <w:webHidden/>
          </w:rPr>
          <w:t>84</w:t>
        </w:r>
        <w:r w:rsidR="0088786D">
          <w:rPr>
            <w:noProof/>
            <w:webHidden/>
          </w:rPr>
          <w:fldChar w:fldCharType="end"/>
        </w:r>
      </w:hyperlink>
    </w:p>
    <w:p w:rsidR="0088786D" w:rsidRDefault="0055176D">
      <w:pPr>
        <w:pStyle w:val="TOC2"/>
        <w:tabs>
          <w:tab w:val="right" w:leader="dot" w:pos="9350"/>
        </w:tabs>
        <w:rPr>
          <w:noProof/>
          <w:sz w:val="22"/>
        </w:rPr>
      </w:pPr>
      <w:hyperlink w:anchor="_Toc457553286" w:history="1">
        <w:r w:rsidR="0088786D" w:rsidRPr="00E10AB5">
          <w:rPr>
            <w:rStyle w:val="Hyperlink"/>
            <w:noProof/>
          </w:rPr>
          <w:t>Medical Diagnostic Examination</w:t>
        </w:r>
        <w:r w:rsidR="0088786D">
          <w:rPr>
            <w:noProof/>
            <w:webHidden/>
          </w:rPr>
          <w:tab/>
        </w:r>
        <w:r w:rsidR="0088786D">
          <w:rPr>
            <w:noProof/>
            <w:webHidden/>
          </w:rPr>
          <w:fldChar w:fldCharType="begin"/>
        </w:r>
        <w:r w:rsidR="0088786D">
          <w:rPr>
            <w:noProof/>
            <w:webHidden/>
          </w:rPr>
          <w:instrText xml:space="preserve"> PAGEREF _Toc457553286 \h </w:instrText>
        </w:r>
        <w:r w:rsidR="0088786D">
          <w:rPr>
            <w:noProof/>
            <w:webHidden/>
          </w:rPr>
        </w:r>
        <w:r w:rsidR="0088786D">
          <w:rPr>
            <w:noProof/>
            <w:webHidden/>
          </w:rPr>
          <w:fldChar w:fldCharType="separate"/>
        </w:r>
        <w:r w:rsidR="00D04B3A">
          <w:rPr>
            <w:noProof/>
            <w:webHidden/>
          </w:rPr>
          <w:t>86</w:t>
        </w:r>
        <w:r w:rsidR="0088786D">
          <w:rPr>
            <w:noProof/>
            <w:webHidden/>
          </w:rPr>
          <w:fldChar w:fldCharType="end"/>
        </w:r>
      </w:hyperlink>
    </w:p>
    <w:p w:rsidR="0088786D" w:rsidRDefault="0055176D">
      <w:pPr>
        <w:pStyle w:val="TOC2"/>
        <w:tabs>
          <w:tab w:val="right" w:leader="dot" w:pos="9350"/>
        </w:tabs>
        <w:rPr>
          <w:noProof/>
          <w:sz w:val="22"/>
        </w:rPr>
      </w:pPr>
      <w:hyperlink w:anchor="_Toc457553287" w:history="1">
        <w:r w:rsidR="0088786D" w:rsidRPr="00E10AB5">
          <w:rPr>
            <w:rStyle w:val="Hyperlink"/>
            <w:noProof/>
          </w:rPr>
          <w:t>Prescription Labelling</w:t>
        </w:r>
        <w:r w:rsidR="0088786D">
          <w:rPr>
            <w:noProof/>
            <w:webHidden/>
          </w:rPr>
          <w:tab/>
        </w:r>
        <w:r w:rsidR="0088786D">
          <w:rPr>
            <w:noProof/>
            <w:webHidden/>
          </w:rPr>
          <w:fldChar w:fldCharType="begin"/>
        </w:r>
        <w:r w:rsidR="0088786D">
          <w:rPr>
            <w:noProof/>
            <w:webHidden/>
          </w:rPr>
          <w:instrText xml:space="preserve"> PAGEREF _Toc457553287 \h </w:instrText>
        </w:r>
        <w:r w:rsidR="0088786D">
          <w:rPr>
            <w:noProof/>
            <w:webHidden/>
          </w:rPr>
        </w:r>
        <w:r w:rsidR="0088786D">
          <w:rPr>
            <w:noProof/>
            <w:webHidden/>
          </w:rPr>
          <w:fldChar w:fldCharType="separate"/>
        </w:r>
        <w:r w:rsidR="00D04B3A">
          <w:rPr>
            <w:noProof/>
            <w:webHidden/>
          </w:rPr>
          <w:t>86</w:t>
        </w:r>
        <w:r w:rsidR="0088786D">
          <w:rPr>
            <w:noProof/>
            <w:webHidden/>
          </w:rPr>
          <w:fldChar w:fldCharType="end"/>
        </w:r>
      </w:hyperlink>
    </w:p>
    <w:p w:rsidR="0088786D" w:rsidRDefault="0055176D">
      <w:pPr>
        <w:pStyle w:val="TOC1"/>
        <w:tabs>
          <w:tab w:val="right" w:leader="dot" w:pos="9350"/>
        </w:tabs>
        <w:rPr>
          <w:noProof/>
          <w:sz w:val="22"/>
        </w:rPr>
      </w:pPr>
      <w:hyperlink w:anchor="_Toc457553288" w:history="1">
        <w:r w:rsidR="0088786D" w:rsidRPr="00E10AB5">
          <w:rPr>
            <w:rStyle w:val="Hyperlink"/>
            <w:noProof/>
          </w:rPr>
          <w:t>8. Conclusion</w:t>
        </w:r>
        <w:r w:rsidR="0088786D">
          <w:rPr>
            <w:noProof/>
            <w:webHidden/>
          </w:rPr>
          <w:tab/>
        </w:r>
        <w:r w:rsidR="0088786D">
          <w:rPr>
            <w:noProof/>
            <w:webHidden/>
          </w:rPr>
          <w:fldChar w:fldCharType="begin"/>
        </w:r>
        <w:r w:rsidR="0088786D">
          <w:rPr>
            <w:noProof/>
            <w:webHidden/>
          </w:rPr>
          <w:instrText xml:space="preserve"> PAGEREF _Toc457553288 \h </w:instrText>
        </w:r>
        <w:r w:rsidR="0088786D">
          <w:rPr>
            <w:noProof/>
            <w:webHidden/>
          </w:rPr>
        </w:r>
        <w:r w:rsidR="0088786D">
          <w:rPr>
            <w:noProof/>
            <w:webHidden/>
          </w:rPr>
          <w:fldChar w:fldCharType="separate"/>
        </w:r>
        <w:r w:rsidR="00D04B3A">
          <w:rPr>
            <w:noProof/>
            <w:webHidden/>
          </w:rPr>
          <w:t>88</w:t>
        </w:r>
        <w:r w:rsidR="0088786D">
          <w:rPr>
            <w:noProof/>
            <w:webHidden/>
          </w:rPr>
          <w:fldChar w:fldCharType="end"/>
        </w:r>
      </w:hyperlink>
    </w:p>
    <w:p w:rsidR="0088786D" w:rsidRDefault="0055176D">
      <w:pPr>
        <w:pStyle w:val="TOC1"/>
        <w:tabs>
          <w:tab w:val="right" w:leader="dot" w:pos="9350"/>
        </w:tabs>
        <w:rPr>
          <w:noProof/>
          <w:sz w:val="22"/>
        </w:rPr>
      </w:pPr>
      <w:hyperlink w:anchor="_Toc457553289" w:history="1">
        <w:r w:rsidR="0088786D" w:rsidRPr="00E10AB5">
          <w:rPr>
            <w:rStyle w:val="Hyperlink"/>
            <w:noProof/>
          </w:rPr>
          <w:t>9. References</w:t>
        </w:r>
        <w:r w:rsidR="0088786D">
          <w:rPr>
            <w:noProof/>
            <w:webHidden/>
          </w:rPr>
          <w:tab/>
        </w:r>
        <w:r w:rsidR="0088786D">
          <w:rPr>
            <w:noProof/>
            <w:webHidden/>
          </w:rPr>
          <w:fldChar w:fldCharType="begin"/>
        </w:r>
        <w:r w:rsidR="0088786D">
          <w:rPr>
            <w:noProof/>
            <w:webHidden/>
          </w:rPr>
          <w:instrText xml:space="preserve"> PAGEREF _Toc457553289 \h </w:instrText>
        </w:r>
        <w:r w:rsidR="0088786D">
          <w:rPr>
            <w:noProof/>
            <w:webHidden/>
          </w:rPr>
        </w:r>
        <w:r w:rsidR="0088786D">
          <w:rPr>
            <w:noProof/>
            <w:webHidden/>
          </w:rPr>
          <w:fldChar w:fldCharType="separate"/>
        </w:r>
        <w:r w:rsidR="00D04B3A">
          <w:rPr>
            <w:noProof/>
            <w:webHidden/>
          </w:rPr>
          <w:t>90</w:t>
        </w:r>
        <w:r w:rsidR="0088786D">
          <w:rPr>
            <w:noProof/>
            <w:webHidden/>
          </w:rPr>
          <w:fldChar w:fldCharType="end"/>
        </w:r>
      </w:hyperlink>
    </w:p>
    <w:p w:rsidR="0088786D" w:rsidRDefault="0055176D">
      <w:pPr>
        <w:pStyle w:val="TOC1"/>
        <w:tabs>
          <w:tab w:val="right" w:leader="dot" w:pos="9350"/>
        </w:tabs>
        <w:rPr>
          <w:noProof/>
          <w:sz w:val="22"/>
        </w:rPr>
      </w:pPr>
      <w:hyperlink w:anchor="_Toc457553290" w:history="1">
        <w:r w:rsidR="0088786D" w:rsidRPr="00E10AB5">
          <w:rPr>
            <w:rStyle w:val="Hyperlink"/>
            <w:noProof/>
          </w:rPr>
          <w:t>10. Appendix – Research Findings</w:t>
        </w:r>
        <w:r w:rsidR="0088786D">
          <w:rPr>
            <w:noProof/>
            <w:webHidden/>
          </w:rPr>
          <w:tab/>
        </w:r>
        <w:r w:rsidR="0088786D">
          <w:rPr>
            <w:noProof/>
            <w:webHidden/>
          </w:rPr>
          <w:fldChar w:fldCharType="begin"/>
        </w:r>
        <w:r w:rsidR="0088786D">
          <w:rPr>
            <w:noProof/>
            <w:webHidden/>
          </w:rPr>
          <w:instrText xml:space="preserve"> PAGEREF _Toc457553290 \h </w:instrText>
        </w:r>
        <w:r w:rsidR="0088786D">
          <w:rPr>
            <w:noProof/>
            <w:webHidden/>
          </w:rPr>
        </w:r>
        <w:r w:rsidR="0088786D">
          <w:rPr>
            <w:noProof/>
            <w:webHidden/>
          </w:rPr>
          <w:fldChar w:fldCharType="separate"/>
        </w:r>
        <w:r w:rsidR="00D04B3A">
          <w:rPr>
            <w:noProof/>
            <w:webHidden/>
          </w:rPr>
          <w:t>121</w:t>
        </w:r>
        <w:r w:rsidR="0088786D">
          <w:rPr>
            <w:noProof/>
            <w:webHidden/>
          </w:rPr>
          <w:fldChar w:fldCharType="end"/>
        </w:r>
      </w:hyperlink>
    </w:p>
    <w:p w:rsidR="0088786D" w:rsidRDefault="0055176D">
      <w:pPr>
        <w:pStyle w:val="TOC2"/>
        <w:tabs>
          <w:tab w:val="right" w:leader="dot" w:pos="9350"/>
        </w:tabs>
        <w:rPr>
          <w:noProof/>
          <w:sz w:val="22"/>
        </w:rPr>
      </w:pPr>
      <w:hyperlink w:anchor="_Toc457553291" w:history="1">
        <w:r w:rsidR="0088786D" w:rsidRPr="00E10AB5">
          <w:rPr>
            <w:rStyle w:val="Hyperlink"/>
            <w:noProof/>
          </w:rPr>
          <w:t>Canada</w:t>
        </w:r>
        <w:r w:rsidR="0088786D">
          <w:rPr>
            <w:noProof/>
            <w:webHidden/>
          </w:rPr>
          <w:tab/>
        </w:r>
        <w:r w:rsidR="0088786D">
          <w:rPr>
            <w:noProof/>
            <w:webHidden/>
          </w:rPr>
          <w:fldChar w:fldCharType="begin"/>
        </w:r>
        <w:r w:rsidR="0088786D">
          <w:rPr>
            <w:noProof/>
            <w:webHidden/>
          </w:rPr>
          <w:instrText xml:space="preserve"> PAGEREF _Toc457553291 \h </w:instrText>
        </w:r>
        <w:r w:rsidR="0088786D">
          <w:rPr>
            <w:noProof/>
            <w:webHidden/>
          </w:rPr>
        </w:r>
        <w:r w:rsidR="0088786D">
          <w:rPr>
            <w:noProof/>
            <w:webHidden/>
          </w:rPr>
          <w:fldChar w:fldCharType="separate"/>
        </w:r>
        <w:r w:rsidR="00D04B3A">
          <w:rPr>
            <w:noProof/>
            <w:webHidden/>
          </w:rPr>
          <w:t>121</w:t>
        </w:r>
        <w:r w:rsidR="0088786D">
          <w:rPr>
            <w:noProof/>
            <w:webHidden/>
          </w:rPr>
          <w:fldChar w:fldCharType="end"/>
        </w:r>
      </w:hyperlink>
    </w:p>
    <w:p w:rsidR="0088786D" w:rsidRDefault="0055176D">
      <w:pPr>
        <w:pStyle w:val="TOC2"/>
        <w:tabs>
          <w:tab w:val="right" w:leader="dot" w:pos="9350"/>
        </w:tabs>
        <w:rPr>
          <w:noProof/>
          <w:sz w:val="22"/>
        </w:rPr>
      </w:pPr>
      <w:hyperlink w:anchor="_Toc457553292" w:history="1">
        <w:r w:rsidR="0088786D" w:rsidRPr="00E10AB5">
          <w:rPr>
            <w:rStyle w:val="Hyperlink"/>
            <w:noProof/>
          </w:rPr>
          <w:t>British Columbia</w:t>
        </w:r>
        <w:r w:rsidR="0088786D">
          <w:rPr>
            <w:noProof/>
            <w:webHidden/>
          </w:rPr>
          <w:tab/>
        </w:r>
        <w:r w:rsidR="0088786D">
          <w:rPr>
            <w:noProof/>
            <w:webHidden/>
          </w:rPr>
          <w:fldChar w:fldCharType="begin"/>
        </w:r>
        <w:r w:rsidR="0088786D">
          <w:rPr>
            <w:noProof/>
            <w:webHidden/>
          </w:rPr>
          <w:instrText xml:space="preserve"> PAGEREF _Toc457553292 \h </w:instrText>
        </w:r>
        <w:r w:rsidR="0088786D">
          <w:rPr>
            <w:noProof/>
            <w:webHidden/>
          </w:rPr>
        </w:r>
        <w:r w:rsidR="0088786D">
          <w:rPr>
            <w:noProof/>
            <w:webHidden/>
          </w:rPr>
          <w:fldChar w:fldCharType="separate"/>
        </w:r>
        <w:r w:rsidR="00D04B3A">
          <w:rPr>
            <w:noProof/>
            <w:webHidden/>
          </w:rPr>
          <w:t>128</w:t>
        </w:r>
        <w:r w:rsidR="0088786D">
          <w:rPr>
            <w:noProof/>
            <w:webHidden/>
          </w:rPr>
          <w:fldChar w:fldCharType="end"/>
        </w:r>
      </w:hyperlink>
    </w:p>
    <w:p w:rsidR="0088786D" w:rsidRDefault="0055176D">
      <w:pPr>
        <w:pStyle w:val="TOC2"/>
        <w:tabs>
          <w:tab w:val="right" w:leader="dot" w:pos="9350"/>
        </w:tabs>
        <w:rPr>
          <w:noProof/>
          <w:sz w:val="22"/>
        </w:rPr>
      </w:pPr>
      <w:hyperlink w:anchor="_Toc457553293" w:history="1">
        <w:r w:rsidR="0088786D" w:rsidRPr="00E10AB5">
          <w:rPr>
            <w:rStyle w:val="Hyperlink"/>
            <w:noProof/>
          </w:rPr>
          <w:t>Quebec</w:t>
        </w:r>
        <w:r w:rsidR="0088786D">
          <w:rPr>
            <w:noProof/>
            <w:webHidden/>
          </w:rPr>
          <w:tab/>
        </w:r>
        <w:r w:rsidR="0088786D">
          <w:rPr>
            <w:noProof/>
            <w:webHidden/>
          </w:rPr>
          <w:fldChar w:fldCharType="begin"/>
        </w:r>
        <w:r w:rsidR="0088786D">
          <w:rPr>
            <w:noProof/>
            <w:webHidden/>
          </w:rPr>
          <w:instrText xml:space="preserve"> PAGEREF _Toc457553293 \h </w:instrText>
        </w:r>
        <w:r w:rsidR="0088786D">
          <w:rPr>
            <w:noProof/>
            <w:webHidden/>
          </w:rPr>
        </w:r>
        <w:r w:rsidR="0088786D">
          <w:rPr>
            <w:noProof/>
            <w:webHidden/>
          </w:rPr>
          <w:fldChar w:fldCharType="separate"/>
        </w:r>
        <w:r w:rsidR="00D04B3A">
          <w:rPr>
            <w:noProof/>
            <w:webHidden/>
          </w:rPr>
          <w:t>136</w:t>
        </w:r>
        <w:r w:rsidR="0088786D">
          <w:rPr>
            <w:noProof/>
            <w:webHidden/>
          </w:rPr>
          <w:fldChar w:fldCharType="end"/>
        </w:r>
      </w:hyperlink>
    </w:p>
    <w:p w:rsidR="0088786D" w:rsidRDefault="0055176D">
      <w:pPr>
        <w:pStyle w:val="TOC2"/>
        <w:tabs>
          <w:tab w:val="right" w:leader="dot" w:pos="9350"/>
        </w:tabs>
        <w:rPr>
          <w:noProof/>
          <w:sz w:val="22"/>
        </w:rPr>
      </w:pPr>
      <w:hyperlink w:anchor="_Toc457553294" w:history="1">
        <w:r w:rsidR="0088786D" w:rsidRPr="00E10AB5">
          <w:rPr>
            <w:rStyle w:val="Hyperlink"/>
            <w:noProof/>
          </w:rPr>
          <w:t>Alberta</w:t>
        </w:r>
        <w:r w:rsidR="0088786D">
          <w:rPr>
            <w:noProof/>
            <w:webHidden/>
          </w:rPr>
          <w:tab/>
        </w:r>
        <w:r w:rsidR="0088786D">
          <w:rPr>
            <w:noProof/>
            <w:webHidden/>
          </w:rPr>
          <w:fldChar w:fldCharType="begin"/>
        </w:r>
        <w:r w:rsidR="0088786D">
          <w:rPr>
            <w:noProof/>
            <w:webHidden/>
          </w:rPr>
          <w:instrText xml:space="preserve"> PAGEREF _Toc457553294 \h </w:instrText>
        </w:r>
        <w:r w:rsidR="0088786D">
          <w:rPr>
            <w:noProof/>
            <w:webHidden/>
          </w:rPr>
        </w:r>
        <w:r w:rsidR="0088786D">
          <w:rPr>
            <w:noProof/>
            <w:webHidden/>
          </w:rPr>
          <w:fldChar w:fldCharType="separate"/>
        </w:r>
        <w:r w:rsidR="00D04B3A">
          <w:rPr>
            <w:noProof/>
            <w:webHidden/>
          </w:rPr>
          <w:t>140</w:t>
        </w:r>
        <w:r w:rsidR="0088786D">
          <w:rPr>
            <w:noProof/>
            <w:webHidden/>
          </w:rPr>
          <w:fldChar w:fldCharType="end"/>
        </w:r>
      </w:hyperlink>
    </w:p>
    <w:p w:rsidR="0088786D" w:rsidRDefault="0055176D">
      <w:pPr>
        <w:pStyle w:val="TOC2"/>
        <w:tabs>
          <w:tab w:val="right" w:leader="dot" w:pos="9350"/>
        </w:tabs>
        <w:rPr>
          <w:noProof/>
          <w:sz w:val="22"/>
        </w:rPr>
      </w:pPr>
      <w:hyperlink w:anchor="_Toc457553295" w:history="1">
        <w:r w:rsidR="0088786D" w:rsidRPr="00E10AB5">
          <w:rPr>
            <w:rStyle w:val="Hyperlink"/>
            <w:noProof/>
          </w:rPr>
          <w:t>Saskatchewan</w:t>
        </w:r>
        <w:r w:rsidR="0088786D">
          <w:rPr>
            <w:noProof/>
            <w:webHidden/>
          </w:rPr>
          <w:tab/>
        </w:r>
        <w:r w:rsidR="0088786D">
          <w:rPr>
            <w:noProof/>
            <w:webHidden/>
          </w:rPr>
          <w:fldChar w:fldCharType="begin"/>
        </w:r>
        <w:r w:rsidR="0088786D">
          <w:rPr>
            <w:noProof/>
            <w:webHidden/>
          </w:rPr>
          <w:instrText xml:space="preserve"> PAGEREF _Toc457553295 \h </w:instrText>
        </w:r>
        <w:r w:rsidR="0088786D">
          <w:rPr>
            <w:noProof/>
            <w:webHidden/>
          </w:rPr>
        </w:r>
        <w:r w:rsidR="0088786D">
          <w:rPr>
            <w:noProof/>
            <w:webHidden/>
          </w:rPr>
          <w:fldChar w:fldCharType="separate"/>
        </w:r>
        <w:r w:rsidR="00D04B3A">
          <w:rPr>
            <w:noProof/>
            <w:webHidden/>
          </w:rPr>
          <w:t>142</w:t>
        </w:r>
        <w:r w:rsidR="0088786D">
          <w:rPr>
            <w:noProof/>
            <w:webHidden/>
          </w:rPr>
          <w:fldChar w:fldCharType="end"/>
        </w:r>
      </w:hyperlink>
    </w:p>
    <w:p w:rsidR="0088786D" w:rsidRDefault="0055176D">
      <w:pPr>
        <w:pStyle w:val="TOC2"/>
        <w:tabs>
          <w:tab w:val="right" w:leader="dot" w:pos="9350"/>
        </w:tabs>
        <w:rPr>
          <w:noProof/>
          <w:sz w:val="22"/>
        </w:rPr>
      </w:pPr>
      <w:hyperlink w:anchor="_Toc457553296" w:history="1">
        <w:r w:rsidR="0088786D" w:rsidRPr="00E10AB5">
          <w:rPr>
            <w:rStyle w:val="Hyperlink"/>
            <w:noProof/>
          </w:rPr>
          <w:t>Manitoba</w:t>
        </w:r>
        <w:r w:rsidR="0088786D">
          <w:rPr>
            <w:noProof/>
            <w:webHidden/>
          </w:rPr>
          <w:tab/>
        </w:r>
        <w:r w:rsidR="0088786D">
          <w:rPr>
            <w:noProof/>
            <w:webHidden/>
          </w:rPr>
          <w:fldChar w:fldCharType="begin"/>
        </w:r>
        <w:r w:rsidR="0088786D">
          <w:rPr>
            <w:noProof/>
            <w:webHidden/>
          </w:rPr>
          <w:instrText xml:space="preserve"> PAGEREF _Toc457553296 \h </w:instrText>
        </w:r>
        <w:r w:rsidR="0088786D">
          <w:rPr>
            <w:noProof/>
            <w:webHidden/>
          </w:rPr>
        </w:r>
        <w:r w:rsidR="0088786D">
          <w:rPr>
            <w:noProof/>
            <w:webHidden/>
          </w:rPr>
          <w:fldChar w:fldCharType="separate"/>
        </w:r>
        <w:r w:rsidR="00D04B3A">
          <w:rPr>
            <w:noProof/>
            <w:webHidden/>
          </w:rPr>
          <w:t>144</w:t>
        </w:r>
        <w:r w:rsidR="0088786D">
          <w:rPr>
            <w:noProof/>
            <w:webHidden/>
          </w:rPr>
          <w:fldChar w:fldCharType="end"/>
        </w:r>
      </w:hyperlink>
    </w:p>
    <w:p w:rsidR="0088786D" w:rsidRDefault="0055176D">
      <w:pPr>
        <w:pStyle w:val="TOC2"/>
        <w:tabs>
          <w:tab w:val="right" w:leader="dot" w:pos="9350"/>
        </w:tabs>
        <w:rPr>
          <w:noProof/>
          <w:sz w:val="22"/>
        </w:rPr>
      </w:pPr>
      <w:hyperlink w:anchor="_Toc457553297" w:history="1">
        <w:r w:rsidR="0088786D" w:rsidRPr="00E10AB5">
          <w:rPr>
            <w:rStyle w:val="Hyperlink"/>
            <w:noProof/>
          </w:rPr>
          <w:t>New Brunswick</w:t>
        </w:r>
        <w:r w:rsidR="0088786D">
          <w:rPr>
            <w:noProof/>
            <w:webHidden/>
          </w:rPr>
          <w:tab/>
        </w:r>
        <w:r w:rsidR="0088786D">
          <w:rPr>
            <w:noProof/>
            <w:webHidden/>
          </w:rPr>
          <w:fldChar w:fldCharType="begin"/>
        </w:r>
        <w:r w:rsidR="0088786D">
          <w:rPr>
            <w:noProof/>
            <w:webHidden/>
          </w:rPr>
          <w:instrText xml:space="preserve"> PAGEREF _Toc457553297 \h </w:instrText>
        </w:r>
        <w:r w:rsidR="0088786D">
          <w:rPr>
            <w:noProof/>
            <w:webHidden/>
          </w:rPr>
        </w:r>
        <w:r w:rsidR="0088786D">
          <w:rPr>
            <w:noProof/>
            <w:webHidden/>
          </w:rPr>
          <w:fldChar w:fldCharType="separate"/>
        </w:r>
        <w:r w:rsidR="00D04B3A">
          <w:rPr>
            <w:noProof/>
            <w:webHidden/>
          </w:rPr>
          <w:t>147</w:t>
        </w:r>
        <w:r w:rsidR="0088786D">
          <w:rPr>
            <w:noProof/>
            <w:webHidden/>
          </w:rPr>
          <w:fldChar w:fldCharType="end"/>
        </w:r>
      </w:hyperlink>
    </w:p>
    <w:p w:rsidR="0088786D" w:rsidRDefault="0055176D">
      <w:pPr>
        <w:pStyle w:val="TOC2"/>
        <w:tabs>
          <w:tab w:val="right" w:leader="dot" w:pos="9350"/>
        </w:tabs>
        <w:rPr>
          <w:noProof/>
          <w:sz w:val="22"/>
        </w:rPr>
      </w:pPr>
      <w:hyperlink w:anchor="_Toc457553298" w:history="1">
        <w:r w:rsidR="0088786D" w:rsidRPr="00E10AB5">
          <w:rPr>
            <w:rStyle w:val="Hyperlink"/>
            <w:noProof/>
          </w:rPr>
          <w:t>Nova Scotia</w:t>
        </w:r>
        <w:r w:rsidR="0088786D">
          <w:rPr>
            <w:noProof/>
            <w:webHidden/>
          </w:rPr>
          <w:tab/>
        </w:r>
        <w:r w:rsidR="0088786D">
          <w:rPr>
            <w:noProof/>
            <w:webHidden/>
          </w:rPr>
          <w:fldChar w:fldCharType="begin"/>
        </w:r>
        <w:r w:rsidR="0088786D">
          <w:rPr>
            <w:noProof/>
            <w:webHidden/>
          </w:rPr>
          <w:instrText xml:space="preserve"> PAGEREF _Toc457553298 \h </w:instrText>
        </w:r>
        <w:r w:rsidR="0088786D">
          <w:rPr>
            <w:noProof/>
            <w:webHidden/>
          </w:rPr>
        </w:r>
        <w:r w:rsidR="0088786D">
          <w:rPr>
            <w:noProof/>
            <w:webHidden/>
          </w:rPr>
          <w:fldChar w:fldCharType="separate"/>
        </w:r>
        <w:r w:rsidR="00D04B3A">
          <w:rPr>
            <w:noProof/>
            <w:webHidden/>
          </w:rPr>
          <w:t>155</w:t>
        </w:r>
        <w:r w:rsidR="0088786D">
          <w:rPr>
            <w:noProof/>
            <w:webHidden/>
          </w:rPr>
          <w:fldChar w:fldCharType="end"/>
        </w:r>
      </w:hyperlink>
    </w:p>
    <w:p w:rsidR="0088786D" w:rsidRDefault="0055176D">
      <w:pPr>
        <w:pStyle w:val="TOC2"/>
        <w:tabs>
          <w:tab w:val="right" w:leader="dot" w:pos="9350"/>
        </w:tabs>
        <w:rPr>
          <w:noProof/>
          <w:sz w:val="22"/>
        </w:rPr>
      </w:pPr>
      <w:hyperlink w:anchor="_Toc457553299" w:history="1">
        <w:r w:rsidR="0088786D" w:rsidRPr="00E10AB5">
          <w:rPr>
            <w:rStyle w:val="Hyperlink"/>
            <w:noProof/>
          </w:rPr>
          <w:t>Newfoundland and Labrador</w:t>
        </w:r>
        <w:r w:rsidR="0088786D">
          <w:rPr>
            <w:noProof/>
            <w:webHidden/>
          </w:rPr>
          <w:tab/>
        </w:r>
        <w:r w:rsidR="0088786D">
          <w:rPr>
            <w:noProof/>
            <w:webHidden/>
          </w:rPr>
          <w:fldChar w:fldCharType="begin"/>
        </w:r>
        <w:r w:rsidR="0088786D">
          <w:rPr>
            <w:noProof/>
            <w:webHidden/>
          </w:rPr>
          <w:instrText xml:space="preserve"> PAGEREF _Toc457553299 \h </w:instrText>
        </w:r>
        <w:r w:rsidR="0088786D">
          <w:rPr>
            <w:noProof/>
            <w:webHidden/>
          </w:rPr>
        </w:r>
        <w:r w:rsidR="0088786D">
          <w:rPr>
            <w:noProof/>
            <w:webHidden/>
          </w:rPr>
          <w:fldChar w:fldCharType="separate"/>
        </w:r>
        <w:r w:rsidR="00D04B3A">
          <w:rPr>
            <w:noProof/>
            <w:webHidden/>
          </w:rPr>
          <w:t>157</w:t>
        </w:r>
        <w:r w:rsidR="0088786D">
          <w:rPr>
            <w:noProof/>
            <w:webHidden/>
          </w:rPr>
          <w:fldChar w:fldCharType="end"/>
        </w:r>
      </w:hyperlink>
    </w:p>
    <w:p w:rsidR="0088786D" w:rsidRDefault="0055176D">
      <w:pPr>
        <w:pStyle w:val="TOC2"/>
        <w:tabs>
          <w:tab w:val="right" w:leader="dot" w:pos="9350"/>
        </w:tabs>
        <w:rPr>
          <w:noProof/>
          <w:sz w:val="22"/>
        </w:rPr>
      </w:pPr>
      <w:hyperlink w:anchor="_Toc457553300" w:history="1">
        <w:r w:rsidR="0088786D" w:rsidRPr="00E10AB5">
          <w:rPr>
            <w:rStyle w:val="Hyperlink"/>
            <w:noProof/>
            <w:lang w:val="en-US"/>
          </w:rPr>
          <w:t>Prince Edward Island</w:t>
        </w:r>
        <w:r w:rsidR="0088786D">
          <w:rPr>
            <w:noProof/>
            <w:webHidden/>
          </w:rPr>
          <w:tab/>
        </w:r>
        <w:r w:rsidR="0088786D">
          <w:rPr>
            <w:noProof/>
            <w:webHidden/>
          </w:rPr>
          <w:fldChar w:fldCharType="begin"/>
        </w:r>
        <w:r w:rsidR="0088786D">
          <w:rPr>
            <w:noProof/>
            <w:webHidden/>
          </w:rPr>
          <w:instrText xml:space="preserve"> PAGEREF _Toc457553300 \h </w:instrText>
        </w:r>
        <w:r w:rsidR="0088786D">
          <w:rPr>
            <w:noProof/>
            <w:webHidden/>
          </w:rPr>
        </w:r>
        <w:r w:rsidR="0088786D">
          <w:rPr>
            <w:noProof/>
            <w:webHidden/>
          </w:rPr>
          <w:fldChar w:fldCharType="separate"/>
        </w:r>
        <w:r w:rsidR="00D04B3A">
          <w:rPr>
            <w:noProof/>
            <w:webHidden/>
          </w:rPr>
          <w:t>159</w:t>
        </w:r>
        <w:r w:rsidR="0088786D">
          <w:rPr>
            <w:noProof/>
            <w:webHidden/>
          </w:rPr>
          <w:fldChar w:fldCharType="end"/>
        </w:r>
      </w:hyperlink>
    </w:p>
    <w:p w:rsidR="0088786D" w:rsidRDefault="0055176D">
      <w:pPr>
        <w:pStyle w:val="TOC2"/>
        <w:tabs>
          <w:tab w:val="right" w:leader="dot" w:pos="9350"/>
        </w:tabs>
        <w:rPr>
          <w:noProof/>
          <w:sz w:val="22"/>
        </w:rPr>
      </w:pPr>
      <w:hyperlink w:anchor="_Toc457553301" w:history="1">
        <w:r w:rsidR="0088786D" w:rsidRPr="00E10AB5">
          <w:rPr>
            <w:rStyle w:val="Hyperlink"/>
            <w:noProof/>
          </w:rPr>
          <w:t>Northwest Territories</w:t>
        </w:r>
        <w:r w:rsidR="0088786D">
          <w:rPr>
            <w:noProof/>
            <w:webHidden/>
          </w:rPr>
          <w:tab/>
        </w:r>
        <w:r w:rsidR="0088786D">
          <w:rPr>
            <w:noProof/>
            <w:webHidden/>
          </w:rPr>
          <w:fldChar w:fldCharType="begin"/>
        </w:r>
        <w:r w:rsidR="0088786D">
          <w:rPr>
            <w:noProof/>
            <w:webHidden/>
          </w:rPr>
          <w:instrText xml:space="preserve"> PAGEREF _Toc457553301 \h </w:instrText>
        </w:r>
        <w:r w:rsidR="0088786D">
          <w:rPr>
            <w:noProof/>
            <w:webHidden/>
          </w:rPr>
        </w:r>
        <w:r w:rsidR="0088786D">
          <w:rPr>
            <w:noProof/>
            <w:webHidden/>
          </w:rPr>
          <w:fldChar w:fldCharType="separate"/>
        </w:r>
        <w:r w:rsidR="00D04B3A">
          <w:rPr>
            <w:noProof/>
            <w:webHidden/>
          </w:rPr>
          <w:t>162</w:t>
        </w:r>
        <w:r w:rsidR="0088786D">
          <w:rPr>
            <w:noProof/>
            <w:webHidden/>
          </w:rPr>
          <w:fldChar w:fldCharType="end"/>
        </w:r>
      </w:hyperlink>
    </w:p>
    <w:p w:rsidR="0088786D" w:rsidRDefault="0055176D">
      <w:pPr>
        <w:pStyle w:val="TOC2"/>
        <w:tabs>
          <w:tab w:val="right" w:leader="dot" w:pos="9350"/>
        </w:tabs>
        <w:rPr>
          <w:noProof/>
          <w:sz w:val="22"/>
        </w:rPr>
      </w:pPr>
      <w:hyperlink w:anchor="_Toc457553302" w:history="1">
        <w:r w:rsidR="0088786D" w:rsidRPr="00E10AB5">
          <w:rPr>
            <w:rStyle w:val="Hyperlink"/>
            <w:noProof/>
          </w:rPr>
          <w:t>Nunavut</w:t>
        </w:r>
        <w:r w:rsidR="0088786D">
          <w:rPr>
            <w:noProof/>
            <w:webHidden/>
          </w:rPr>
          <w:tab/>
        </w:r>
        <w:r w:rsidR="0088786D">
          <w:rPr>
            <w:noProof/>
            <w:webHidden/>
          </w:rPr>
          <w:fldChar w:fldCharType="begin"/>
        </w:r>
        <w:r w:rsidR="0088786D">
          <w:rPr>
            <w:noProof/>
            <w:webHidden/>
          </w:rPr>
          <w:instrText xml:space="preserve"> PAGEREF _Toc457553302 \h </w:instrText>
        </w:r>
        <w:r w:rsidR="0088786D">
          <w:rPr>
            <w:noProof/>
            <w:webHidden/>
          </w:rPr>
        </w:r>
        <w:r w:rsidR="0088786D">
          <w:rPr>
            <w:noProof/>
            <w:webHidden/>
          </w:rPr>
          <w:fldChar w:fldCharType="separate"/>
        </w:r>
        <w:r w:rsidR="00D04B3A">
          <w:rPr>
            <w:noProof/>
            <w:webHidden/>
          </w:rPr>
          <w:t>163</w:t>
        </w:r>
        <w:r w:rsidR="0088786D">
          <w:rPr>
            <w:noProof/>
            <w:webHidden/>
          </w:rPr>
          <w:fldChar w:fldCharType="end"/>
        </w:r>
      </w:hyperlink>
    </w:p>
    <w:p w:rsidR="0088786D" w:rsidRDefault="0055176D">
      <w:pPr>
        <w:pStyle w:val="TOC2"/>
        <w:tabs>
          <w:tab w:val="right" w:leader="dot" w:pos="9350"/>
        </w:tabs>
        <w:rPr>
          <w:noProof/>
          <w:sz w:val="22"/>
        </w:rPr>
      </w:pPr>
      <w:hyperlink w:anchor="_Toc457553303" w:history="1">
        <w:r w:rsidR="0088786D" w:rsidRPr="00E10AB5">
          <w:rPr>
            <w:rStyle w:val="Hyperlink"/>
            <w:noProof/>
          </w:rPr>
          <w:t>Yukon</w:t>
        </w:r>
        <w:r w:rsidR="0088786D">
          <w:rPr>
            <w:noProof/>
            <w:webHidden/>
          </w:rPr>
          <w:tab/>
        </w:r>
        <w:r w:rsidR="0088786D">
          <w:rPr>
            <w:noProof/>
            <w:webHidden/>
          </w:rPr>
          <w:fldChar w:fldCharType="begin"/>
        </w:r>
        <w:r w:rsidR="0088786D">
          <w:rPr>
            <w:noProof/>
            <w:webHidden/>
          </w:rPr>
          <w:instrText xml:space="preserve"> PAGEREF _Toc457553303 \h </w:instrText>
        </w:r>
        <w:r w:rsidR="0088786D">
          <w:rPr>
            <w:noProof/>
            <w:webHidden/>
          </w:rPr>
        </w:r>
        <w:r w:rsidR="0088786D">
          <w:rPr>
            <w:noProof/>
            <w:webHidden/>
          </w:rPr>
          <w:fldChar w:fldCharType="separate"/>
        </w:r>
        <w:r w:rsidR="00D04B3A">
          <w:rPr>
            <w:noProof/>
            <w:webHidden/>
          </w:rPr>
          <w:t>164</w:t>
        </w:r>
        <w:r w:rsidR="0088786D">
          <w:rPr>
            <w:noProof/>
            <w:webHidden/>
          </w:rPr>
          <w:fldChar w:fldCharType="end"/>
        </w:r>
      </w:hyperlink>
    </w:p>
    <w:p w:rsidR="0088786D" w:rsidRDefault="0055176D">
      <w:pPr>
        <w:pStyle w:val="TOC2"/>
        <w:tabs>
          <w:tab w:val="right" w:leader="dot" w:pos="9350"/>
        </w:tabs>
        <w:rPr>
          <w:noProof/>
          <w:sz w:val="22"/>
        </w:rPr>
      </w:pPr>
      <w:hyperlink w:anchor="_Toc457553304" w:history="1">
        <w:r w:rsidR="0088786D" w:rsidRPr="00E10AB5">
          <w:rPr>
            <w:rStyle w:val="Hyperlink"/>
            <w:noProof/>
          </w:rPr>
          <w:t>United States</w:t>
        </w:r>
        <w:r w:rsidR="0088786D">
          <w:rPr>
            <w:noProof/>
            <w:webHidden/>
          </w:rPr>
          <w:tab/>
        </w:r>
        <w:r w:rsidR="0088786D">
          <w:rPr>
            <w:noProof/>
            <w:webHidden/>
          </w:rPr>
          <w:fldChar w:fldCharType="begin"/>
        </w:r>
        <w:r w:rsidR="0088786D">
          <w:rPr>
            <w:noProof/>
            <w:webHidden/>
          </w:rPr>
          <w:instrText xml:space="preserve"> PAGEREF _Toc457553304 \h </w:instrText>
        </w:r>
        <w:r w:rsidR="0088786D">
          <w:rPr>
            <w:noProof/>
            <w:webHidden/>
          </w:rPr>
        </w:r>
        <w:r w:rsidR="0088786D">
          <w:rPr>
            <w:noProof/>
            <w:webHidden/>
          </w:rPr>
          <w:fldChar w:fldCharType="separate"/>
        </w:r>
        <w:r w:rsidR="00D04B3A">
          <w:rPr>
            <w:noProof/>
            <w:webHidden/>
          </w:rPr>
          <w:t>166</w:t>
        </w:r>
        <w:r w:rsidR="0088786D">
          <w:rPr>
            <w:noProof/>
            <w:webHidden/>
          </w:rPr>
          <w:fldChar w:fldCharType="end"/>
        </w:r>
      </w:hyperlink>
    </w:p>
    <w:p w:rsidR="0088786D" w:rsidRDefault="0055176D">
      <w:pPr>
        <w:pStyle w:val="TOC2"/>
        <w:tabs>
          <w:tab w:val="right" w:leader="dot" w:pos="9350"/>
        </w:tabs>
        <w:rPr>
          <w:noProof/>
          <w:sz w:val="22"/>
        </w:rPr>
      </w:pPr>
      <w:hyperlink w:anchor="_Toc457553305" w:history="1">
        <w:r w:rsidR="0088786D" w:rsidRPr="00E10AB5">
          <w:rPr>
            <w:rStyle w:val="Hyperlink"/>
            <w:noProof/>
          </w:rPr>
          <w:t>California</w:t>
        </w:r>
        <w:r w:rsidR="0088786D">
          <w:rPr>
            <w:noProof/>
            <w:webHidden/>
          </w:rPr>
          <w:tab/>
        </w:r>
        <w:r w:rsidR="0088786D">
          <w:rPr>
            <w:noProof/>
            <w:webHidden/>
          </w:rPr>
          <w:fldChar w:fldCharType="begin"/>
        </w:r>
        <w:r w:rsidR="0088786D">
          <w:rPr>
            <w:noProof/>
            <w:webHidden/>
          </w:rPr>
          <w:instrText xml:space="preserve"> PAGEREF _Toc457553305 \h </w:instrText>
        </w:r>
        <w:r w:rsidR="0088786D">
          <w:rPr>
            <w:noProof/>
            <w:webHidden/>
          </w:rPr>
        </w:r>
        <w:r w:rsidR="0088786D">
          <w:rPr>
            <w:noProof/>
            <w:webHidden/>
          </w:rPr>
          <w:fldChar w:fldCharType="separate"/>
        </w:r>
        <w:r w:rsidR="00D04B3A">
          <w:rPr>
            <w:noProof/>
            <w:webHidden/>
          </w:rPr>
          <w:t>174</w:t>
        </w:r>
        <w:r w:rsidR="0088786D">
          <w:rPr>
            <w:noProof/>
            <w:webHidden/>
          </w:rPr>
          <w:fldChar w:fldCharType="end"/>
        </w:r>
      </w:hyperlink>
    </w:p>
    <w:p w:rsidR="0088786D" w:rsidRDefault="0055176D">
      <w:pPr>
        <w:pStyle w:val="TOC2"/>
        <w:tabs>
          <w:tab w:val="right" w:leader="dot" w:pos="9350"/>
        </w:tabs>
        <w:rPr>
          <w:noProof/>
          <w:sz w:val="22"/>
        </w:rPr>
      </w:pPr>
      <w:hyperlink w:anchor="_Toc457553306" w:history="1">
        <w:r w:rsidR="0088786D" w:rsidRPr="00E10AB5">
          <w:rPr>
            <w:rStyle w:val="Hyperlink"/>
            <w:noProof/>
          </w:rPr>
          <w:t>New York</w:t>
        </w:r>
        <w:r w:rsidR="0088786D">
          <w:rPr>
            <w:noProof/>
            <w:webHidden/>
          </w:rPr>
          <w:tab/>
        </w:r>
        <w:r w:rsidR="0088786D">
          <w:rPr>
            <w:noProof/>
            <w:webHidden/>
          </w:rPr>
          <w:fldChar w:fldCharType="begin"/>
        </w:r>
        <w:r w:rsidR="0088786D">
          <w:rPr>
            <w:noProof/>
            <w:webHidden/>
          </w:rPr>
          <w:instrText xml:space="preserve"> PAGEREF _Toc457553306 \h </w:instrText>
        </w:r>
        <w:r w:rsidR="0088786D">
          <w:rPr>
            <w:noProof/>
            <w:webHidden/>
          </w:rPr>
        </w:r>
        <w:r w:rsidR="0088786D">
          <w:rPr>
            <w:noProof/>
            <w:webHidden/>
          </w:rPr>
          <w:fldChar w:fldCharType="separate"/>
        </w:r>
        <w:r w:rsidR="00D04B3A">
          <w:rPr>
            <w:noProof/>
            <w:webHidden/>
          </w:rPr>
          <w:t>179</w:t>
        </w:r>
        <w:r w:rsidR="0088786D">
          <w:rPr>
            <w:noProof/>
            <w:webHidden/>
          </w:rPr>
          <w:fldChar w:fldCharType="end"/>
        </w:r>
      </w:hyperlink>
    </w:p>
    <w:p w:rsidR="0088786D" w:rsidRDefault="0055176D">
      <w:pPr>
        <w:pStyle w:val="TOC2"/>
        <w:tabs>
          <w:tab w:val="right" w:leader="dot" w:pos="9350"/>
        </w:tabs>
        <w:rPr>
          <w:noProof/>
          <w:sz w:val="22"/>
        </w:rPr>
      </w:pPr>
      <w:hyperlink w:anchor="_Toc457553307" w:history="1">
        <w:r w:rsidR="0088786D" w:rsidRPr="00E10AB5">
          <w:rPr>
            <w:rStyle w:val="Hyperlink"/>
            <w:noProof/>
          </w:rPr>
          <w:t>Additional American Health Care Programs for People with Disabilities</w:t>
        </w:r>
        <w:r w:rsidR="0088786D">
          <w:rPr>
            <w:noProof/>
            <w:webHidden/>
          </w:rPr>
          <w:tab/>
        </w:r>
        <w:r w:rsidR="0088786D">
          <w:rPr>
            <w:noProof/>
            <w:webHidden/>
          </w:rPr>
          <w:fldChar w:fldCharType="begin"/>
        </w:r>
        <w:r w:rsidR="0088786D">
          <w:rPr>
            <w:noProof/>
            <w:webHidden/>
          </w:rPr>
          <w:instrText xml:space="preserve"> PAGEREF _Toc457553307 \h </w:instrText>
        </w:r>
        <w:r w:rsidR="0088786D">
          <w:rPr>
            <w:noProof/>
            <w:webHidden/>
          </w:rPr>
        </w:r>
        <w:r w:rsidR="0088786D">
          <w:rPr>
            <w:noProof/>
            <w:webHidden/>
          </w:rPr>
          <w:fldChar w:fldCharType="separate"/>
        </w:r>
        <w:r w:rsidR="00D04B3A">
          <w:rPr>
            <w:noProof/>
            <w:webHidden/>
          </w:rPr>
          <w:t>183</w:t>
        </w:r>
        <w:r w:rsidR="0088786D">
          <w:rPr>
            <w:noProof/>
            <w:webHidden/>
          </w:rPr>
          <w:fldChar w:fldCharType="end"/>
        </w:r>
      </w:hyperlink>
    </w:p>
    <w:p w:rsidR="0088786D" w:rsidRDefault="0055176D">
      <w:pPr>
        <w:pStyle w:val="TOC2"/>
        <w:tabs>
          <w:tab w:val="right" w:leader="dot" w:pos="9350"/>
        </w:tabs>
        <w:rPr>
          <w:noProof/>
          <w:sz w:val="22"/>
        </w:rPr>
      </w:pPr>
      <w:hyperlink w:anchor="_Toc457553308" w:history="1">
        <w:r w:rsidR="0088786D" w:rsidRPr="00E10AB5">
          <w:rPr>
            <w:rStyle w:val="Hyperlink"/>
            <w:noProof/>
          </w:rPr>
          <w:t>United Kingdom</w:t>
        </w:r>
        <w:r w:rsidR="0088786D">
          <w:rPr>
            <w:noProof/>
            <w:webHidden/>
          </w:rPr>
          <w:tab/>
        </w:r>
        <w:r w:rsidR="0088786D">
          <w:rPr>
            <w:noProof/>
            <w:webHidden/>
          </w:rPr>
          <w:fldChar w:fldCharType="begin"/>
        </w:r>
        <w:r w:rsidR="0088786D">
          <w:rPr>
            <w:noProof/>
            <w:webHidden/>
          </w:rPr>
          <w:instrText xml:space="preserve"> PAGEREF _Toc457553308 \h </w:instrText>
        </w:r>
        <w:r w:rsidR="0088786D">
          <w:rPr>
            <w:noProof/>
            <w:webHidden/>
          </w:rPr>
        </w:r>
        <w:r w:rsidR="0088786D">
          <w:rPr>
            <w:noProof/>
            <w:webHidden/>
          </w:rPr>
          <w:fldChar w:fldCharType="separate"/>
        </w:r>
        <w:r w:rsidR="00D04B3A">
          <w:rPr>
            <w:noProof/>
            <w:webHidden/>
          </w:rPr>
          <w:t>186</w:t>
        </w:r>
        <w:r w:rsidR="0088786D">
          <w:rPr>
            <w:noProof/>
            <w:webHidden/>
          </w:rPr>
          <w:fldChar w:fldCharType="end"/>
        </w:r>
      </w:hyperlink>
    </w:p>
    <w:p w:rsidR="0088786D" w:rsidRDefault="0055176D">
      <w:pPr>
        <w:pStyle w:val="TOC2"/>
        <w:tabs>
          <w:tab w:val="right" w:leader="dot" w:pos="9350"/>
        </w:tabs>
        <w:rPr>
          <w:noProof/>
          <w:sz w:val="22"/>
        </w:rPr>
      </w:pPr>
      <w:hyperlink w:anchor="_Toc457553309" w:history="1">
        <w:r w:rsidR="0088786D" w:rsidRPr="00E10AB5">
          <w:rPr>
            <w:rStyle w:val="Hyperlink"/>
            <w:noProof/>
          </w:rPr>
          <w:t>Ireland</w:t>
        </w:r>
        <w:r w:rsidR="0088786D">
          <w:rPr>
            <w:noProof/>
            <w:webHidden/>
          </w:rPr>
          <w:tab/>
        </w:r>
        <w:r w:rsidR="0088786D">
          <w:rPr>
            <w:noProof/>
            <w:webHidden/>
          </w:rPr>
          <w:fldChar w:fldCharType="begin"/>
        </w:r>
        <w:r w:rsidR="0088786D">
          <w:rPr>
            <w:noProof/>
            <w:webHidden/>
          </w:rPr>
          <w:instrText xml:space="preserve"> PAGEREF _Toc457553309 \h </w:instrText>
        </w:r>
        <w:r w:rsidR="0088786D">
          <w:rPr>
            <w:noProof/>
            <w:webHidden/>
          </w:rPr>
        </w:r>
        <w:r w:rsidR="0088786D">
          <w:rPr>
            <w:noProof/>
            <w:webHidden/>
          </w:rPr>
          <w:fldChar w:fldCharType="separate"/>
        </w:r>
        <w:r w:rsidR="00D04B3A">
          <w:rPr>
            <w:noProof/>
            <w:webHidden/>
          </w:rPr>
          <w:t>195</w:t>
        </w:r>
        <w:r w:rsidR="0088786D">
          <w:rPr>
            <w:noProof/>
            <w:webHidden/>
          </w:rPr>
          <w:fldChar w:fldCharType="end"/>
        </w:r>
      </w:hyperlink>
    </w:p>
    <w:p w:rsidR="0088786D" w:rsidRDefault="0055176D">
      <w:pPr>
        <w:pStyle w:val="TOC2"/>
        <w:tabs>
          <w:tab w:val="right" w:leader="dot" w:pos="9350"/>
        </w:tabs>
        <w:rPr>
          <w:noProof/>
          <w:sz w:val="22"/>
        </w:rPr>
      </w:pPr>
      <w:hyperlink w:anchor="_Toc457553310" w:history="1">
        <w:r w:rsidR="0088786D" w:rsidRPr="00E10AB5">
          <w:rPr>
            <w:rStyle w:val="Hyperlink"/>
            <w:noProof/>
          </w:rPr>
          <w:t>Australia</w:t>
        </w:r>
        <w:r w:rsidR="0088786D">
          <w:rPr>
            <w:noProof/>
            <w:webHidden/>
          </w:rPr>
          <w:tab/>
        </w:r>
        <w:r w:rsidR="0088786D">
          <w:rPr>
            <w:noProof/>
            <w:webHidden/>
          </w:rPr>
          <w:fldChar w:fldCharType="begin"/>
        </w:r>
        <w:r w:rsidR="0088786D">
          <w:rPr>
            <w:noProof/>
            <w:webHidden/>
          </w:rPr>
          <w:instrText xml:space="preserve"> PAGEREF _Toc457553310 \h </w:instrText>
        </w:r>
        <w:r w:rsidR="0088786D">
          <w:rPr>
            <w:noProof/>
            <w:webHidden/>
          </w:rPr>
        </w:r>
        <w:r w:rsidR="0088786D">
          <w:rPr>
            <w:noProof/>
            <w:webHidden/>
          </w:rPr>
          <w:fldChar w:fldCharType="separate"/>
        </w:r>
        <w:r w:rsidR="00D04B3A">
          <w:rPr>
            <w:noProof/>
            <w:webHidden/>
          </w:rPr>
          <w:t>196</w:t>
        </w:r>
        <w:r w:rsidR="0088786D">
          <w:rPr>
            <w:noProof/>
            <w:webHidden/>
          </w:rPr>
          <w:fldChar w:fldCharType="end"/>
        </w:r>
      </w:hyperlink>
    </w:p>
    <w:p w:rsidR="0088786D" w:rsidRDefault="0055176D">
      <w:pPr>
        <w:pStyle w:val="TOC2"/>
        <w:tabs>
          <w:tab w:val="right" w:leader="dot" w:pos="9350"/>
        </w:tabs>
        <w:rPr>
          <w:noProof/>
          <w:sz w:val="22"/>
        </w:rPr>
      </w:pPr>
      <w:hyperlink w:anchor="_Toc457553311" w:history="1">
        <w:r w:rsidR="0088786D" w:rsidRPr="00E10AB5">
          <w:rPr>
            <w:rStyle w:val="Hyperlink"/>
            <w:noProof/>
          </w:rPr>
          <w:t>Egypt</w:t>
        </w:r>
        <w:r w:rsidR="0088786D">
          <w:rPr>
            <w:noProof/>
            <w:webHidden/>
          </w:rPr>
          <w:tab/>
        </w:r>
        <w:r w:rsidR="0088786D">
          <w:rPr>
            <w:noProof/>
            <w:webHidden/>
          </w:rPr>
          <w:fldChar w:fldCharType="begin"/>
        </w:r>
        <w:r w:rsidR="0088786D">
          <w:rPr>
            <w:noProof/>
            <w:webHidden/>
          </w:rPr>
          <w:instrText xml:space="preserve"> PAGEREF _Toc457553311 \h </w:instrText>
        </w:r>
        <w:r w:rsidR="0088786D">
          <w:rPr>
            <w:noProof/>
            <w:webHidden/>
          </w:rPr>
        </w:r>
        <w:r w:rsidR="0088786D">
          <w:rPr>
            <w:noProof/>
            <w:webHidden/>
          </w:rPr>
          <w:fldChar w:fldCharType="separate"/>
        </w:r>
        <w:r w:rsidR="00D04B3A">
          <w:rPr>
            <w:noProof/>
            <w:webHidden/>
          </w:rPr>
          <w:t>204</w:t>
        </w:r>
        <w:r w:rsidR="0088786D">
          <w:rPr>
            <w:noProof/>
            <w:webHidden/>
          </w:rPr>
          <w:fldChar w:fldCharType="end"/>
        </w:r>
      </w:hyperlink>
    </w:p>
    <w:p w:rsidR="0088786D" w:rsidRDefault="0055176D">
      <w:pPr>
        <w:pStyle w:val="TOC2"/>
        <w:tabs>
          <w:tab w:val="right" w:leader="dot" w:pos="9350"/>
        </w:tabs>
        <w:rPr>
          <w:noProof/>
          <w:sz w:val="22"/>
        </w:rPr>
      </w:pPr>
      <w:hyperlink w:anchor="_Toc457553312" w:history="1">
        <w:r w:rsidR="0088786D" w:rsidRPr="00E10AB5">
          <w:rPr>
            <w:rStyle w:val="Hyperlink"/>
            <w:noProof/>
          </w:rPr>
          <w:t>Israel</w:t>
        </w:r>
        <w:r w:rsidR="0088786D">
          <w:rPr>
            <w:noProof/>
            <w:webHidden/>
          </w:rPr>
          <w:tab/>
        </w:r>
        <w:r w:rsidR="0088786D">
          <w:rPr>
            <w:noProof/>
            <w:webHidden/>
          </w:rPr>
          <w:fldChar w:fldCharType="begin"/>
        </w:r>
        <w:r w:rsidR="0088786D">
          <w:rPr>
            <w:noProof/>
            <w:webHidden/>
          </w:rPr>
          <w:instrText xml:space="preserve"> PAGEREF _Toc457553312 \h </w:instrText>
        </w:r>
        <w:r w:rsidR="0088786D">
          <w:rPr>
            <w:noProof/>
            <w:webHidden/>
          </w:rPr>
        </w:r>
        <w:r w:rsidR="0088786D">
          <w:rPr>
            <w:noProof/>
            <w:webHidden/>
          </w:rPr>
          <w:fldChar w:fldCharType="separate"/>
        </w:r>
        <w:r w:rsidR="00D04B3A">
          <w:rPr>
            <w:noProof/>
            <w:webHidden/>
          </w:rPr>
          <w:t>206</w:t>
        </w:r>
        <w:r w:rsidR="0088786D">
          <w:rPr>
            <w:noProof/>
            <w:webHidden/>
          </w:rPr>
          <w:fldChar w:fldCharType="end"/>
        </w:r>
      </w:hyperlink>
    </w:p>
    <w:p w:rsidR="0088786D" w:rsidRDefault="0055176D">
      <w:pPr>
        <w:pStyle w:val="TOC2"/>
        <w:tabs>
          <w:tab w:val="right" w:leader="dot" w:pos="9350"/>
        </w:tabs>
        <w:rPr>
          <w:noProof/>
          <w:sz w:val="22"/>
        </w:rPr>
      </w:pPr>
      <w:hyperlink w:anchor="_Toc457553313" w:history="1">
        <w:r w:rsidR="0088786D" w:rsidRPr="00E10AB5">
          <w:rPr>
            <w:rStyle w:val="Hyperlink"/>
            <w:noProof/>
          </w:rPr>
          <w:t>Jordan</w:t>
        </w:r>
        <w:r w:rsidR="0088786D">
          <w:rPr>
            <w:noProof/>
            <w:webHidden/>
          </w:rPr>
          <w:tab/>
        </w:r>
        <w:r w:rsidR="0088786D">
          <w:rPr>
            <w:noProof/>
            <w:webHidden/>
          </w:rPr>
          <w:fldChar w:fldCharType="begin"/>
        </w:r>
        <w:r w:rsidR="0088786D">
          <w:rPr>
            <w:noProof/>
            <w:webHidden/>
          </w:rPr>
          <w:instrText xml:space="preserve"> PAGEREF _Toc457553313 \h </w:instrText>
        </w:r>
        <w:r w:rsidR="0088786D">
          <w:rPr>
            <w:noProof/>
            <w:webHidden/>
          </w:rPr>
        </w:r>
        <w:r w:rsidR="0088786D">
          <w:rPr>
            <w:noProof/>
            <w:webHidden/>
          </w:rPr>
          <w:fldChar w:fldCharType="separate"/>
        </w:r>
        <w:r w:rsidR="00D04B3A">
          <w:rPr>
            <w:noProof/>
            <w:webHidden/>
          </w:rPr>
          <w:t>214</w:t>
        </w:r>
        <w:r w:rsidR="0088786D">
          <w:rPr>
            <w:noProof/>
            <w:webHidden/>
          </w:rPr>
          <w:fldChar w:fldCharType="end"/>
        </w:r>
      </w:hyperlink>
    </w:p>
    <w:p w:rsidR="0088786D" w:rsidRDefault="0055176D">
      <w:pPr>
        <w:pStyle w:val="TOC2"/>
        <w:tabs>
          <w:tab w:val="right" w:leader="dot" w:pos="9350"/>
        </w:tabs>
        <w:rPr>
          <w:noProof/>
          <w:sz w:val="22"/>
        </w:rPr>
      </w:pPr>
      <w:hyperlink w:anchor="_Toc457553314" w:history="1">
        <w:r w:rsidR="0088786D" w:rsidRPr="00E10AB5">
          <w:rPr>
            <w:rStyle w:val="Hyperlink"/>
            <w:noProof/>
          </w:rPr>
          <w:t>Germany</w:t>
        </w:r>
        <w:r w:rsidR="0088786D">
          <w:rPr>
            <w:noProof/>
            <w:webHidden/>
          </w:rPr>
          <w:tab/>
        </w:r>
        <w:r w:rsidR="0088786D">
          <w:rPr>
            <w:noProof/>
            <w:webHidden/>
          </w:rPr>
          <w:fldChar w:fldCharType="begin"/>
        </w:r>
        <w:r w:rsidR="0088786D">
          <w:rPr>
            <w:noProof/>
            <w:webHidden/>
          </w:rPr>
          <w:instrText xml:space="preserve"> PAGEREF _Toc457553314 \h </w:instrText>
        </w:r>
        <w:r w:rsidR="0088786D">
          <w:rPr>
            <w:noProof/>
            <w:webHidden/>
          </w:rPr>
        </w:r>
        <w:r w:rsidR="0088786D">
          <w:rPr>
            <w:noProof/>
            <w:webHidden/>
          </w:rPr>
          <w:fldChar w:fldCharType="separate"/>
        </w:r>
        <w:r w:rsidR="00D04B3A">
          <w:rPr>
            <w:noProof/>
            <w:webHidden/>
          </w:rPr>
          <w:t>216</w:t>
        </w:r>
        <w:r w:rsidR="0088786D">
          <w:rPr>
            <w:noProof/>
            <w:webHidden/>
          </w:rPr>
          <w:fldChar w:fldCharType="end"/>
        </w:r>
      </w:hyperlink>
    </w:p>
    <w:p w:rsidR="0088786D" w:rsidRDefault="0055176D">
      <w:pPr>
        <w:pStyle w:val="TOC2"/>
        <w:tabs>
          <w:tab w:val="right" w:leader="dot" w:pos="9350"/>
        </w:tabs>
        <w:rPr>
          <w:noProof/>
          <w:sz w:val="22"/>
        </w:rPr>
      </w:pPr>
      <w:hyperlink w:anchor="_Toc457553315" w:history="1">
        <w:r w:rsidR="0088786D" w:rsidRPr="00E10AB5">
          <w:rPr>
            <w:rStyle w:val="Hyperlink"/>
            <w:noProof/>
          </w:rPr>
          <w:t>Singapore</w:t>
        </w:r>
        <w:r w:rsidR="0088786D">
          <w:rPr>
            <w:noProof/>
            <w:webHidden/>
          </w:rPr>
          <w:tab/>
        </w:r>
        <w:r w:rsidR="0088786D">
          <w:rPr>
            <w:noProof/>
            <w:webHidden/>
          </w:rPr>
          <w:fldChar w:fldCharType="begin"/>
        </w:r>
        <w:r w:rsidR="0088786D">
          <w:rPr>
            <w:noProof/>
            <w:webHidden/>
          </w:rPr>
          <w:instrText xml:space="preserve"> PAGEREF _Toc457553315 \h </w:instrText>
        </w:r>
        <w:r w:rsidR="0088786D">
          <w:rPr>
            <w:noProof/>
            <w:webHidden/>
          </w:rPr>
        </w:r>
        <w:r w:rsidR="0088786D">
          <w:rPr>
            <w:noProof/>
            <w:webHidden/>
          </w:rPr>
          <w:fldChar w:fldCharType="separate"/>
        </w:r>
        <w:r w:rsidR="00D04B3A">
          <w:rPr>
            <w:noProof/>
            <w:webHidden/>
          </w:rPr>
          <w:t>219</w:t>
        </w:r>
        <w:r w:rsidR="0088786D">
          <w:rPr>
            <w:noProof/>
            <w:webHidden/>
          </w:rPr>
          <w:fldChar w:fldCharType="end"/>
        </w:r>
      </w:hyperlink>
    </w:p>
    <w:p w:rsidR="0088786D" w:rsidRDefault="0055176D">
      <w:pPr>
        <w:pStyle w:val="TOC2"/>
        <w:tabs>
          <w:tab w:val="right" w:leader="dot" w:pos="9350"/>
        </w:tabs>
        <w:rPr>
          <w:noProof/>
          <w:sz w:val="22"/>
        </w:rPr>
      </w:pPr>
      <w:hyperlink w:anchor="_Toc457553316" w:history="1">
        <w:r w:rsidR="0088786D" w:rsidRPr="00E10AB5">
          <w:rPr>
            <w:rStyle w:val="Hyperlink"/>
            <w:noProof/>
          </w:rPr>
          <w:t>New Zealand</w:t>
        </w:r>
        <w:r w:rsidR="0088786D">
          <w:rPr>
            <w:noProof/>
            <w:webHidden/>
          </w:rPr>
          <w:tab/>
        </w:r>
        <w:r w:rsidR="0088786D">
          <w:rPr>
            <w:noProof/>
            <w:webHidden/>
          </w:rPr>
          <w:fldChar w:fldCharType="begin"/>
        </w:r>
        <w:r w:rsidR="0088786D">
          <w:rPr>
            <w:noProof/>
            <w:webHidden/>
          </w:rPr>
          <w:instrText xml:space="preserve"> PAGEREF _Toc457553316 \h </w:instrText>
        </w:r>
        <w:r w:rsidR="0088786D">
          <w:rPr>
            <w:noProof/>
            <w:webHidden/>
          </w:rPr>
        </w:r>
        <w:r w:rsidR="0088786D">
          <w:rPr>
            <w:noProof/>
            <w:webHidden/>
          </w:rPr>
          <w:fldChar w:fldCharType="separate"/>
        </w:r>
        <w:r w:rsidR="00D04B3A">
          <w:rPr>
            <w:noProof/>
            <w:webHidden/>
          </w:rPr>
          <w:t>220</w:t>
        </w:r>
        <w:r w:rsidR="0088786D">
          <w:rPr>
            <w:noProof/>
            <w:webHidden/>
          </w:rPr>
          <w:fldChar w:fldCharType="end"/>
        </w:r>
      </w:hyperlink>
    </w:p>
    <w:p w:rsidR="0088786D" w:rsidRDefault="0055176D">
      <w:pPr>
        <w:pStyle w:val="TOC1"/>
        <w:tabs>
          <w:tab w:val="right" w:leader="dot" w:pos="9350"/>
        </w:tabs>
        <w:rPr>
          <w:noProof/>
          <w:sz w:val="22"/>
        </w:rPr>
      </w:pPr>
      <w:hyperlink w:anchor="_Toc457553317" w:history="1">
        <w:r w:rsidR="0088786D" w:rsidRPr="00E10AB5">
          <w:rPr>
            <w:rStyle w:val="Hyperlink"/>
            <w:noProof/>
          </w:rPr>
          <w:t>Contact Us</w:t>
        </w:r>
        <w:r w:rsidR="0088786D">
          <w:rPr>
            <w:noProof/>
            <w:webHidden/>
          </w:rPr>
          <w:tab/>
        </w:r>
        <w:r w:rsidR="0088786D">
          <w:rPr>
            <w:noProof/>
            <w:webHidden/>
          </w:rPr>
          <w:fldChar w:fldCharType="begin"/>
        </w:r>
        <w:r w:rsidR="0088786D">
          <w:rPr>
            <w:noProof/>
            <w:webHidden/>
          </w:rPr>
          <w:instrText xml:space="preserve"> PAGEREF _Toc457553317 \h </w:instrText>
        </w:r>
        <w:r w:rsidR="0088786D">
          <w:rPr>
            <w:noProof/>
            <w:webHidden/>
          </w:rPr>
        </w:r>
        <w:r w:rsidR="0088786D">
          <w:rPr>
            <w:noProof/>
            <w:webHidden/>
          </w:rPr>
          <w:fldChar w:fldCharType="separate"/>
        </w:r>
        <w:r w:rsidR="00D04B3A">
          <w:rPr>
            <w:noProof/>
            <w:webHidden/>
          </w:rPr>
          <w:t>225</w:t>
        </w:r>
        <w:r w:rsidR="0088786D">
          <w:rPr>
            <w:noProof/>
            <w:webHidden/>
          </w:rPr>
          <w:fldChar w:fldCharType="end"/>
        </w:r>
      </w:hyperlink>
    </w:p>
    <w:p w:rsidR="0088786D" w:rsidRDefault="0055176D">
      <w:pPr>
        <w:pStyle w:val="TOC2"/>
        <w:tabs>
          <w:tab w:val="right" w:leader="dot" w:pos="9350"/>
        </w:tabs>
        <w:rPr>
          <w:noProof/>
          <w:sz w:val="22"/>
        </w:rPr>
      </w:pPr>
      <w:hyperlink w:anchor="_Toc457553318" w:history="1">
        <w:r w:rsidR="0088786D" w:rsidRPr="00E10AB5">
          <w:rPr>
            <w:rStyle w:val="Hyperlink"/>
            <w:noProof/>
          </w:rPr>
          <w:t>Mark MacDonald</w:t>
        </w:r>
        <w:r w:rsidR="0088786D">
          <w:rPr>
            <w:noProof/>
            <w:webHidden/>
          </w:rPr>
          <w:tab/>
        </w:r>
        <w:r w:rsidR="0088786D">
          <w:rPr>
            <w:noProof/>
            <w:webHidden/>
          </w:rPr>
          <w:fldChar w:fldCharType="begin"/>
        </w:r>
        <w:r w:rsidR="0088786D">
          <w:rPr>
            <w:noProof/>
            <w:webHidden/>
          </w:rPr>
          <w:instrText xml:space="preserve"> PAGEREF _Toc457553318 \h </w:instrText>
        </w:r>
        <w:r w:rsidR="0088786D">
          <w:rPr>
            <w:noProof/>
            <w:webHidden/>
          </w:rPr>
        </w:r>
        <w:r w:rsidR="0088786D">
          <w:rPr>
            <w:noProof/>
            <w:webHidden/>
          </w:rPr>
          <w:fldChar w:fldCharType="separate"/>
        </w:r>
        <w:r w:rsidR="00D04B3A">
          <w:rPr>
            <w:noProof/>
            <w:webHidden/>
          </w:rPr>
          <w:t>225</w:t>
        </w:r>
        <w:r w:rsidR="0088786D">
          <w:rPr>
            <w:noProof/>
            <w:webHidden/>
          </w:rPr>
          <w:fldChar w:fldCharType="end"/>
        </w:r>
      </w:hyperlink>
    </w:p>
    <w:p w:rsidR="0088786D" w:rsidRDefault="0055176D">
      <w:pPr>
        <w:pStyle w:val="TOC2"/>
        <w:tabs>
          <w:tab w:val="right" w:leader="dot" w:pos="9350"/>
        </w:tabs>
        <w:rPr>
          <w:noProof/>
          <w:sz w:val="22"/>
        </w:rPr>
      </w:pPr>
      <w:hyperlink w:anchor="_Toc457553319" w:history="1">
        <w:r w:rsidR="0088786D" w:rsidRPr="00E10AB5">
          <w:rPr>
            <w:rStyle w:val="Hyperlink"/>
            <w:noProof/>
            <w:lang w:val="fr-CA"/>
          </w:rPr>
          <w:t>Sarah Campbell</w:t>
        </w:r>
        <w:r w:rsidR="0088786D">
          <w:rPr>
            <w:noProof/>
            <w:webHidden/>
          </w:rPr>
          <w:tab/>
        </w:r>
        <w:r w:rsidR="0088786D">
          <w:rPr>
            <w:noProof/>
            <w:webHidden/>
          </w:rPr>
          <w:fldChar w:fldCharType="begin"/>
        </w:r>
        <w:r w:rsidR="0088786D">
          <w:rPr>
            <w:noProof/>
            <w:webHidden/>
          </w:rPr>
          <w:instrText xml:space="preserve"> PAGEREF _Toc457553319 \h </w:instrText>
        </w:r>
        <w:r w:rsidR="0088786D">
          <w:rPr>
            <w:noProof/>
            <w:webHidden/>
          </w:rPr>
        </w:r>
        <w:r w:rsidR="0088786D">
          <w:rPr>
            <w:noProof/>
            <w:webHidden/>
          </w:rPr>
          <w:fldChar w:fldCharType="separate"/>
        </w:r>
        <w:r w:rsidR="00D04B3A">
          <w:rPr>
            <w:noProof/>
            <w:webHidden/>
          </w:rPr>
          <w:t>225</w:t>
        </w:r>
        <w:r w:rsidR="0088786D">
          <w:rPr>
            <w:noProof/>
            <w:webHidden/>
          </w:rPr>
          <w:fldChar w:fldCharType="end"/>
        </w:r>
      </w:hyperlink>
    </w:p>
    <w:p w:rsidR="0088786D" w:rsidRDefault="0055176D">
      <w:pPr>
        <w:pStyle w:val="TOC2"/>
        <w:tabs>
          <w:tab w:val="right" w:leader="dot" w:pos="9350"/>
        </w:tabs>
        <w:rPr>
          <w:noProof/>
          <w:sz w:val="22"/>
        </w:rPr>
      </w:pPr>
      <w:hyperlink w:anchor="_Toc457553320" w:history="1">
        <w:r w:rsidR="0088786D" w:rsidRPr="00E10AB5">
          <w:rPr>
            <w:rStyle w:val="Hyperlink"/>
            <w:noProof/>
          </w:rPr>
          <w:t>Caitlin McClung</w:t>
        </w:r>
        <w:r w:rsidR="0088786D">
          <w:rPr>
            <w:noProof/>
            <w:webHidden/>
          </w:rPr>
          <w:tab/>
        </w:r>
        <w:r w:rsidR="0088786D">
          <w:rPr>
            <w:noProof/>
            <w:webHidden/>
          </w:rPr>
          <w:fldChar w:fldCharType="begin"/>
        </w:r>
        <w:r w:rsidR="0088786D">
          <w:rPr>
            <w:noProof/>
            <w:webHidden/>
          </w:rPr>
          <w:instrText xml:space="preserve"> PAGEREF _Toc457553320 \h </w:instrText>
        </w:r>
        <w:r w:rsidR="0088786D">
          <w:rPr>
            <w:noProof/>
            <w:webHidden/>
          </w:rPr>
        </w:r>
        <w:r w:rsidR="0088786D">
          <w:rPr>
            <w:noProof/>
            <w:webHidden/>
          </w:rPr>
          <w:fldChar w:fldCharType="separate"/>
        </w:r>
        <w:r w:rsidR="00D04B3A">
          <w:rPr>
            <w:noProof/>
            <w:webHidden/>
          </w:rPr>
          <w:t>225</w:t>
        </w:r>
        <w:r w:rsidR="0088786D">
          <w:rPr>
            <w:noProof/>
            <w:webHidden/>
          </w:rPr>
          <w:fldChar w:fldCharType="end"/>
        </w:r>
      </w:hyperlink>
    </w:p>
    <w:p w:rsidR="0088786D" w:rsidRDefault="0055176D">
      <w:pPr>
        <w:pStyle w:val="TOC2"/>
        <w:tabs>
          <w:tab w:val="right" w:leader="dot" w:pos="9350"/>
        </w:tabs>
        <w:rPr>
          <w:noProof/>
          <w:sz w:val="22"/>
        </w:rPr>
      </w:pPr>
      <w:hyperlink w:anchor="_Toc457553321" w:history="1">
        <w:r w:rsidR="0088786D" w:rsidRPr="00E10AB5">
          <w:rPr>
            <w:rStyle w:val="Hyperlink"/>
            <w:noProof/>
          </w:rPr>
          <w:t>Katharine Campbell</w:t>
        </w:r>
        <w:r w:rsidR="0088786D">
          <w:rPr>
            <w:noProof/>
            <w:webHidden/>
          </w:rPr>
          <w:tab/>
        </w:r>
        <w:r w:rsidR="0088786D">
          <w:rPr>
            <w:noProof/>
            <w:webHidden/>
          </w:rPr>
          <w:fldChar w:fldCharType="begin"/>
        </w:r>
        <w:r w:rsidR="0088786D">
          <w:rPr>
            <w:noProof/>
            <w:webHidden/>
          </w:rPr>
          <w:instrText xml:space="preserve"> PAGEREF _Toc457553321 \h </w:instrText>
        </w:r>
        <w:r w:rsidR="0088786D">
          <w:rPr>
            <w:noProof/>
            <w:webHidden/>
          </w:rPr>
        </w:r>
        <w:r w:rsidR="0088786D">
          <w:rPr>
            <w:noProof/>
            <w:webHidden/>
          </w:rPr>
          <w:fldChar w:fldCharType="separate"/>
        </w:r>
        <w:r w:rsidR="00D04B3A">
          <w:rPr>
            <w:noProof/>
            <w:webHidden/>
          </w:rPr>
          <w:t>225</w:t>
        </w:r>
        <w:r w:rsidR="0088786D">
          <w:rPr>
            <w:noProof/>
            <w:webHidden/>
          </w:rPr>
          <w:fldChar w:fldCharType="end"/>
        </w:r>
      </w:hyperlink>
    </w:p>
    <w:p w:rsidR="005A3CF1" w:rsidRDefault="0088786D" w:rsidP="005A3CF1">
      <w:pPr>
        <w:rPr>
          <w:b/>
          <w:bCs/>
        </w:rPr>
      </w:pPr>
      <w:r>
        <w:rPr>
          <w:b/>
          <w:bCs/>
        </w:rPr>
        <w:lastRenderedPageBreak/>
        <w:fldChar w:fldCharType="end"/>
      </w:r>
    </w:p>
    <w:p w:rsidR="005A3CF1" w:rsidRPr="00A4603B" w:rsidRDefault="008B67B0" w:rsidP="00E04386">
      <w:pPr>
        <w:pStyle w:val="Heading1"/>
      </w:pPr>
      <w:bookmarkStart w:id="2" w:name="_Toc457553243"/>
      <w:r>
        <w:lastRenderedPageBreak/>
        <w:t xml:space="preserve">1. </w:t>
      </w:r>
      <w:r w:rsidR="005A3CF1" w:rsidRPr="00A4603B">
        <w:t>Executive Summary</w:t>
      </w:r>
      <w:bookmarkEnd w:id="1"/>
      <w:bookmarkEnd w:id="2"/>
    </w:p>
    <w:p w:rsidR="00893821" w:rsidRPr="005A3CF1" w:rsidRDefault="005A3CF1" w:rsidP="008B67B0">
      <w:pPr>
        <w:pStyle w:val="Heading2"/>
      </w:pPr>
      <w:bookmarkStart w:id="3" w:name="_Toc457553244"/>
      <w:r w:rsidRPr="00A4603B">
        <w:t>Introduction</w:t>
      </w:r>
      <w:bookmarkEnd w:id="3"/>
    </w:p>
    <w:p w:rsidR="00893821" w:rsidRPr="00A4603B" w:rsidRDefault="00893821" w:rsidP="00893821">
      <w:pPr>
        <w:rPr>
          <w:lang w:val="en-US"/>
        </w:rPr>
      </w:pPr>
      <w:r w:rsidRPr="00A4603B">
        <w:rPr>
          <w:lang w:val="en-US"/>
        </w:rPr>
        <w:t xml:space="preserve">The Accessibility for Ontarians with Disabilities Act, 2005 (AODA) provides accessibility standards for both private and public sectors, with a goal to make Ontario accessible by 2025. The Accessibility Directorate of Ontario (ADO) was established to manage the implementation of the AODA by developing and enforcing the current accessibility standards. Legislation requires that the effectiveness of the regulations, standards and policies be reviewed every four years and that all the standards be reviewed by a Standards Development Committee within five years of being enacted in regulation. The ADO intends to begin the review of the Transportation Standard in 2015. </w:t>
      </w:r>
    </w:p>
    <w:p w:rsidR="00893821" w:rsidRPr="00A4603B" w:rsidRDefault="00893821" w:rsidP="00893821">
      <w:pPr>
        <w:rPr>
          <w:lang w:val="en-US"/>
        </w:rPr>
      </w:pPr>
      <w:r w:rsidRPr="00A4603B">
        <w:rPr>
          <w:lang w:val="en-US"/>
        </w:rPr>
        <w:t xml:space="preserve">In order to meet current commitments and ensure accessibility for all Ontarians is achieved by 2025, the Ontario government has begun to shift focus to areas where the current standards can be improved and areas where new standards need to be assessed and developed in order for barriers to be removed and the overall goals of the AODA reached. Supported by the Minister’s 2014 Mandate Letter, developing new standards in the areas of Healthcare and Education was identified throughout the Moran review’s consultation process and serves as one of the report’s final recommendations. </w:t>
      </w:r>
    </w:p>
    <w:p w:rsidR="00893821" w:rsidRPr="00A4603B" w:rsidRDefault="00893821" w:rsidP="00893821">
      <w:r w:rsidRPr="00A4603B">
        <w:t xml:space="preserve">The purpose of this Final Report is to summarize and analyze the results of secondary research gathered by KPMG LLP for the Accessibility Directorate of Ontario on accessibility in the transportation, healthcare and education sectors. The research questions guiding this project were: </w:t>
      </w:r>
    </w:p>
    <w:p w:rsidR="00893821" w:rsidRPr="00A4603B" w:rsidRDefault="00893821" w:rsidP="00BC5BD4">
      <w:pPr>
        <w:numPr>
          <w:ilvl w:val="0"/>
          <w:numId w:val="19"/>
        </w:numPr>
      </w:pPr>
      <w:r w:rsidRPr="00A4603B">
        <w:t xml:space="preserve">How are other jurisdictions or leading organizations working to make public sector transportation and taxi services more accessible to people with disabilities? </w:t>
      </w:r>
    </w:p>
    <w:p w:rsidR="00893821" w:rsidRPr="00A4603B" w:rsidRDefault="00893821" w:rsidP="00BC5BD4">
      <w:pPr>
        <w:numPr>
          <w:ilvl w:val="0"/>
          <w:numId w:val="19"/>
        </w:numPr>
      </w:pPr>
      <w:r w:rsidRPr="00A4603B">
        <w:t xml:space="preserve">How are other jurisdictions or leading organizations working to make healthcare more accessible to people with disabilities? </w:t>
      </w:r>
    </w:p>
    <w:p w:rsidR="00893821" w:rsidRPr="00A4603B" w:rsidRDefault="00893821" w:rsidP="00BC5BD4">
      <w:pPr>
        <w:numPr>
          <w:ilvl w:val="0"/>
          <w:numId w:val="19"/>
        </w:numPr>
      </w:pPr>
      <w:r w:rsidRPr="00A4603B">
        <w:t xml:space="preserve">How are other jurisdictions or leading organizations working to make education more accessible to people with disabilities? </w:t>
      </w:r>
    </w:p>
    <w:p w:rsidR="00893821" w:rsidRPr="00A4603B" w:rsidRDefault="00893821" w:rsidP="00BC5BD4">
      <w:pPr>
        <w:numPr>
          <w:ilvl w:val="0"/>
          <w:numId w:val="19"/>
        </w:numPr>
      </w:pPr>
      <w:r w:rsidRPr="00A4603B">
        <w:t xml:space="preserve">What barriers to accessibility have been identified in the areas of healthcare and education, broadly defined? </w:t>
      </w:r>
    </w:p>
    <w:p w:rsidR="00893821" w:rsidRPr="00A4603B" w:rsidRDefault="00893821" w:rsidP="00893821">
      <w:r w:rsidRPr="00A4603B">
        <w:t xml:space="preserve">The research and analysis included in this Final Report is focused on the </w:t>
      </w:r>
      <w:r w:rsidRPr="00A4603B">
        <w:rPr>
          <w:u w:val="single"/>
        </w:rPr>
        <w:t>healthcare</w:t>
      </w:r>
      <w:r w:rsidRPr="00A4603B">
        <w:t xml:space="preserve"> sector. Please see corresponding Final Reports on the transportation and education sectors. </w:t>
      </w:r>
    </w:p>
    <w:p w:rsidR="00893821" w:rsidRPr="00A4603B" w:rsidRDefault="00893821" w:rsidP="008B67B0">
      <w:pPr>
        <w:pStyle w:val="Heading2"/>
      </w:pPr>
      <w:bookmarkStart w:id="4" w:name="_Toc457553245"/>
      <w:r w:rsidRPr="00A4603B">
        <w:lastRenderedPageBreak/>
        <w:t>Jurisdictional Scan and Analysis</w:t>
      </w:r>
      <w:bookmarkEnd w:id="4"/>
    </w:p>
    <w:p w:rsidR="00893821" w:rsidRPr="00A4603B" w:rsidRDefault="00893821" w:rsidP="008B67B0">
      <w:r w:rsidRPr="00A4603B">
        <w:t>In total, 26 jurisdictions were examined to determine how they are making healthcare more accessible to people with disabilities. Examples from other jurisdictions were also included if specific programs were identified to be unique or a leading practice. The jurisdictions were:</w:t>
      </w:r>
    </w:p>
    <w:p w:rsidR="008B67B0" w:rsidRPr="008B67B0" w:rsidRDefault="008B67B0" w:rsidP="008B67B0">
      <w:pPr>
        <w:pStyle w:val="Heading3"/>
      </w:pPr>
      <w:r w:rsidRPr="008B67B0">
        <w:t>Healthcare Jurisdictional Scan</w:t>
      </w:r>
    </w:p>
    <w:p w:rsidR="008B67B0" w:rsidRPr="008B67B0" w:rsidRDefault="008B67B0" w:rsidP="00BC5BD4">
      <w:pPr>
        <w:pStyle w:val="ListParagraph"/>
        <w:numPr>
          <w:ilvl w:val="0"/>
          <w:numId w:val="26"/>
        </w:numPr>
      </w:pPr>
      <w:r w:rsidRPr="008B67B0">
        <w:t>Canada (Federal)</w:t>
      </w:r>
    </w:p>
    <w:p w:rsidR="008B67B0" w:rsidRPr="008B67B0" w:rsidRDefault="008B67B0" w:rsidP="00BC5BD4">
      <w:pPr>
        <w:pStyle w:val="ListParagraph"/>
        <w:numPr>
          <w:ilvl w:val="0"/>
          <w:numId w:val="26"/>
        </w:numPr>
      </w:pPr>
      <w:r w:rsidRPr="008B67B0">
        <w:t>British Columbia</w:t>
      </w:r>
    </w:p>
    <w:p w:rsidR="008B67B0" w:rsidRPr="008B67B0" w:rsidRDefault="008B67B0" w:rsidP="00BC5BD4">
      <w:pPr>
        <w:pStyle w:val="ListParagraph"/>
        <w:numPr>
          <w:ilvl w:val="0"/>
          <w:numId w:val="26"/>
        </w:numPr>
      </w:pPr>
      <w:r w:rsidRPr="008B67B0">
        <w:t>Alberta</w:t>
      </w:r>
    </w:p>
    <w:p w:rsidR="008B67B0" w:rsidRPr="008B67B0" w:rsidRDefault="008B67B0" w:rsidP="00BC5BD4">
      <w:pPr>
        <w:pStyle w:val="ListParagraph"/>
        <w:numPr>
          <w:ilvl w:val="0"/>
          <w:numId w:val="26"/>
        </w:numPr>
      </w:pPr>
      <w:r w:rsidRPr="008B67B0">
        <w:t>Saskatchewan</w:t>
      </w:r>
    </w:p>
    <w:p w:rsidR="008B67B0" w:rsidRPr="008B67B0" w:rsidRDefault="008B67B0" w:rsidP="00BC5BD4">
      <w:pPr>
        <w:pStyle w:val="ListParagraph"/>
        <w:numPr>
          <w:ilvl w:val="0"/>
          <w:numId w:val="26"/>
        </w:numPr>
      </w:pPr>
      <w:r w:rsidRPr="008B67B0">
        <w:t>Manitoba</w:t>
      </w:r>
    </w:p>
    <w:p w:rsidR="008B67B0" w:rsidRPr="008B67B0" w:rsidRDefault="008B67B0" w:rsidP="00BC5BD4">
      <w:pPr>
        <w:pStyle w:val="ListParagraph"/>
        <w:numPr>
          <w:ilvl w:val="0"/>
          <w:numId w:val="26"/>
        </w:numPr>
      </w:pPr>
      <w:r w:rsidRPr="008B67B0">
        <w:t>Quebec</w:t>
      </w:r>
    </w:p>
    <w:p w:rsidR="008B67B0" w:rsidRPr="008B67B0" w:rsidRDefault="008B67B0" w:rsidP="00BC5BD4">
      <w:pPr>
        <w:pStyle w:val="ListParagraph"/>
        <w:numPr>
          <w:ilvl w:val="0"/>
          <w:numId w:val="26"/>
        </w:numPr>
      </w:pPr>
      <w:r w:rsidRPr="008B67B0">
        <w:t>New Brunswick</w:t>
      </w:r>
    </w:p>
    <w:p w:rsidR="008B67B0" w:rsidRPr="008B67B0" w:rsidRDefault="008B67B0" w:rsidP="00BC5BD4">
      <w:pPr>
        <w:pStyle w:val="ListParagraph"/>
        <w:numPr>
          <w:ilvl w:val="0"/>
          <w:numId w:val="26"/>
        </w:numPr>
      </w:pPr>
      <w:r w:rsidRPr="008B67B0">
        <w:t>Nova Scotia</w:t>
      </w:r>
    </w:p>
    <w:p w:rsidR="008B67B0" w:rsidRPr="008B67B0" w:rsidRDefault="008B67B0" w:rsidP="00BC5BD4">
      <w:pPr>
        <w:pStyle w:val="ListParagraph"/>
        <w:numPr>
          <w:ilvl w:val="0"/>
          <w:numId w:val="26"/>
        </w:numPr>
      </w:pPr>
      <w:r w:rsidRPr="008B67B0">
        <w:t>Newfoundland</w:t>
      </w:r>
    </w:p>
    <w:p w:rsidR="008B67B0" w:rsidRPr="008B67B0" w:rsidRDefault="008B67B0" w:rsidP="00BC5BD4">
      <w:pPr>
        <w:pStyle w:val="ListParagraph"/>
        <w:numPr>
          <w:ilvl w:val="0"/>
          <w:numId w:val="26"/>
        </w:numPr>
      </w:pPr>
      <w:r w:rsidRPr="008B67B0">
        <w:t>P.E.I</w:t>
      </w:r>
    </w:p>
    <w:p w:rsidR="008B67B0" w:rsidRPr="008B67B0" w:rsidRDefault="008B67B0" w:rsidP="00BC5BD4">
      <w:pPr>
        <w:pStyle w:val="ListParagraph"/>
        <w:numPr>
          <w:ilvl w:val="0"/>
          <w:numId w:val="26"/>
        </w:numPr>
      </w:pPr>
      <w:r w:rsidRPr="008B67B0">
        <w:t>Yukon</w:t>
      </w:r>
    </w:p>
    <w:p w:rsidR="008B67B0" w:rsidRPr="008B67B0" w:rsidRDefault="008B67B0" w:rsidP="00BC5BD4">
      <w:pPr>
        <w:pStyle w:val="ListParagraph"/>
        <w:numPr>
          <w:ilvl w:val="0"/>
          <w:numId w:val="26"/>
        </w:numPr>
      </w:pPr>
      <w:r w:rsidRPr="008B67B0">
        <w:t>Northwest Territory</w:t>
      </w:r>
    </w:p>
    <w:p w:rsidR="008B67B0" w:rsidRPr="008B67B0" w:rsidRDefault="008B67B0" w:rsidP="00BC5BD4">
      <w:pPr>
        <w:pStyle w:val="ListParagraph"/>
        <w:numPr>
          <w:ilvl w:val="0"/>
          <w:numId w:val="26"/>
        </w:numPr>
      </w:pPr>
      <w:r w:rsidRPr="008B67B0">
        <w:t xml:space="preserve">Nunavut </w:t>
      </w:r>
    </w:p>
    <w:p w:rsidR="008B67B0" w:rsidRPr="008B67B0" w:rsidRDefault="008B67B0" w:rsidP="00BC5BD4">
      <w:pPr>
        <w:pStyle w:val="ListParagraph"/>
        <w:numPr>
          <w:ilvl w:val="0"/>
          <w:numId w:val="26"/>
        </w:numPr>
      </w:pPr>
      <w:r w:rsidRPr="008B67B0">
        <w:t>United States (Federal)</w:t>
      </w:r>
    </w:p>
    <w:p w:rsidR="008B67B0" w:rsidRPr="008B67B0" w:rsidRDefault="008B67B0" w:rsidP="00BC5BD4">
      <w:pPr>
        <w:pStyle w:val="ListParagraph"/>
        <w:numPr>
          <w:ilvl w:val="0"/>
          <w:numId w:val="26"/>
        </w:numPr>
      </w:pPr>
      <w:r w:rsidRPr="008B67B0">
        <w:t>California</w:t>
      </w:r>
    </w:p>
    <w:p w:rsidR="008B67B0" w:rsidRPr="008B67B0" w:rsidRDefault="008B67B0" w:rsidP="00BC5BD4">
      <w:pPr>
        <w:pStyle w:val="ListParagraph"/>
        <w:numPr>
          <w:ilvl w:val="0"/>
          <w:numId w:val="26"/>
        </w:numPr>
      </w:pPr>
      <w:r w:rsidRPr="008B67B0">
        <w:t>New York</w:t>
      </w:r>
    </w:p>
    <w:p w:rsidR="008B67B0" w:rsidRPr="008B67B0" w:rsidRDefault="008B67B0" w:rsidP="00BC5BD4">
      <w:pPr>
        <w:pStyle w:val="ListParagraph"/>
        <w:numPr>
          <w:ilvl w:val="0"/>
          <w:numId w:val="26"/>
        </w:numPr>
      </w:pPr>
      <w:r w:rsidRPr="008B67B0">
        <w:t>United Kingdom/Ireland/Wales</w:t>
      </w:r>
    </w:p>
    <w:p w:rsidR="008B67B0" w:rsidRPr="008B67B0" w:rsidRDefault="008B67B0" w:rsidP="00BC5BD4">
      <w:pPr>
        <w:pStyle w:val="ListParagraph"/>
        <w:numPr>
          <w:ilvl w:val="0"/>
          <w:numId w:val="26"/>
        </w:numPr>
      </w:pPr>
      <w:r w:rsidRPr="008B67B0">
        <w:t>Australia</w:t>
      </w:r>
    </w:p>
    <w:p w:rsidR="008B67B0" w:rsidRPr="008B67B0" w:rsidRDefault="008B67B0" w:rsidP="00BC5BD4">
      <w:pPr>
        <w:pStyle w:val="ListParagraph"/>
        <w:numPr>
          <w:ilvl w:val="0"/>
          <w:numId w:val="26"/>
        </w:numPr>
      </w:pPr>
      <w:r w:rsidRPr="008B67B0">
        <w:t>Singapore</w:t>
      </w:r>
    </w:p>
    <w:p w:rsidR="008B67B0" w:rsidRPr="008B67B0" w:rsidRDefault="008B67B0" w:rsidP="00BC5BD4">
      <w:pPr>
        <w:pStyle w:val="ListParagraph"/>
        <w:numPr>
          <w:ilvl w:val="0"/>
          <w:numId w:val="26"/>
        </w:numPr>
      </w:pPr>
      <w:r w:rsidRPr="008B67B0">
        <w:t xml:space="preserve">New Zealand </w:t>
      </w:r>
    </w:p>
    <w:p w:rsidR="008B67B0" w:rsidRPr="008B67B0" w:rsidRDefault="008B67B0" w:rsidP="00BC5BD4">
      <w:pPr>
        <w:pStyle w:val="ListParagraph"/>
        <w:numPr>
          <w:ilvl w:val="0"/>
          <w:numId w:val="26"/>
        </w:numPr>
      </w:pPr>
      <w:r w:rsidRPr="008B67B0">
        <w:t>Egypt</w:t>
      </w:r>
    </w:p>
    <w:p w:rsidR="008B67B0" w:rsidRPr="008B67B0" w:rsidRDefault="008B67B0" w:rsidP="00BC5BD4">
      <w:pPr>
        <w:pStyle w:val="ListParagraph"/>
        <w:numPr>
          <w:ilvl w:val="0"/>
          <w:numId w:val="26"/>
        </w:numPr>
      </w:pPr>
      <w:r w:rsidRPr="008B67B0">
        <w:t>Israel</w:t>
      </w:r>
    </w:p>
    <w:p w:rsidR="008B67B0" w:rsidRPr="008B67B0" w:rsidRDefault="008B67B0" w:rsidP="00BC5BD4">
      <w:pPr>
        <w:pStyle w:val="ListParagraph"/>
        <w:numPr>
          <w:ilvl w:val="0"/>
          <w:numId w:val="26"/>
        </w:numPr>
      </w:pPr>
      <w:r w:rsidRPr="008B67B0">
        <w:t>Jordan</w:t>
      </w:r>
    </w:p>
    <w:p w:rsidR="008B67B0" w:rsidRPr="008B67B0" w:rsidRDefault="008B67B0" w:rsidP="00BC5BD4">
      <w:pPr>
        <w:pStyle w:val="ListParagraph"/>
        <w:numPr>
          <w:ilvl w:val="0"/>
          <w:numId w:val="26"/>
        </w:numPr>
      </w:pPr>
      <w:r w:rsidRPr="008B67B0">
        <w:t>Germany</w:t>
      </w:r>
    </w:p>
    <w:p w:rsidR="00893821" w:rsidRPr="00A4603B" w:rsidRDefault="00893821" w:rsidP="00893821"/>
    <w:p w:rsidR="00893821" w:rsidRPr="00A4603B" w:rsidRDefault="00893821" w:rsidP="00893821">
      <w:pPr>
        <w:rPr>
          <w:lang w:val="en-US"/>
        </w:rPr>
      </w:pPr>
      <w:r w:rsidRPr="00A4603B">
        <w:t xml:space="preserve">As part of the jurisdictional scan, regulations, standards, policies, strategies, and programs were reviewed that support equitable access and service in healthcare. The scope of this scan included, but was not limited to, primary healthcare service providers, hospitals, community health services, and long-term care homes. </w:t>
      </w:r>
    </w:p>
    <w:p w:rsidR="00893821" w:rsidRPr="00A4603B" w:rsidRDefault="00893821" w:rsidP="00893821">
      <w:r w:rsidRPr="00A4603B">
        <w:lastRenderedPageBreak/>
        <w:t xml:space="preserve">Overall, Ontario appears to be comparable or better than the other jurisdictions examined in helping to make healthcare more accessible to persons with disabilities.  Based on the documents reviewed, it appeared that no jurisdiction had an overarching healthcare standard in place beyond the traditional areas of building/public space design, customer services and information/communications. Rather, regulations across all jurisdictions focused on equality, human rights, physical access (e.g. accommodation, building codes, design of public spaces, etc.), or mental health, which have applicability to the healthcare sector. Our analysis of Ontario relative to other jurisdictions identified the regulatory areas that could warrant further investigation by the ADO. </w:t>
      </w:r>
    </w:p>
    <w:p w:rsidR="00893821" w:rsidRPr="00A4603B" w:rsidRDefault="00893821" w:rsidP="00893821">
      <w:r w:rsidRPr="00A4603B">
        <w:t xml:space="preserve">Similar to Ontario, other jurisdictions had accessibility plans, disability strategies and action plans and equal access policies in place. Most policies and strategies related to certain aspects of the healthcare system or types of disabilities. Select jurisdictions had unique policies and/or strategies in place that Ontario may wish to consider further. These included a focus on clinical centres of excellence, the continuum of care, disability funding models, advisory committees for new standards and impact of aging demographics. </w:t>
      </w:r>
    </w:p>
    <w:p w:rsidR="00893821" w:rsidRPr="00A4603B" w:rsidRDefault="00893821" w:rsidP="00893821">
      <w:r w:rsidRPr="00A4603B">
        <w:t>All jurisdictions examined had programs in place for improving accessibility in the healthcare sector. A number of programs and services geared towards access and equity in healthcare were found to be especially noteworthy and relevant to the Ontario context. In general, it appeared that gaps often remain between policies and what actually happens in practice.</w:t>
      </w:r>
    </w:p>
    <w:p w:rsidR="00893821" w:rsidRPr="00A4603B" w:rsidRDefault="00893821" w:rsidP="008B67B0">
      <w:pPr>
        <w:pStyle w:val="Heading2"/>
      </w:pPr>
      <w:bookmarkStart w:id="5" w:name="_Toc457553246"/>
      <w:r w:rsidRPr="00A4603B">
        <w:t>Literature Review</w:t>
      </w:r>
      <w:bookmarkEnd w:id="5"/>
    </w:p>
    <w:p w:rsidR="00893821" w:rsidRPr="00A4603B" w:rsidRDefault="00893821" w:rsidP="00893821">
      <w:r w:rsidRPr="00A4603B">
        <w:t xml:space="preserve">This report also examined the barriers encountered by people with disabilities in the healthcare sector, including accessibility and equity of service barriers. The review explored sources from academic literature, as well as a range of organizations including advocacy groups, policy institutes, government committees and panels, industry organizations, and human rights and disability organizations. Seven overarching healthcare barriers were found: </w:t>
      </w:r>
    </w:p>
    <w:p w:rsidR="00893821" w:rsidRPr="00A4603B" w:rsidRDefault="00893821" w:rsidP="00BC5BD4">
      <w:pPr>
        <w:pStyle w:val="ListParagraph"/>
        <w:numPr>
          <w:ilvl w:val="0"/>
          <w:numId w:val="22"/>
        </w:numPr>
      </w:pPr>
      <w:r w:rsidRPr="00A4603B">
        <w:t>Effective transitioning between health care providers, through different life stages and support systems. Further issues include administrative coordination, sharing of information, and planning.</w:t>
      </w:r>
    </w:p>
    <w:p w:rsidR="00893821" w:rsidRPr="00A4603B" w:rsidRDefault="00893821" w:rsidP="00BC5BD4">
      <w:pPr>
        <w:pStyle w:val="ListParagraph"/>
        <w:numPr>
          <w:ilvl w:val="0"/>
          <w:numId w:val="22"/>
        </w:numPr>
      </w:pPr>
      <w:r w:rsidRPr="00A4603B">
        <w:t>Trust barriers, insensitivities, negative experiences, and discrimination resulting in patients less likely to seek out healthcare, ultimately resulting in poorer health and creating risks for conditions going untreated.</w:t>
      </w:r>
    </w:p>
    <w:p w:rsidR="00893821" w:rsidRPr="00A4603B" w:rsidRDefault="00893821" w:rsidP="00BC5BD4">
      <w:pPr>
        <w:pStyle w:val="ListParagraph"/>
        <w:numPr>
          <w:ilvl w:val="0"/>
          <w:numId w:val="22"/>
        </w:numPr>
      </w:pPr>
      <w:r w:rsidRPr="00A4603B">
        <w:t>Challenges faced in identifying and describing symptoms leading to healthcare providers having difficulty providing effective treatment.</w:t>
      </w:r>
    </w:p>
    <w:p w:rsidR="00893821" w:rsidRPr="00A4603B" w:rsidRDefault="00893821" w:rsidP="00BC5BD4">
      <w:pPr>
        <w:pStyle w:val="ListParagraph"/>
        <w:numPr>
          <w:ilvl w:val="0"/>
          <w:numId w:val="22"/>
        </w:numPr>
      </w:pPr>
      <w:r w:rsidRPr="00A4603B">
        <w:lastRenderedPageBreak/>
        <w:t>Infringement on patient confidentiality and consent with healthcare providers due to communication issues.</w:t>
      </w:r>
    </w:p>
    <w:p w:rsidR="00893821" w:rsidRPr="00A4603B" w:rsidRDefault="00893821" w:rsidP="00BC5BD4">
      <w:pPr>
        <w:pStyle w:val="ListParagraph"/>
        <w:numPr>
          <w:ilvl w:val="0"/>
          <w:numId w:val="22"/>
        </w:numPr>
      </w:pPr>
      <w:r w:rsidRPr="00A4603B">
        <w:t>Prevalence of inaccessible healthcare practices and clinics that create difficulties in navigating the healthcare system and accessing care.</w:t>
      </w:r>
    </w:p>
    <w:p w:rsidR="00893821" w:rsidRPr="00A4603B" w:rsidRDefault="00893821" w:rsidP="00BC5BD4">
      <w:pPr>
        <w:pStyle w:val="ListParagraph"/>
        <w:numPr>
          <w:ilvl w:val="0"/>
          <w:numId w:val="22"/>
        </w:numPr>
      </w:pPr>
      <w:r w:rsidRPr="00A4603B">
        <w:t>Ongoing issues with receiving correct directions for medication, including inaccessible labelling and lack of clear instructions on the use of medication.</w:t>
      </w:r>
    </w:p>
    <w:p w:rsidR="00893821" w:rsidRPr="008B67B0" w:rsidRDefault="00893821" w:rsidP="00BC5BD4">
      <w:pPr>
        <w:pStyle w:val="ListParagraph"/>
        <w:numPr>
          <w:ilvl w:val="0"/>
          <w:numId w:val="22"/>
        </w:numPr>
        <w:rPr>
          <w:lang w:val="en"/>
        </w:rPr>
      </w:pPr>
      <w:r w:rsidRPr="008B67B0">
        <w:rPr>
          <w:lang w:val="en"/>
        </w:rPr>
        <w:t>Inability to access physical activity opportunities as well as emotional barriers and negativity toward exercise leading obesity, depression and low confidence.</w:t>
      </w:r>
    </w:p>
    <w:p w:rsidR="00893821" w:rsidRPr="00A4603B" w:rsidRDefault="00893821" w:rsidP="00893821">
      <w:r w:rsidRPr="00A4603B">
        <w:t>Overall, these barriers result in difficulties navigating the healthcare system, distrust in healthcare providers leading to safety risks and poorer health outcomes for the patient. The literature also highlighted concerns from patients, families, medical professionals, advocates, and academics seeking to find solutions.</w:t>
      </w:r>
    </w:p>
    <w:p w:rsidR="00893821" w:rsidRPr="00A4603B" w:rsidRDefault="00893821" w:rsidP="008B67B0">
      <w:pPr>
        <w:pStyle w:val="Heading2"/>
      </w:pPr>
      <w:bookmarkStart w:id="6" w:name="_Toc457553247"/>
      <w:r w:rsidRPr="00A4603B">
        <w:t>Emerging Trends and Issues</w:t>
      </w:r>
      <w:bookmarkEnd w:id="6"/>
    </w:p>
    <w:p w:rsidR="00893821" w:rsidRPr="00A4603B" w:rsidRDefault="00893821" w:rsidP="00893821">
      <w:r w:rsidRPr="00A4603B">
        <w:t>Healthcare in Ontario aims to provide a patient-focused, results-driven, integrated and sustainable system for all. Trends and emerging issues in accessibility in healthcare were identified based on jurisdictional research, other publicly-available documents and literature review. In total six trends or emerging issues have been identified. Most are rooted in the principles of inclusion and accommodation and aim to address barriers that impede system and individual success. The trends and issues were:</w:t>
      </w:r>
    </w:p>
    <w:p w:rsidR="00893821" w:rsidRPr="008B67B0" w:rsidRDefault="00893821" w:rsidP="00BC5BD4">
      <w:pPr>
        <w:pStyle w:val="ListParagraph"/>
        <w:numPr>
          <w:ilvl w:val="0"/>
          <w:numId w:val="23"/>
        </w:numPr>
        <w:rPr>
          <w:lang w:val="en-US"/>
        </w:rPr>
      </w:pPr>
      <w:r w:rsidRPr="008B67B0">
        <w:rPr>
          <w:lang w:val="en-US"/>
        </w:rPr>
        <w:t xml:space="preserve">There continues to be a focus on built environment access to healthcare, yet more work to be done to address physical access issues. </w:t>
      </w:r>
    </w:p>
    <w:p w:rsidR="00893821" w:rsidRPr="008B67B0" w:rsidRDefault="00893821" w:rsidP="00BC5BD4">
      <w:pPr>
        <w:pStyle w:val="ListParagraph"/>
        <w:numPr>
          <w:ilvl w:val="0"/>
          <w:numId w:val="23"/>
        </w:numPr>
        <w:rPr>
          <w:lang w:val="en-US"/>
        </w:rPr>
      </w:pPr>
      <w:r w:rsidRPr="008B67B0">
        <w:rPr>
          <w:lang w:val="en-US"/>
        </w:rPr>
        <w:t>Many programs in place to facilitate independent living and keep care in the community and homes.</w:t>
      </w:r>
    </w:p>
    <w:p w:rsidR="00893821" w:rsidRPr="008B67B0" w:rsidRDefault="00893821" w:rsidP="00BC5BD4">
      <w:pPr>
        <w:pStyle w:val="ListParagraph"/>
        <w:numPr>
          <w:ilvl w:val="0"/>
          <w:numId w:val="23"/>
        </w:numPr>
        <w:rPr>
          <w:lang w:val="en-US"/>
        </w:rPr>
      </w:pPr>
      <w:r w:rsidRPr="008B67B0">
        <w:rPr>
          <w:lang w:val="en-US"/>
        </w:rPr>
        <w:t>Increased coordination among healthcare providers, caregivers and families.</w:t>
      </w:r>
    </w:p>
    <w:p w:rsidR="00893821" w:rsidRPr="008B67B0" w:rsidRDefault="00893821" w:rsidP="00BC5BD4">
      <w:pPr>
        <w:pStyle w:val="ListParagraph"/>
        <w:numPr>
          <w:ilvl w:val="0"/>
          <w:numId w:val="23"/>
        </w:numPr>
        <w:rPr>
          <w:lang w:val="en-US"/>
        </w:rPr>
      </w:pPr>
      <w:r w:rsidRPr="008B67B0">
        <w:rPr>
          <w:lang w:val="en-US"/>
        </w:rPr>
        <w:t>Enabling independence has led to an emerging focus on confidentiality and consent.</w:t>
      </w:r>
    </w:p>
    <w:p w:rsidR="00893821" w:rsidRPr="008B67B0" w:rsidRDefault="00893821" w:rsidP="00BC5BD4">
      <w:pPr>
        <w:pStyle w:val="ListParagraph"/>
        <w:numPr>
          <w:ilvl w:val="0"/>
          <w:numId w:val="23"/>
        </w:numPr>
        <w:rPr>
          <w:lang w:val="en-US"/>
        </w:rPr>
      </w:pPr>
      <w:r w:rsidRPr="008B67B0">
        <w:rPr>
          <w:lang w:val="en-US"/>
        </w:rPr>
        <w:t>Policies and programs to enhance training and education for healthcare professionals.</w:t>
      </w:r>
    </w:p>
    <w:p w:rsidR="00893821" w:rsidRPr="008B67B0" w:rsidRDefault="00893821" w:rsidP="00BC5BD4">
      <w:pPr>
        <w:pStyle w:val="ListParagraph"/>
        <w:numPr>
          <w:ilvl w:val="0"/>
          <w:numId w:val="23"/>
        </w:numPr>
        <w:rPr>
          <w:lang w:val="en-US"/>
        </w:rPr>
      </w:pPr>
      <w:r w:rsidRPr="008B67B0">
        <w:rPr>
          <w:lang w:val="en-US"/>
        </w:rPr>
        <w:t>A recognition that programs are needed to address barriers for specific populations.</w:t>
      </w:r>
    </w:p>
    <w:p w:rsidR="00893821" w:rsidRPr="00A4603B" w:rsidRDefault="00893821" w:rsidP="008B67B0">
      <w:pPr>
        <w:pStyle w:val="Heading2"/>
      </w:pPr>
      <w:bookmarkStart w:id="7" w:name="_Toc457553248"/>
      <w:r w:rsidRPr="00A4603B">
        <w:t>Industry Leaders and Experts</w:t>
      </w:r>
      <w:bookmarkEnd w:id="7"/>
    </w:p>
    <w:p w:rsidR="00893821" w:rsidRPr="00A4603B" w:rsidRDefault="00893821" w:rsidP="00893821">
      <w:r w:rsidRPr="00A4603B">
        <w:t xml:space="preserve">This report also identifies industry leaders and experts in accessible healthcare. These profiles were compiled using secondary web based research. Leaders, experts, academics, institutes, consumer groups, associations, consultants and corporations </w:t>
      </w:r>
      <w:r w:rsidRPr="00A4603B">
        <w:lastRenderedPageBreak/>
        <w:t xml:space="preserve">were in scope. Preference was given to entities/people who are not part of a Government of Ontario’s public accessibility related council/ committee. </w:t>
      </w:r>
    </w:p>
    <w:p w:rsidR="008B67B0" w:rsidRPr="00A4603B" w:rsidRDefault="008B67B0" w:rsidP="00BC5BD4">
      <w:pPr>
        <w:pStyle w:val="ListParagraph"/>
        <w:numPr>
          <w:ilvl w:val="0"/>
          <w:numId w:val="24"/>
        </w:numPr>
      </w:pPr>
      <w:r w:rsidRPr="00A4603B">
        <w:t>Bridgepoint Health</w:t>
      </w:r>
    </w:p>
    <w:p w:rsidR="008B67B0" w:rsidRPr="00A4603B" w:rsidRDefault="008B67B0" w:rsidP="00BC5BD4">
      <w:pPr>
        <w:pStyle w:val="ListParagraph"/>
        <w:numPr>
          <w:ilvl w:val="0"/>
          <w:numId w:val="24"/>
        </w:numPr>
      </w:pPr>
      <w:r w:rsidRPr="00A4603B">
        <w:t>Siemens</w:t>
      </w:r>
    </w:p>
    <w:p w:rsidR="008B67B0" w:rsidRPr="00A4603B" w:rsidRDefault="008B67B0" w:rsidP="00BC5BD4">
      <w:pPr>
        <w:pStyle w:val="ListParagraph"/>
        <w:numPr>
          <w:ilvl w:val="0"/>
          <w:numId w:val="24"/>
        </w:numPr>
      </w:pPr>
      <w:r w:rsidRPr="00A4603B">
        <w:t>Worker’s Safety and Insurance Board</w:t>
      </w:r>
    </w:p>
    <w:p w:rsidR="008B67B0" w:rsidRPr="00A4603B" w:rsidRDefault="008B67B0" w:rsidP="00BC5BD4">
      <w:pPr>
        <w:pStyle w:val="ListParagraph"/>
        <w:numPr>
          <w:ilvl w:val="0"/>
          <w:numId w:val="24"/>
        </w:numPr>
      </w:pPr>
      <w:r w:rsidRPr="00A4603B">
        <w:t>Dr. Alice Dong</w:t>
      </w:r>
    </w:p>
    <w:p w:rsidR="008B67B0" w:rsidRPr="00A4603B" w:rsidRDefault="008B67B0" w:rsidP="00BC5BD4">
      <w:pPr>
        <w:pStyle w:val="ListParagraph"/>
        <w:numPr>
          <w:ilvl w:val="0"/>
          <w:numId w:val="24"/>
        </w:numPr>
      </w:pPr>
      <w:r w:rsidRPr="00A4603B">
        <w:t>Dr. Yona Lunsky</w:t>
      </w:r>
    </w:p>
    <w:p w:rsidR="008B67B0" w:rsidRPr="00A4603B" w:rsidRDefault="008B67B0" w:rsidP="00BC5BD4">
      <w:pPr>
        <w:pStyle w:val="ListParagraph"/>
        <w:numPr>
          <w:ilvl w:val="0"/>
          <w:numId w:val="24"/>
        </w:numPr>
      </w:pPr>
      <w:r w:rsidRPr="00A4603B">
        <w:t>Canadian Mental Health Association</w:t>
      </w:r>
    </w:p>
    <w:p w:rsidR="008B67B0" w:rsidRPr="00A4603B" w:rsidRDefault="008B67B0" w:rsidP="00BC5BD4">
      <w:pPr>
        <w:pStyle w:val="ListParagraph"/>
        <w:numPr>
          <w:ilvl w:val="0"/>
          <w:numId w:val="24"/>
        </w:numPr>
      </w:pPr>
      <w:r w:rsidRPr="00A4603B">
        <w:t>Communications Disability Access Canada</w:t>
      </w:r>
    </w:p>
    <w:p w:rsidR="008B67B0" w:rsidRPr="00A4603B" w:rsidRDefault="008B67B0" w:rsidP="00BC5BD4">
      <w:pPr>
        <w:pStyle w:val="ListParagraph"/>
        <w:numPr>
          <w:ilvl w:val="0"/>
          <w:numId w:val="24"/>
        </w:numPr>
      </w:pPr>
      <w:r w:rsidRPr="00A4603B">
        <w:t>Dr. William (Bill) F. Sullivan</w:t>
      </w:r>
    </w:p>
    <w:p w:rsidR="008B67B0" w:rsidRPr="00A4603B" w:rsidRDefault="008B67B0" w:rsidP="00BC5BD4">
      <w:pPr>
        <w:pStyle w:val="ListParagraph"/>
        <w:numPr>
          <w:ilvl w:val="0"/>
          <w:numId w:val="24"/>
        </w:numPr>
      </w:pPr>
      <w:r w:rsidRPr="00A4603B">
        <w:t xml:space="preserve">Toronto Rehabilitation Institute </w:t>
      </w:r>
    </w:p>
    <w:p w:rsidR="00893821" w:rsidRPr="00A4603B" w:rsidRDefault="00893821" w:rsidP="008B67B0">
      <w:pPr>
        <w:pStyle w:val="Heading2"/>
      </w:pPr>
      <w:bookmarkStart w:id="8" w:name="_Toc457553249"/>
      <w:r w:rsidRPr="00A4603B">
        <w:t>Leading Practices</w:t>
      </w:r>
      <w:bookmarkEnd w:id="8"/>
    </w:p>
    <w:p w:rsidR="00893821" w:rsidRPr="00A4603B" w:rsidRDefault="00893821" w:rsidP="00893821">
      <w:r w:rsidRPr="00A4603B">
        <w:t xml:space="preserve">Many interesting regulations, standards and policies are identified throughout this report. Tying in the jurisdictional research, literature review and analysis of emerging trends and issues ultimately led to the identification of key leading practices in accessibility of the healthcare system. These included access and equality in primary and secondary care, patient medical transportation, medical diagnostic examination, and prescription labelling. </w:t>
      </w:r>
    </w:p>
    <w:p w:rsidR="00893821" w:rsidRPr="00A4603B" w:rsidRDefault="00893821" w:rsidP="008B67B0">
      <w:pPr>
        <w:pStyle w:val="Heading2"/>
      </w:pPr>
      <w:bookmarkStart w:id="9" w:name="_Toc457553250"/>
      <w:r w:rsidRPr="00A4603B">
        <w:t>Conclusion</w:t>
      </w:r>
      <w:bookmarkEnd w:id="9"/>
      <w:r w:rsidRPr="00A4603B">
        <w:t xml:space="preserve"> </w:t>
      </w:r>
    </w:p>
    <w:p w:rsidR="00893821" w:rsidRPr="00A4603B" w:rsidRDefault="00893821" w:rsidP="00893821">
      <w:r w:rsidRPr="00A4603B">
        <w:t>Going forward, as new standards in healthcare are considered, suggested areas of focus for the ADO may include:</w:t>
      </w:r>
    </w:p>
    <w:p w:rsidR="00893821" w:rsidRPr="00A4603B" w:rsidRDefault="00893821" w:rsidP="00BC5BD4">
      <w:pPr>
        <w:pStyle w:val="ListParagraph"/>
        <w:numPr>
          <w:ilvl w:val="0"/>
          <w:numId w:val="25"/>
        </w:numPr>
      </w:pPr>
      <w:r w:rsidRPr="00A4603B">
        <w:t xml:space="preserve">Building design standards specific to healthcare facilities. </w:t>
      </w:r>
    </w:p>
    <w:p w:rsidR="00893821" w:rsidRPr="008B67B0" w:rsidRDefault="00893821" w:rsidP="00BC5BD4">
      <w:pPr>
        <w:pStyle w:val="ListParagraph"/>
        <w:numPr>
          <w:ilvl w:val="0"/>
          <w:numId w:val="25"/>
        </w:numPr>
        <w:rPr>
          <w:lang w:val="en-US"/>
        </w:rPr>
      </w:pPr>
      <w:r w:rsidRPr="008B67B0">
        <w:rPr>
          <w:lang w:val="en-US"/>
        </w:rPr>
        <w:t>Specific regulations or standards for Guide Dog or Service Animals.</w:t>
      </w:r>
    </w:p>
    <w:p w:rsidR="00893821" w:rsidRPr="008B67B0" w:rsidRDefault="00893821" w:rsidP="00BC5BD4">
      <w:pPr>
        <w:pStyle w:val="ListParagraph"/>
        <w:numPr>
          <w:ilvl w:val="0"/>
          <w:numId w:val="25"/>
        </w:numPr>
        <w:rPr>
          <w:lang w:val="en-US"/>
        </w:rPr>
      </w:pPr>
      <w:r w:rsidRPr="008B67B0">
        <w:rPr>
          <w:lang w:val="en-US"/>
        </w:rPr>
        <w:t>Enhanced medical transportation services.</w:t>
      </w:r>
    </w:p>
    <w:p w:rsidR="00893821" w:rsidRPr="008B67B0" w:rsidRDefault="00893821" w:rsidP="00BC5BD4">
      <w:pPr>
        <w:pStyle w:val="ListParagraph"/>
        <w:numPr>
          <w:ilvl w:val="0"/>
          <w:numId w:val="25"/>
        </w:numPr>
        <w:rPr>
          <w:lang w:val="en-US"/>
        </w:rPr>
      </w:pPr>
      <w:r w:rsidRPr="008B67B0">
        <w:rPr>
          <w:lang w:val="en-US"/>
        </w:rPr>
        <w:t>Medical diagnostic equipment accessibility standards.</w:t>
      </w:r>
    </w:p>
    <w:p w:rsidR="00893821" w:rsidRPr="008B67B0" w:rsidRDefault="00893821" w:rsidP="00BC5BD4">
      <w:pPr>
        <w:pStyle w:val="ListParagraph"/>
        <w:numPr>
          <w:ilvl w:val="0"/>
          <w:numId w:val="25"/>
        </w:numPr>
        <w:rPr>
          <w:lang w:val="en-US"/>
        </w:rPr>
      </w:pPr>
      <w:r w:rsidRPr="008B67B0">
        <w:rPr>
          <w:lang w:val="en-US"/>
        </w:rPr>
        <w:t>Prescription labelling accessibility standards.</w:t>
      </w:r>
    </w:p>
    <w:p w:rsidR="00893821" w:rsidRPr="008B67B0" w:rsidRDefault="00893821" w:rsidP="00BC5BD4">
      <w:pPr>
        <w:pStyle w:val="ListParagraph"/>
        <w:numPr>
          <w:ilvl w:val="0"/>
          <w:numId w:val="25"/>
        </w:numPr>
        <w:rPr>
          <w:lang w:val="en-US"/>
        </w:rPr>
      </w:pPr>
      <w:r w:rsidRPr="008B67B0">
        <w:rPr>
          <w:lang w:val="en-US"/>
        </w:rPr>
        <w:t>Guidance on protocols or policies for accessible pre-admission planning, in-patient care and discharge planning.</w:t>
      </w:r>
    </w:p>
    <w:p w:rsidR="008B67B0" w:rsidRDefault="008B67B0" w:rsidP="00E04386">
      <w:pPr>
        <w:pStyle w:val="Heading1"/>
      </w:pPr>
      <w:bookmarkStart w:id="10" w:name="_Toc424669240"/>
      <w:bookmarkStart w:id="11" w:name="_Toc457553251"/>
      <w:r>
        <w:lastRenderedPageBreak/>
        <w:t xml:space="preserve">2. </w:t>
      </w:r>
      <w:r w:rsidR="00893821" w:rsidRPr="00A4603B">
        <w:t>Introduction</w:t>
      </w:r>
      <w:bookmarkStart w:id="12" w:name="_Toc386616325"/>
      <w:bookmarkStart w:id="13" w:name="_Toc424669241"/>
      <w:bookmarkEnd w:id="10"/>
      <w:bookmarkEnd w:id="11"/>
    </w:p>
    <w:p w:rsidR="00893821" w:rsidRPr="008B67B0" w:rsidRDefault="008B67B0" w:rsidP="008B67B0">
      <w:pPr>
        <w:pStyle w:val="Heading2"/>
      </w:pPr>
      <w:bookmarkStart w:id="14" w:name="_Toc457553252"/>
      <w:r>
        <w:rPr>
          <w:lang w:val="en-US"/>
        </w:rPr>
        <w:t xml:space="preserve">2.1 </w:t>
      </w:r>
      <w:r w:rsidR="00893821" w:rsidRPr="00A4603B">
        <w:rPr>
          <w:lang w:val="en-US"/>
        </w:rPr>
        <w:t>Purpose of this Final Report</w:t>
      </w:r>
      <w:bookmarkEnd w:id="12"/>
      <w:bookmarkEnd w:id="13"/>
      <w:bookmarkEnd w:id="14"/>
    </w:p>
    <w:p w:rsidR="00893821" w:rsidRPr="00A4603B" w:rsidRDefault="00893821" w:rsidP="00893821">
      <w:r w:rsidRPr="00A4603B">
        <w:t xml:space="preserve">The purpose of this Final Report is to summarize and analyze the results of secondary research gathered by KPMG LLP for an engagement with the Accessibility Directorate of Ontario (ADO) on accessibility in the transportation, healthcare and education sectors. This research will serve to support upcoming reviews of accessibility standards. </w:t>
      </w:r>
    </w:p>
    <w:p w:rsidR="00893821" w:rsidRPr="00A4603B" w:rsidRDefault="00893821" w:rsidP="00893821">
      <w:r w:rsidRPr="00A4603B">
        <w:t xml:space="preserve">The research and analysis included in this Final Report is focused on the </w:t>
      </w:r>
      <w:r w:rsidRPr="00A4603B">
        <w:rPr>
          <w:u w:val="single"/>
        </w:rPr>
        <w:t>healthcare</w:t>
      </w:r>
      <w:r w:rsidRPr="00A4603B">
        <w:t xml:space="preserve"> sector. Please see corresponding Final Reports on the transportation and education sectors. </w:t>
      </w:r>
    </w:p>
    <w:p w:rsidR="00893821" w:rsidRPr="00A4603B" w:rsidRDefault="00893821" w:rsidP="00893821">
      <w:r w:rsidRPr="00A4603B">
        <w:t xml:space="preserve">In producing this Final Report, KPMG has summarized publicly available web information. KPMG has not independently verified the accuracy or completeness of the information. The research and opinions presented in the jurisdictional scan and literature review are attributed to the organizations, entities, authors, and stakeholders cited and not the opinions of KPMG. As much as possible, terminology and definitions related to accessibility and disability used in this report is based on guidance from the ADO. However, KPMG has maintained the terminology for regulations, policies, and programs used by other jurisdictions, even if it differs from ADO guidance. Moreover, different terminology may also have been used to enhance search results as needed. </w:t>
      </w:r>
    </w:p>
    <w:p w:rsidR="00893821" w:rsidRPr="00A4603B" w:rsidRDefault="00893821" w:rsidP="00893821">
      <w:r w:rsidRPr="00A4603B">
        <w:t xml:space="preserve">The ADO is responsible for any and all decisions based on the findings from this Final Report and for considering their effects. Implementation of any resulting actions may require the ADO to plan and test any changes to ensure that the ADO will realize satisfactory results. </w:t>
      </w:r>
    </w:p>
    <w:p w:rsidR="00893821" w:rsidRPr="00A4603B" w:rsidRDefault="00E2580D" w:rsidP="00E2580D">
      <w:pPr>
        <w:pStyle w:val="Heading2"/>
        <w:rPr>
          <w:lang w:val="en-US"/>
        </w:rPr>
      </w:pPr>
      <w:bookmarkStart w:id="15" w:name="_Toc424669242"/>
      <w:bookmarkStart w:id="16" w:name="_Toc457553253"/>
      <w:r>
        <w:rPr>
          <w:lang w:val="en-US"/>
        </w:rPr>
        <w:t xml:space="preserve">2.2 </w:t>
      </w:r>
      <w:r w:rsidR="00893821" w:rsidRPr="00A4603B">
        <w:rPr>
          <w:lang w:val="en-US"/>
        </w:rPr>
        <w:t>Background and Context</w:t>
      </w:r>
      <w:bookmarkEnd w:id="15"/>
      <w:bookmarkEnd w:id="16"/>
      <w:r w:rsidR="00893821" w:rsidRPr="00A4603B">
        <w:rPr>
          <w:lang w:val="en-US"/>
        </w:rPr>
        <w:t xml:space="preserve"> </w:t>
      </w:r>
    </w:p>
    <w:p w:rsidR="00893821" w:rsidRPr="00A4603B" w:rsidRDefault="00893821" w:rsidP="00893821">
      <w:pPr>
        <w:rPr>
          <w:lang w:val="en-US"/>
        </w:rPr>
      </w:pPr>
      <w:r w:rsidRPr="00A4603B">
        <w:rPr>
          <w:lang w:val="en-US"/>
        </w:rPr>
        <w:t xml:space="preserve">The Accessibility for Ontarians with Disabilities Act, 2005 (AODA) provides accessibility standards for both private and public sectors, with a goal to make Ontario accessible by 2025. An ambitious agenda, standards are organized into Customer Service, Information and Communications, Employment, Transportation and Design of Public Spaces and have been implemented incrementally. </w:t>
      </w:r>
    </w:p>
    <w:p w:rsidR="00893821" w:rsidRPr="00A4603B" w:rsidRDefault="00893821" w:rsidP="00893821">
      <w:pPr>
        <w:rPr>
          <w:lang w:val="en-US"/>
        </w:rPr>
      </w:pPr>
      <w:r w:rsidRPr="00A4603B">
        <w:rPr>
          <w:lang w:val="en-US"/>
        </w:rPr>
        <w:t xml:space="preserve">The Accessibility Directorate of Ontario (ADO) was established to manage the implementation of the AODA by developing and enforcing the current accessibility standards. As part of the functions of the ADO and implementing the AODA, legislation requires that the effectiveness of the regulations, standards and policies be reviewed every four years and that all the standards be reviewed by a Standards Development </w:t>
      </w:r>
      <w:r w:rsidRPr="00A4603B">
        <w:rPr>
          <w:lang w:val="en-US"/>
        </w:rPr>
        <w:lastRenderedPageBreak/>
        <w:t xml:space="preserve">Committee within five years of being enacted in regulation. The ADO intends to begin the review of the Transportation Standard in 2015. </w:t>
      </w:r>
    </w:p>
    <w:p w:rsidR="00893821" w:rsidRPr="00A4603B" w:rsidRDefault="00893821" w:rsidP="00893821">
      <w:pPr>
        <w:rPr>
          <w:lang w:val="en-US"/>
        </w:rPr>
      </w:pPr>
      <w:r w:rsidRPr="00A4603B">
        <w:rPr>
          <w:lang w:val="en-US"/>
        </w:rPr>
        <w:t xml:space="preserve">In order to meet current commitments and ensure accessibility for all Ontarians is achieved by 2025, the Ontario government has begun to shift focus to areas where the current standards can be improved, e.g. transportation, and areas where new standards need to be assessed and developed in order for barriers to be removed and the overall goals of the AODA reached, e.g. Healthcare and Education. Supported by the Minister’s 2014 Mandate Letter, developing new standards in the areas of Healthcare and Education was identified throughout the Moran review’s consultation process and serves as one of the report’s final recommendations. </w:t>
      </w:r>
    </w:p>
    <w:p w:rsidR="00893821" w:rsidRPr="00A4603B" w:rsidRDefault="00E2580D" w:rsidP="00E2580D">
      <w:pPr>
        <w:pStyle w:val="Heading2"/>
        <w:rPr>
          <w:lang w:val="en-US"/>
        </w:rPr>
      </w:pPr>
      <w:bookmarkStart w:id="17" w:name="_Toc424669243"/>
      <w:bookmarkStart w:id="18" w:name="_Toc457553254"/>
      <w:r>
        <w:rPr>
          <w:lang w:val="en-US"/>
        </w:rPr>
        <w:t xml:space="preserve">2.3 </w:t>
      </w:r>
      <w:r w:rsidR="00893821" w:rsidRPr="00A4603B">
        <w:rPr>
          <w:lang w:val="en-US"/>
        </w:rPr>
        <w:t>Objectives and Scope of the Engagement</w:t>
      </w:r>
      <w:bookmarkEnd w:id="17"/>
      <w:bookmarkEnd w:id="18"/>
    </w:p>
    <w:p w:rsidR="00893821" w:rsidRPr="00A4603B" w:rsidRDefault="00893821" w:rsidP="00893821">
      <w:r w:rsidRPr="00A4603B">
        <w:t xml:space="preserve">The ADO engaged KPMG to undertake research services, including inter-jurisdictional scanning, identification of trends and emerging issues and identification of industry leaders and academic experts. The research questions guiding this project are: </w:t>
      </w:r>
    </w:p>
    <w:p w:rsidR="00893821" w:rsidRPr="00A4603B" w:rsidRDefault="00893821" w:rsidP="00BC5BD4">
      <w:pPr>
        <w:numPr>
          <w:ilvl w:val="0"/>
          <w:numId w:val="20"/>
        </w:numPr>
      </w:pPr>
      <w:r w:rsidRPr="00A4603B">
        <w:t xml:space="preserve">How are other jurisdictions or leading organizations working to make public sector transportation and taxi services more accessible to people with disabilities? </w:t>
      </w:r>
    </w:p>
    <w:p w:rsidR="00893821" w:rsidRPr="00A4603B" w:rsidRDefault="00893821" w:rsidP="00BC5BD4">
      <w:pPr>
        <w:numPr>
          <w:ilvl w:val="0"/>
          <w:numId w:val="20"/>
        </w:numPr>
      </w:pPr>
      <w:r w:rsidRPr="00A4603B">
        <w:t xml:space="preserve">How are other jurisdictions or leading organizations working to make healthcare more accessible to people with disabilities? </w:t>
      </w:r>
    </w:p>
    <w:p w:rsidR="00893821" w:rsidRPr="00A4603B" w:rsidRDefault="00893821" w:rsidP="00BC5BD4">
      <w:pPr>
        <w:numPr>
          <w:ilvl w:val="0"/>
          <w:numId w:val="20"/>
        </w:numPr>
      </w:pPr>
      <w:r w:rsidRPr="00A4603B">
        <w:t xml:space="preserve">How are other jurisdictions or leading organizations working to make education more accessible to people with disabilities? </w:t>
      </w:r>
    </w:p>
    <w:p w:rsidR="00893821" w:rsidRPr="00A4603B" w:rsidRDefault="00893821" w:rsidP="00BC5BD4">
      <w:pPr>
        <w:numPr>
          <w:ilvl w:val="0"/>
          <w:numId w:val="20"/>
        </w:numPr>
      </w:pPr>
      <w:r w:rsidRPr="00A4603B">
        <w:t xml:space="preserve">What barriers to accessibility have been identified in the areas of healthcare and education, broadly defined? </w:t>
      </w:r>
    </w:p>
    <w:p w:rsidR="00893821" w:rsidRPr="00A4603B" w:rsidRDefault="00893821" w:rsidP="00893821">
      <w:r w:rsidRPr="00A4603B">
        <w:t>This engagement included the following project deliverables:</w:t>
      </w:r>
    </w:p>
    <w:p w:rsidR="00FC4E7A" w:rsidRPr="00E2580D" w:rsidRDefault="00FC4E7A" w:rsidP="00BC5BD4">
      <w:pPr>
        <w:numPr>
          <w:ilvl w:val="0"/>
          <w:numId w:val="27"/>
        </w:numPr>
      </w:pPr>
      <w:r w:rsidRPr="00E2580D">
        <w:rPr>
          <w:lang w:val="en-US"/>
        </w:rPr>
        <w:t>Jurisdictional Scan</w:t>
      </w:r>
    </w:p>
    <w:p w:rsidR="00FC4E7A" w:rsidRPr="00E2580D" w:rsidRDefault="00FC4E7A" w:rsidP="00BC5BD4">
      <w:pPr>
        <w:numPr>
          <w:ilvl w:val="0"/>
          <w:numId w:val="27"/>
        </w:numPr>
      </w:pPr>
      <w:r w:rsidRPr="00E2580D">
        <w:t>Trends and Emerging Issues</w:t>
      </w:r>
    </w:p>
    <w:p w:rsidR="00FC4E7A" w:rsidRPr="00E2580D" w:rsidRDefault="00FC4E7A" w:rsidP="00BC5BD4">
      <w:pPr>
        <w:numPr>
          <w:ilvl w:val="0"/>
          <w:numId w:val="27"/>
        </w:numPr>
      </w:pPr>
      <w:r w:rsidRPr="00E2580D">
        <w:t>Industry Leaders and Experts</w:t>
      </w:r>
    </w:p>
    <w:p w:rsidR="00FC4E7A" w:rsidRPr="00E2580D" w:rsidRDefault="00FC4E7A" w:rsidP="00BC5BD4">
      <w:pPr>
        <w:numPr>
          <w:ilvl w:val="0"/>
          <w:numId w:val="27"/>
        </w:numPr>
      </w:pPr>
      <w:r w:rsidRPr="00E2580D">
        <w:t>Literature Rev</w:t>
      </w:r>
      <w:r w:rsidR="00E2580D">
        <w:t>iew – Bar</w:t>
      </w:r>
      <w:r w:rsidR="00E2580D" w:rsidRPr="00E2580D">
        <w:t>riers to Accessibility (In scope for the healthcare and education sectors only)</w:t>
      </w:r>
    </w:p>
    <w:p w:rsidR="00FC4E7A" w:rsidRPr="00E2580D" w:rsidRDefault="00FC4E7A" w:rsidP="00BC5BD4">
      <w:pPr>
        <w:numPr>
          <w:ilvl w:val="0"/>
          <w:numId w:val="27"/>
        </w:numPr>
      </w:pPr>
      <w:r w:rsidRPr="00E2580D">
        <w:t xml:space="preserve">Priority  Issues in Transportation </w:t>
      </w:r>
    </w:p>
    <w:p w:rsidR="00893821" w:rsidRPr="00E2580D" w:rsidRDefault="00FC4E7A" w:rsidP="00BC5BD4">
      <w:pPr>
        <w:numPr>
          <w:ilvl w:val="0"/>
          <w:numId w:val="27"/>
        </w:numPr>
      </w:pPr>
      <w:r w:rsidRPr="00E2580D">
        <w:t>Report and Presentation</w:t>
      </w:r>
    </w:p>
    <w:p w:rsidR="00893821" w:rsidRPr="00A4603B" w:rsidRDefault="00893821" w:rsidP="00893821">
      <w:r w:rsidRPr="00A4603B">
        <w:lastRenderedPageBreak/>
        <w:t>In May 2015, KPMG submitted Interim Reports for each sector, which included the first four deliverables listed above. Based on feedback from the ADO, additional research areas for all sectors as well as priority issues in transportation were identified.</w:t>
      </w:r>
    </w:p>
    <w:p w:rsidR="00893821" w:rsidRPr="00A4603B" w:rsidRDefault="00893821" w:rsidP="00893821">
      <w:r w:rsidRPr="00A4603B">
        <w:t>This Final Report includes the following:</w:t>
      </w:r>
    </w:p>
    <w:p w:rsidR="00893821" w:rsidRPr="00A4603B" w:rsidRDefault="00893821" w:rsidP="00BC5BD4">
      <w:pPr>
        <w:pStyle w:val="ListParagraph"/>
        <w:numPr>
          <w:ilvl w:val="0"/>
          <w:numId w:val="28"/>
        </w:numPr>
      </w:pPr>
      <w:r w:rsidRPr="00A4603B">
        <w:t>Summary and analysis of inter-jurisdictional research, including analysis of Ontario’s relative position.</w:t>
      </w:r>
    </w:p>
    <w:p w:rsidR="00893821" w:rsidRPr="00A4603B" w:rsidRDefault="00893821" w:rsidP="00BC5BD4">
      <w:pPr>
        <w:pStyle w:val="ListParagraph"/>
        <w:numPr>
          <w:ilvl w:val="0"/>
          <w:numId w:val="28"/>
        </w:numPr>
      </w:pPr>
      <w:r w:rsidRPr="00A4603B">
        <w:t>Summary and analysis of industry trends and emerging issues.</w:t>
      </w:r>
    </w:p>
    <w:p w:rsidR="00893821" w:rsidRPr="00A4603B" w:rsidRDefault="00893821" w:rsidP="00BC5BD4">
      <w:pPr>
        <w:pStyle w:val="ListParagraph"/>
        <w:numPr>
          <w:ilvl w:val="0"/>
          <w:numId w:val="28"/>
        </w:numPr>
      </w:pPr>
      <w:r w:rsidRPr="00A4603B">
        <w:t>Summary and profile information of industry leaders and experts.</w:t>
      </w:r>
    </w:p>
    <w:p w:rsidR="00893821" w:rsidRPr="00A4603B" w:rsidRDefault="00893821" w:rsidP="00BC5BD4">
      <w:pPr>
        <w:pStyle w:val="ListParagraph"/>
        <w:numPr>
          <w:ilvl w:val="0"/>
          <w:numId w:val="28"/>
        </w:numPr>
      </w:pPr>
      <w:r w:rsidRPr="00A4603B">
        <w:t>Summary of literature review of barriers to accessibility (healthcare and education sectors).</w:t>
      </w:r>
    </w:p>
    <w:p w:rsidR="00893821" w:rsidRPr="00A4603B" w:rsidRDefault="00893821" w:rsidP="00BC5BD4">
      <w:pPr>
        <w:pStyle w:val="ListParagraph"/>
        <w:numPr>
          <w:ilvl w:val="0"/>
          <w:numId w:val="28"/>
        </w:numPr>
      </w:pPr>
      <w:r w:rsidRPr="00A4603B">
        <w:t>Detailed analysis of priority issues (transportation sector).</w:t>
      </w:r>
    </w:p>
    <w:p w:rsidR="00893821" w:rsidRPr="00A4603B" w:rsidRDefault="00893821" w:rsidP="00893821">
      <w:r w:rsidRPr="00A4603B">
        <w:t xml:space="preserve">The following is a list of the jurisdictions examined during this engagement. </w:t>
      </w:r>
    </w:p>
    <w:p w:rsidR="00893821" w:rsidRDefault="00446735" w:rsidP="00446735">
      <w:pPr>
        <w:pStyle w:val="Heading3"/>
        <w:rPr>
          <w:lang w:val="en-US"/>
        </w:rPr>
      </w:pPr>
      <w:r>
        <w:rPr>
          <w:lang w:val="en-US"/>
        </w:rPr>
        <w:t>Transportation:</w:t>
      </w:r>
    </w:p>
    <w:p w:rsidR="00446735" w:rsidRPr="00446735" w:rsidRDefault="00446735" w:rsidP="00BC5BD4">
      <w:pPr>
        <w:pStyle w:val="ListParagraph"/>
        <w:numPr>
          <w:ilvl w:val="0"/>
          <w:numId w:val="29"/>
        </w:numPr>
      </w:pPr>
      <w:r w:rsidRPr="00446735">
        <w:rPr>
          <w:rFonts w:hint="eastAsia"/>
        </w:rPr>
        <w:t>Canada (Federal)</w:t>
      </w:r>
    </w:p>
    <w:p w:rsidR="00446735" w:rsidRPr="00446735" w:rsidRDefault="00446735" w:rsidP="00BC5BD4">
      <w:pPr>
        <w:pStyle w:val="ListParagraph"/>
        <w:numPr>
          <w:ilvl w:val="1"/>
          <w:numId w:val="29"/>
        </w:numPr>
      </w:pPr>
      <w:r w:rsidRPr="00446735">
        <w:t>British Columbia</w:t>
      </w:r>
    </w:p>
    <w:p w:rsidR="00446735" w:rsidRPr="00446735" w:rsidRDefault="00446735" w:rsidP="00BC5BD4">
      <w:pPr>
        <w:pStyle w:val="ListParagraph"/>
        <w:numPr>
          <w:ilvl w:val="1"/>
          <w:numId w:val="29"/>
        </w:numPr>
      </w:pPr>
      <w:r w:rsidRPr="00446735">
        <w:t>Alberta</w:t>
      </w:r>
    </w:p>
    <w:p w:rsidR="00446735" w:rsidRPr="00446735" w:rsidRDefault="00446735" w:rsidP="00BC5BD4">
      <w:pPr>
        <w:pStyle w:val="ListParagraph"/>
        <w:numPr>
          <w:ilvl w:val="1"/>
          <w:numId w:val="29"/>
        </w:numPr>
      </w:pPr>
      <w:r w:rsidRPr="00446735">
        <w:t>Saskatchewan</w:t>
      </w:r>
    </w:p>
    <w:p w:rsidR="00446735" w:rsidRPr="00446735" w:rsidRDefault="00446735" w:rsidP="00BC5BD4">
      <w:pPr>
        <w:pStyle w:val="ListParagraph"/>
        <w:numPr>
          <w:ilvl w:val="1"/>
          <w:numId w:val="29"/>
        </w:numPr>
      </w:pPr>
      <w:r w:rsidRPr="00446735">
        <w:t>Manitoba</w:t>
      </w:r>
    </w:p>
    <w:p w:rsidR="00446735" w:rsidRPr="00446735" w:rsidRDefault="00446735" w:rsidP="00BC5BD4">
      <w:pPr>
        <w:pStyle w:val="ListParagraph"/>
        <w:numPr>
          <w:ilvl w:val="1"/>
          <w:numId w:val="29"/>
        </w:numPr>
      </w:pPr>
      <w:r w:rsidRPr="00446735">
        <w:t>Quebec</w:t>
      </w:r>
    </w:p>
    <w:p w:rsidR="00446735" w:rsidRPr="00446735" w:rsidRDefault="00446735" w:rsidP="00BC5BD4">
      <w:pPr>
        <w:pStyle w:val="ListParagraph"/>
        <w:numPr>
          <w:ilvl w:val="1"/>
          <w:numId w:val="29"/>
        </w:numPr>
      </w:pPr>
      <w:r w:rsidRPr="00446735">
        <w:t>New Brunswick</w:t>
      </w:r>
    </w:p>
    <w:p w:rsidR="00446735" w:rsidRPr="00446735" w:rsidRDefault="00446735" w:rsidP="00BC5BD4">
      <w:pPr>
        <w:pStyle w:val="ListParagraph"/>
        <w:numPr>
          <w:ilvl w:val="1"/>
          <w:numId w:val="29"/>
        </w:numPr>
      </w:pPr>
      <w:r w:rsidRPr="00446735">
        <w:t>Nova Scotia</w:t>
      </w:r>
    </w:p>
    <w:p w:rsidR="00446735" w:rsidRPr="00446735" w:rsidRDefault="00446735" w:rsidP="00BC5BD4">
      <w:pPr>
        <w:pStyle w:val="ListParagraph"/>
        <w:numPr>
          <w:ilvl w:val="1"/>
          <w:numId w:val="29"/>
        </w:numPr>
      </w:pPr>
      <w:r w:rsidRPr="00446735">
        <w:t>Newfoundland</w:t>
      </w:r>
    </w:p>
    <w:p w:rsidR="00446735" w:rsidRPr="00446735" w:rsidRDefault="00446735" w:rsidP="00BC5BD4">
      <w:pPr>
        <w:pStyle w:val="ListParagraph"/>
        <w:numPr>
          <w:ilvl w:val="1"/>
          <w:numId w:val="29"/>
        </w:numPr>
      </w:pPr>
      <w:r w:rsidRPr="00446735">
        <w:t>P.E.I</w:t>
      </w:r>
    </w:p>
    <w:p w:rsidR="00446735" w:rsidRPr="00446735" w:rsidRDefault="00446735" w:rsidP="00BC5BD4">
      <w:pPr>
        <w:pStyle w:val="ListParagraph"/>
        <w:numPr>
          <w:ilvl w:val="1"/>
          <w:numId w:val="29"/>
        </w:numPr>
      </w:pPr>
      <w:r w:rsidRPr="00446735">
        <w:t>Yukon</w:t>
      </w:r>
    </w:p>
    <w:p w:rsidR="00446735" w:rsidRPr="00446735" w:rsidRDefault="00446735" w:rsidP="00BC5BD4">
      <w:pPr>
        <w:pStyle w:val="ListParagraph"/>
        <w:numPr>
          <w:ilvl w:val="1"/>
          <w:numId w:val="29"/>
        </w:numPr>
      </w:pPr>
      <w:r w:rsidRPr="00446735">
        <w:t>Northwest Territory</w:t>
      </w:r>
    </w:p>
    <w:p w:rsidR="00446735" w:rsidRPr="00446735" w:rsidRDefault="00446735" w:rsidP="00BC5BD4">
      <w:pPr>
        <w:pStyle w:val="ListParagraph"/>
        <w:numPr>
          <w:ilvl w:val="1"/>
          <w:numId w:val="29"/>
        </w:numPr>
      </w:pPr>
      <w:r w:rsidRPr="00446735">
        <w:t>Nunavut</w:t>
      </w:r>
    </w:p>
    <w:p w:rsidR="00446735" w:rsidRPr="00446735" w:rsidRDefault="00446735" w:rsidP="00BC5BD4">
      <w:pPr>
        <w:pStyle w:val="ListParagraph"/>
        <w:numPr>
          <w:ilvl w:val="0"/>
          <w:numId w:val="29"/>
        </w:numPr>
      </w:pPr>
      <w:r w:rsidRPr="00446735">
        <w:rPr>
          <w:rFonts w:hint="eastAsia"/>
        </w:rPr>
        <w:t>United States (Federal)</w:t>
      </w:r>
    </w:p>
    <w:p w:rsidR="00446735" w:rsidRPr="00446735" w:rsidRDefault="00446735" w:rsidP="00BC5BD4">
      <w:pPr>
        <w:pStyle w:val="ListParagraph"/>
        <w:numPr>
          <w:ilvl w:val="1"/>
          <w:numId w:val="29"/>
        </w:numPr>
      </w:pPr>
      <w:r w:rsidRPr="00446735">
        <w:t>California</w:t>
      </w:r>
    </w:p>
    <w:p w:rsidR="00446735" w:rsidRPr="00446735" w:rsidRDefault="00446735" w:rsidP="00BC5BD4">
      <w:pPr>
        <w:pStyle w:val="ListParagraph"/>
        <w:numPr>
          <w:ilvl w:val="1"/>
          <w:numId w:val="29"/>
        </w:numPr>
      </w:pPr>
      <w:r w:rsidRPr="00446735">
        <w:t>New York</w:t>
      </w:r>
    </w:p>
    <w:p w:rsidR="00446735" w:rsidRPr="00446735" w:rsidRDefault="00446735" w:rsidP="00BC5BD4">
      <w:pPr>
        <w:pStyle w:val="ListParagraph"/>
        <w:numPr>
          <w:ilvl w:val="0"/>
          <w:numId w:val="29"/>
        </w:numPr>
      </w:pPr>
      <w:r w:rsidRPr="00446735">
        <w:rPr>
          <w:rFonts w:hint="eastAsia"/>
        </w:rPr>
        <w:t>Australia</w:t>
      </w:r>
    </w:p>
    <w:p w:rsidR="00446735" w:rsidRPr="00446735" w:rsidRDefault="00446735" w:rsidP="00BC5BD4">
      <w:pPr>
        <w:pStyle w:val="ListParagraph"/>
        <w:numPr>
          <w:ilvl w:val="0"/>
          <w:numId w:val="29"/>
        </w:numPr>
      </w:pPr>
      <w:r w:rsidRPr="00446735">
        <w:rPr>
          <w:rFonts w:hint="eastAsia"/>
        </w:rPr>
        <w:t>United Kingdom</w:t>
      </w:r>
    </w:p>
    <w:p w:rsidR="00446735" w:rsidRPr="00446735" w:rsidRDefault="00446735" w:rsidP="00BC5BD4">
      <w:pPr>
        <w:pStyle w:val="ListParagraph"/>
        <w:numPr>
          <w:ilvl w:val="0"/>
          <w:numId w:val="29"/>
        </w:numPr>
      </w:pPr>
      <w:r w:rsidRPr="00446735">
        <w:rPr>
          <w:rFonts w:hint="eastAsia"/>
        </w:rPr>
        <w:t>Israel</w:t>
      </w:r>
    </w:p>
    <w:p w:rsidR="00446735" w:rsidRPr="00446735" w:rsidRDefault="00446735" w:rsidP="00BC5BD4">
      <w:pPr>
        <w:pStyle w:val="ListParagraph"/>
        <w:numPr>
          <w:ilvl w:val="0"/>
          <w:numId w:val="29"/>
        </w:numPr>
      </w:pPr>
      <w:r w:rsidRPr="00446735">
        <w:rPr>
          <w:rFonts w:hint="eastAsia"/>
        </w:rPr>
        <w:t xml:space="preserve">European Union </w:t>
      </w:r>
    </w:p>
    <w:p w:rsidR="00446735" w:rsidRPr="00446735" w:rsidRDefault="00446735" w:rsidP="00BC5BD4">
      <w:pPr>
        <w:pStyle w:val="ListParagraph"/>
        <w:numPr>
          <w:ilvl w:val="0"/>
          <w:numId w:val="29"/>
        </w:numPr>
      </w:pPr>
      <w:r w:rsidRPr="00446735">
        <w:rPr>
          <w:rFonts w:hint="eastAsia"/>
        </w:rPr>
        <w:t>Egypt</w:t>
      </w:r>
    </w:p>
    <w:p w:rsidR="00446735" w:rsidRDefault="00446735" w:rsidP="00BC5BD4">
      <w:pPr>
        <w:pStyle w:val="ListParagraph"/>
        <w:numPr>
          <w:ilvl w:val="0"/>
          <w:numId w:val="29"/>
        </w:numPr>
      </w:pPr>
      <w:r w:rsidRPr="00446735">
        <w:rPr>
          <w:rFonts w:hint="eastAsia"/>
        </w:rPr>
        <w:t>Singapore</w:t>
      </w:r>
    </w:p>
    <w:p w:rsidR="00446735" w:rsidRDefault="00446735" w:rsidP="00446735">
      <w:pPr>
        <w:pStyle w:val="Heading3"/>
      </w:pPr>
      <w:r>
        <w:lastRenderedPageBreak/>
        <w:t>Healthcare</w:t>
      </w:r>
    </w:p>
    <w:p w:rsidR="00446735" w:rsidRDefault="00446735" w:rsidP="00BC5BD4">
      <w:pPr>
        <w:pStyle w:val="ListParagraph"/>
        <w:numPr>
          <w:ilvl w:val="0"/>
          <w:numId w:val="30"/>
        </w:numPr>
      </w:pPr>
      <w:r>
        <w:t>Canada (Federal)</w:t>
      </w:r>
    </w:p>
    <w:p w:rsidR="00446735" w:rsidRDefault="00446735" w:rsidP="00BC5BD4">
      <w:pPr>
        <w:pStyle w:val="ListParagraph"/>
        <w:numPr>
          <w:ilvl w:val="1"/>
          <w:numId w:val="30"/>
        </w:numPr>
      </w:pPr>
      <w:r>
        <w:t>British Columbia</w:t>
      </w:r>
    </w:p>
    <w:p w:rsidR="00446735" w:rsidRDefault="00446735" w:rsidP="00BC5BD4">
      <w:pPr>
        <w:pStyle w:val="ListParagraph"/>
        <w:numPr>
          <w:ilvl w:val="1"/>
          <w:numId w:val="30"/>
        </w:numPr>
      </w:pPr>
      <w:r>
        <w:t>Alberta</w:t>
      </w:r>
    </w:p>
    <w:p w:rsidR="00446735" w:rsidRDefault="00446735" w:rsidP="00BC5BD4">
      <w:pPr>
        <w:pStyle w:val="ListParagraph"/>
        <w:numPr>
          <w:ilvl w:val="1"/>
          <w:numId w:val="30"/>
        </w:numPr>
      </w:pPr>
      <w:r>
        <w:t>Saskatchewan</w:t>
      </w:r>
    </w:p>
    <w:p w:rsidR="00446735" w:rsidRDefault="00446735" w:rsidP="00BC5BD4">
      <w:pPr>
        <w:pStyle w:val="ListParagraph"/>
        <w:numPr>
          <w:ilvl w:val="1"/>
          <w:numId w:val="30"/>
        </w:numPr>
      </w:pPr>
      <w:r>
        <w:t>Manitoba</w:t>
      </w:r>
    </w:p>
    <w:p w:rsidR="00446735" w:rsidRDefault="00446735" w:rsidP="00BC5BD4">
      <w:pPr>
        <w:pStyle w:val="ListParagraph"/>
        <w:numPr>
          <w:ilvl w:val="1"/>
          <w:numId w:val="30"/>
        </w:numPr>
      </w:pPr>
      <w:r>
        <w:t>Quebec</w:t>
      </w:r>
    </w:p>
    <w:p w:rsidR="00446735" w:rsidRDefault="00446735" w:rsidP="00BC5BD4">
      <w:pPr>
        <w:pStyle w:val="ListParagraph"/>
        <w:numPr>
          <w:ilvl w:val="1"/>
          <w:numId w:val="30"/>
        </w:numPr>
      </w:pPr>
      <w:r>
        <w:t>New Brunswick</w:t>
      </w:r>
    </w:p>
    <w:p w:rsidR="00446735" w:rsidRDefault="00446735" w:rsidP="00BC5BD4">
      <w:pPr>
        <w:pStyle w:val="ListParagraph"/>
        <w:numPr>
          <w:ilvl w:val="1"/>
          <w:numId w:val="30"/>
        </w:numPr>
      </w:pPr>
      <w:r>
        <w:t>Nova Scotia</w:t>
      </w:r>
    </w:p>
    <w:p w:rsidR="00446735" w:rsidRDefault="00446735" w:rsidP="00BC5BD4">
      <w:pPr>
        <w:pStyle w:val="ListParagraph"/>
        <w:numPr>
          <w:ilvl w:val="1"/>
          <w:numId w:val="30"/>
        </w:numPr>
      </w:pPr>
      <w:r>
        <w:t>Newfoundland</w:t>
      </w:r>
    </w:p>
    <w:p w:rsidR="00446735" w:rsidRDefault="00446735" w:rsidP="00BC5BD4">
      <w:pPr>
        <w:pStyle w:val="ListParagraph"/>
        <w:numPr>
          <w:ilvl w:val="1"/>
          <w:numId w:val="30"/>
        </w:numPr>
      </w:pPr>
      <w:r>
        <w:t>P.E.I</w:t>
      </w:r>
    </w:p>
    <w:p w:rsidR="00446735" w:rsidRDefault="00446735" w:rsidP="00BC5BD4">
      <w:pPr>
        <w:pStyle w:val="ListParagraph"/>
        <w:numPr>
          <w:ilvl w:val="1"/>
          <w:numId w:val="30"/>
        </w:numPr>
      </w:pPr>
      <w:r>
        <w:t>Yukon</w:t>
      </w:r>
    </w:p>
    <w:p w:rsidR="00446735" w:rsidRDefault="00446735" w:rsidP="00BC5BD4">
      <w:pPr>
        <w:pStyle w:val="ListParagraph"/>
        <w:numPr>
          <w:ilvl w:val="1"/>
          <w:numId w:val="30"/>
        </w:numPr>
      </w:pPr>
      <w:r>
        <w:t>Northwest Territory</w:t>
      </w:r>
    </w:p>
    <w:p w:rsidR="00446735" w:rsidRDefault="00446735" w:rsidP="00BC5BD4">
      <w:pPr>
        <w:pStyle w:val="ListParagraph"/>
        <w:numPr>
          <w:ilvl w:val="1"/>
          <w:numId w:val="30"/>
        </w:numPr>
      </w:pPr>
      <w:r>
        <w:t>Nunavut</w:t>
      </w:r>
    </w:p>
    <w:p w:rsidR="00446735" w:rsidRDefault="00446735" w:rsidP="00BC5BD4">
      <w:pPr>
        <w:pStyle w:val="ListParagraph"/>
        <w:numPr>
          <w:ilvl w:val="0"/>
          <w:numId w:val="30"/>
        </w:numPr>
      </w:pPr>
      <w:r>
        <w:t>United States (Federal)</w:t>
      </w:r>
    </w:p>
    <w:p w:rsidR="00446735" w:rsidRDefault="00446735" w:rsidP="00BC5BD4">
      <w:pPr>
        <w:pStyle w:val="ListParagraph"/>
        <w:numPr>
          <w:ilvl w:val="1"/>
          <w:numId w:val="30"/>
        </w:numPr>
      </w:pPr>
      <w:r>
        <w:t>California</w:t>
      </w:r>
    </w:p>
    <w:p w:rsidR="00446735" w:rsidRDefault="00446735" w:rsidP="00BC5BD4">
      <w:pPr>
        <w:pStyle w:val="ListParagraph"/>
        <w:numPr>
          <w:ilvl w:val="1"/>
          <w:numId w:val="30"/>
        </w:numPr>
      </w:pPr>
      <w:r>
        <w:t>New York</w:t>
      </w:r>
    </w:p>
    <w:p w:rsidR="00446735" w:rsidRDefault="00446735" w:rsidP="00BC5BD4">
      <w:pPr>
        <w:pStyle w:val="ListParagraph"/>
        <w:numPr>
          <w:ilvl w:val="0"/>
          <w:numId w:val="30"/>
        </w:numPr>
      </w:pPr>
      <w:r>
        <w:t>United Kingdom, Ireland, Wales</w:t>
      </w:r>
    </w:p>
    <w:p w:rsidR="00446735" w:rsidRDefault="00446735" w:rsidP="00BC5BD4">
      <w:pPr>
        <w:pStyle w:val="ListParagraph"/>
        <w:numPr>
          <w:ilvl w:val="0"/>
          <w:numId w:val="30"/>
        </w:numPr>
      </w:pPr>
      <w:r>
        <w:t>Australia</w:t>
      </w:r>
    </w:p>
    <w:p w:rsidR="00446735" w:rsidRDefault="00446735" w:rsidP="00BC5BD4">
      <w:pPr>
        <w:pStyle w:val="ListParagraph"/>
        <w:numPr>
          <w:ilvl w:val="0"/>
          <w:numId w:val="30"/>
        </w:numPr>
      </w:pPr>
      <w:r>
        <w:t>Singapore</w:t>
      </w:r>
    </w:p>
    <w:p w:rsidR="00446735" w:rsidRDefault="00446735" w:rsidP="00BC5BD4">
      <w:pPr>
        <w:pStyle w:val="ListParagraph"/>
        <w:numPr>
          <w:ilvl w:val="0"/>
          <w:numId w:val="30"/>
        </w:numPr>
      </w:pPr>
      <w:r>
        <w:t xml:space="preserve">New Zealand </w:t>
      </w:r>
    </w:p>
    <w:p w:rsidR="00446735" w:rsidRDefault="00446735" w:rsidP="00BC5BD4">
      <w:pPr>
        <w:pStyle w:val="ListParagraph"/>
        <w:numPr>
          <w:ilvl w:val="0"/>
          <w:numId w:val="30"/>
        </w:numPr>
      </w:pPr>
      <w:r>
        <w:t>Egypt</w:t>
      </w:r>
    </w:p>
    <w:p w:rsidR="00446735" w:rsidRPr="00446735" w:rsidRDefault="00446735" w:rsidP="00BC5BD4">
      <w:pPr>
        <w:pStyle w:val="ListParagraph"/>
        <w:numPr>
          <w:ilvl w:val="0"/>
          <w:numId w:val="30"/>
        </w:numPr>
      </w:pPr>
      <w:r>
        <w:t>Israel</w:t>
      </w:r>
    </w:p>
    <w:p w:rsidR="00446735" w:rsidRDefault="00446735" w:rsidP="00446735">
      <w:pPr>
        <w:pStyle w:val="Heading3"/>
        <w:rPr>
          <w:lang w:val="en-US"/>
        </w:rPr>
      </w:pPr>
      <w:bookmarkStart w:id="19" w:name="_Toc424669244"/>
      <w:r>
        <w:rPr>
          <w:lang w:val="en-US"/>
        </w:rPr>
        <w:t>Education</w:t>
      </w:r>
    </w:p>
    <w:p w:rsidR="00446735" w:rsidRPr="00446735" w:rsidRDefault="00446735" w:rsidP="00BC5BD4">
      <w:pPr>
        <w:pStyle w:val="ListParagraph"/>
        <w:numPr>
          <w:ilvl w:val="0"/>
          <w:numId w:val="31"/>
        </w:numPr>
        <w:rPr>
          <w:lang w:val="en-US"/>
        </w:rPr>
      </w:pPr>
      <w:r w:rsidRPr="00446735">
        <w:rPr>
          <w:lang w:val="en-US"/>
        </w:rPr>
        <w:t>Canada (Federal)</w:t>
      </w:r>
    </w:p>
    <w:p w:rsidR="00446735" w:rsidRPr="00446735" w:rsidRDefault="00446735" w:rsidP="00BC5BD4">
      <w:pPr>
        <w:pStyle w:val="ListParagraph"/>
        <w:numPr>
          <w:ilvl w:val="1"/>
          <w:numId w:val="31"/>
        </w:numPr>
        <w:rPr>
          <w:lang w:val="en-US"/>
        </w:rPr>
      </w:pPr>
      <w:r w:rsidRPr="00446735">
        <w:rPr>
          <w:lang w:val="en-US"/>
        </w:rPr>
        <w:t>British Columbia</w:t>
      </w:r>
    </w:p>
    <w:p w:rsidR="00446735" w:rsidRPr="00446735" w:rsidRDefault="00446735" w:rsidP="00BC5BD4">
      <w:pPr>
        <w:pStyle w:val="ListParagraph"/>
        <w:numPr>
          <w:ilvl w:val="1"/>
          <w:numId w:val="31"/>
        </w:numPr>
        <w:rPr>
          <w:lang w:val="en-US"/>
        </w:rPr>
      </w:pPr>
      <w:r w:rsidRPr="00446735">
        <w:rPr>
          <w:lang w:val="en-US"/>
        </w:rPr>
        <w:t>Alberta</w:t>
      </w:r>
    </w:p>
    <w:p w:rsidR="00446735" w:rsidRPr="00446735" w:rsidRDefault="00446735" w:rsidP="00BC5BD4">
      <w:pPr>
        <w:pStyle w:val="ListParagraph"/>
        <w:numPr>
          <w:ilvl w:val="1"/>
          <w:numId w:val="31"/>
        </w:numPr>
        <w:rPr>
          <w:lang w:val="en-US"/>
        </w:rPr>
      </w:pPr>
      <w:r w:rsidRPr="00446735">
        <w:rPr>
          <w:lang w:val="en-US"/>
        </w:rPr>
        <w:t>Saskatchewan</w:t>
      </w:r>
    </w:p>
    <w:p w:rsidR="00446735" w:rsidRPr="00446735" w:rsidRDefault="00446735" w:rsidP="00BC5BD4">
      <w:pPr>
        <w:pStyle w:val="ListParagraph"/>
        <w:numPr>
          <w:ilvl w:val="1"/>
          <w:numId w:val="31"/>
        </w:numPr>
        <w:rPr>
          <w:lang w:val="en-US"/>
        </w:rPr>
      </w:pPr>
      <w:r w:rsidRPr="00446735">
        <w:rPr>
          <w:lang w:val="en-US"/>
        </w:rPr>
        <w:t>Manitoba</w:t>
      </w:r>
    </w:p>
    <w:p w:rsidR="00446735" w:rsidRPr="00446735" w:rsidRDefault="00446735" w:rsidP="00BC5BD4">
      <w:pPr>
        <w:pStyle w:val="ListParagraph"/>
        <w:numPr>
          <w:ilvl w:val="1"/>
          <w:numId w:val="31"/>
        </w:numPr>
        <w:rPr>
          <w:lang w:val="en-US"/>
        </w:rPr>
      </w:pPr>
      <w:r w:rsidRPr="00446735">
        <w:rPr>
          <w:lang w:val="en-US"/>
        </w:rPr>
        <w:t>Quebec</w:t>
      </w:r>
    </w:p>
    <w:p w:rsidR="00446735" w:rsidRPr="00446735" w:rsidRDefault="00446735" w:rsidP="00BC5BD4">
      <w:pPr>
        <w:pStyle w:val="ListParagraph"/>
        <w:numPr>
          <w:ilvl w:val="1"/>
          <w:numId w:val="31"/>
        </w:numPr>
        <w:rPr>
          <w:lang w:val="en-US"/>
        </w:rPr>
      </w:pPr>
      <w:r w:rsidRPr="00446735">
        <w:rPr>
          <w:lang w:val="en-US"/>
        </w:rPr>
        <w:t>New Brunswick</w:t>
      </w:r>
    </w:p>
    <w:p w:rsidR="00446735" w:rsidRPr="00446735" w:rsidRDefault="00446735" w:rsidP="00BC5BD4">
      <w:pPr>
        <w:pStyle w:val="ListParagraph"/>
        <w:numPr>
          <w:ilvl w:val="1"/>
          <w:numId w:val="31"/>
        </w:numPr>
        <w:rPr>
          <w:lang w:val="en-US"/>
        </w:rPr>
      </w:pPr>
      <w:r w:rsidRPr="00446735">
        <w:rPr>
          <w:lang w:val="en-US"/>
        </w:rPr>
        <w:t>Nova Scotia</w:t>
      </w:r>
    </w:p>
    <w:p w:rsidR="00446735" w:rsidRPr="00446735" w:rsidRDefault="00446735" w:rsidP="00BC5BD4">
      <w:pPr>
        <w:pStyle w:val="ListParagraph"/>
        <w:numPr>
          <w:ilvl w:val="1"/>
          <w:numId w:val="31"/>
        </w:numPr>
        <w:rPr>
          <w:lang w:val="en-US"/>
        </w:rPr>
      </w:pPr>
      <w:r w:rsidRPr="00446735">
        <w:rPr>
          <w:lang w:val="en-US"/>
        </w:rPr>
        <w:t>Newfoundland</w:t>
      </w:r>
    </w:p>
    <w:p w:rsidR="00446735" w:rsidRPr="00446735" w:rsidRDefault="00446735" w:rsidP="00BC5BD4">
      <w:pPr>
        <w:pStyle w:val="ListParagraph"/>
        <w:numPr>
          <w:ilvl w:val="1"/>
          <w:numId w:val="31"/>
        </w:numPr>
        <w:rPr>
          <w:lang w:val="en-US"/>
        </w:rPr>
      </w:pPr>
      <w:r w:rsidRPr="00446735">
        <w:rPr>
          <w:lang w:val="en-US"/>
        </w:rPr>
        <w:t>P.E.I</w:t>
      </w:r>
    </w:p>
    <w:p w:rsidR="00446735" w:rsidRPr="00446735" w:rsidRDefault="00446735" w:rsidP="00BC5BD4">
      <w:pPr>
        <w:pStyle w:val="ListParagraph"/>
        <w:numPr>
          <w:ilvl w:val="1"/>
          <w:numId w:val="31"/>
        </w:numPr>
        <w:rPr>
          <w:lang w:val="en-US"/>
        </w:rPr>
      </w:pPr>
      <w:r w:rsidRPr="00446735">
        <w:rPr>
          <w:lang w:val="en-US"/>
        </w:rPr>
        <w:t>Yukon</w:t>
      </w:r>
    </w:p>
    <w:p w:rsidR="00446735" w:rsidRPr="00446735" w:rsidRDefault="00446735" w:rsidP="00BC5BD4">
      <w:pPr>
        <w:pStyle w:val="ListParagraph"/>
        <w:numPr>
          <w:ilvl w:val="1"/>
          <w:numId w:val="31"/>
        </w:numPr>
        <w:rPr>
          <w:lang w:val="en-US"/>
        </w:rPr>
      </w:pPr>
      <w:r w:rsidRPr="00446735">
        <w:rPr>
          <w:lang w:val="en-US"/>
        </w:rPr>
        <w:t>Northwest Territory</w:t>
      </w:r>
    </w:p>
    <w:p w:rsidR="00446735" w:rsidRPr="00446735" w:rsidRDefault="00446735" w:rsidP="00BC5BD4">
      <w:pPr>
        <w:pStyle w:val="ListParagraph"/>
        <w:numPr>
          <w:ilvl w:val="1"/>
          <w:numId w:val="31"/>
        </w:numPr>
        <w:rPr>
          <w:lang w:val="en-US"/>
        </w:rPr>
      </w:pPr>
      <w:r w:rsidRPr="00446735">
        <w:rPr>
          <w:lang w:val="en-US"/>
        </w:rPr>
        <w:t>Nunavut</w:t>
      </w:r>
    </w:p>
    <w:p w:rsidR="00446735" w:rsidRPr="00446735" w:rsidRDefault="00446735" w:rsidP="00BC5BD4">
      <w:pPr>
        <w:pStyle w:val="ListParagraph"/>
        <w:numPr>
          <w:ilvl w:val="0"/>
          <w:numId w:val="31"/>
        </w:numPr>
        <w:rPr>
          <w:lang w:val="en-US"/>
        </w:rPr>
      </w:pPr>
      <w:r w:rsidRPr="00446735">
        <w:rPr>
          <w:lang w:val="en-US"/>
        </w:rPr>
        <w:lastRenderedPageBreak/>
        <w:t>United States (Federal)</w:t>
      </w:r>
    </w:p>
    <w:p w:rsidR="00446735" w:rsidRPr="00446735" w:rsidRDefault="00446735" w:rsidP="00BC5BD4">
      <w:pPr>
        <w:pStyle w:val="ListParagraph"/>
        <w:numPr>
          <w:ilvl w:val="1"/>
          <w:numId w:val="31"/>
        </w:numPr>
        <w:rPr>
          <w:lang w:val="en-US"/>
        </w:rPr>
      </w:pPr>
      <w:r w:rsidRPr="00446735">
        <w:rPr>
          <w:lang w:val="en-US"/>
        </w:rPr>
        <w:t xml:space="preserve">Arizona </w:t>
      </w:r>
    </w:p>
    <w:p w:rsidR="00446735" w:rsidRPr="00446735" w:rsidRDefault="00446735" w:rsidP="00BC5BD4">
      <w:pPr>
        <w:pStyle w:val="ListParagraph"/>
        <w:numPr>
          <w:ilvl w:val="1"/>
          <w:numId w:val="31"/>
        </w:numPr>
        <w:rPr>
          <w:lang w:val="en-US"/>
        </w:rPr>
      </w:pPr>
      <w:r w:rsidRPr="00446735">
        <w:rPr>
          <w:lang w:val="en-US"/>
        </w:rPr>
        <w:t>California</w:t>
      </w:r>
    </w:p>
    <w:p w:rsidR="00446735" w:rsidRPr="00446735" w:rsidRDefault="00446735" w:rsidP="00BC5BD4">
      <w:pPr>
        <w:pStyle w:val="ListParagraph"/>
        <w:numPr>
          <w:ilvl w:val="1"/>
          <w:numId w:val="31"/>
        </w:numPr>
        <w:rPr>
          <w:lang w:val="en-US"/>
        </w:rPr>
      </w:pPr>
      <w:r w:rsidRPr="00446735">
        <w:rPr>
          <w:lang w:val="en-US"/>
        </w:rPr>
        <w:t>New York</w:t>
      </w:r>
    </w:p>
    <w:p w:rsidR="00446735" w:rsidRPr="00446735" w:rsidRDefault="00446735" w:rsidP="00BC5BD4">
      <w:pPr>
        <w:pStyle w:val="ListParagraph"/>
        <w:numPr>
          <w:ilvl w:val="0"/>
          <w:numId w:val="31"/>
        </w:numPr>
        <w:rPr>
          <w:lang w:val="en-US"/>
        </w:rPr>
      </w:pPr>
      <w:r w:rsidRPr="00446735">
        <w:rPr>
          <w:lang w:val="en-US"/>
        </w:rPr>
        <w:t>Australia</w:t>
      </w:r>
    </w:p>
    <w:p w:rsidR="00446735" w:rsidRPr="00446735" w:rsidRDefault="00446735" w:rsidP="00BC5BD4">
      <w:pPr>
        <w:pStyle w:val="ListParagraph"/>
        <w:numPr>
          <w:ilvl w:val="0"/>
          <w:numId w:val="31"/>
        </w:numPr>
        <w:rPr>
          <w:lang w:val="en-US"/>
        </w:rPr>
      </w:pPr>
      <w:r w:rsidRPr="00446735">
        <w:rPr>
          <w:lang w:val="en-US"/>
        </w:rPr>
        <w:t>Germany</w:t>
      </w:r>
    </w:p>
    <w:p w:rsidR="00446735" w:rsidRPr="00446735" w:rsidRDefault="00446735" w:rsidP="00BC5BD4">
      <w:pPr>
        <w:pStyle w:val="ListParagraph"/>
        <w:numPr>
          <w:ilvl w:val="0"/>
          <w:numId w:val="31"/>
        </w:numPr>
        <w:rPr>
          <w:lang w:val="en-US"/>
        </w:rPr>
      </w:pPr>
      <w:r w:rsidRPr="00446735">
        <w:rPr>
          <w:lang w:val="en-US"/>
        </w:rPr>
        <w:t xml:space="preserve">New Zealand </w:t>
      </w:r>
    </w:p>
    <w:p w:rsidR="00446735" w:rsidRPr="00446735" w:rsidRDefault="00446735" w:rsidP="00BC5BD4">
      <w:pPr>
        <w:pStyle w:val="ListParagraph"/>
        <w:numPr>
          <w:ilvl w:val="0"/>
          <w:numId w:val="31"/>
        </w:numPr>
        <w:rPr>
          <w:lang w:val="en-US"/>
        </w:rPr>
      </w:pPr>
      <w:r w:rsidRPr="00446735">
        <w:rPr>
          <w:lang w:val="en-US"/>
        </w:rPr>
        <w:t xml:space="preserve">Spain </w:t>
      </w:r>
    </w:p>
    <w:p w:rsidR="00446735" w:rsidRDefault="00446735" w:rsidP="00BC5BD4">
      <w:pPr>
        <w:pStyle w:val="ListParagraph"/>
        <w:numPr>
          <w:ilvl w:val="0"/>
          <w:numId w:val="31"/>
        </w:numPr>
        <w:rPr>
          <w:lang w:val="en-US"/>
        </w:rPr>
      </w:pPr>
      <w:r w:rsidRPr="00446735">
        <w:rPr>
          <w:lang w:val="en-US"/>
        </w:rPr>
        <w:t>Sweden</w:t>
      </w:r>
    </w:p>
    <w:p w:rsidR="00446735" w:rsidRPr="00446735" w:rsidRDefault="00446735" w:rsidP="00446735">
      <w:pPr>
        <w:pStyle w:val="ListParagraph"/>
        <w:rPr>
          <w:lang w:val="en-US"/>
        </w:rPr>
      </w:pPr>
    </w:p>
    <w:p w:rsidR="00893821" w:rsidRPr="00A4603B" w:rsidRDefault="00446735" w:rsidP="00446735">
      <w:pPr>
        <w:pStyle w:val="Heading2"/>
        <w:rPr>
          <w:lang w:val="en-US"/>
        </w:rPr>
      </w:pPr>
      <w:bookmarkStart w:id="20" w:name="_Toc457553255"/>
      <w:r>
        <w:rPr>
          <w:lang w:val="en-US"/>
        </w:rPr>
        <w:t xml:space="preserve">2.4 </w:t>
      </w:r>
      <w:r w:rsidR="00893821" w:rsidRPr="00A4603B">
        <w:rPr>
          <w:lang w:val="en-US"/>
        </w:rPr>
        <w:t>Methodology</w:t>
      </w:r>
      <w:bookmarkEnd w:id="19"/>
      <w:bookmarkEnd w:id="20"/>
    </w:p>
    <w:p w:rsidR="00893821" w:rsidRPr="00A4603B" w:rsidRDefault="00893821" w:rsidP="00893821">
      <w:r w:rsidRPr="00A4603B">
        <w:t xml:space="preserve">The methodology used for each of the deliverables in this Final Report is described below. </w:t>
      </w:r>
    </w:p>
    <w:p w:rsidR="00893821" w:rsidRPr="00A4603B" w:rsidRDefault="00893821" w:rsidP="00893821">
      <w:r w:rsidRPr="00A4603B">
        <w:t>“Accessibility” for the purpose of this research is defined as a measure of enabling access and removing barriers in the design of products, government services, built environment, day-to-day activities etc. for the people with disabilities or special needs. The definition of ‘Accessibility’ has been designed to fulfill the scope as per the project requirements for this engagement with the ADO.</w:t>
      </w:r>
    </w:p>
    <w:p w:rsidR="00893821" w:rsidRPr="00A4603B" w:rsidRDefault="00893821" w:rsidP="00446735">
      <w:pPr>
        <w:pStyle w:val="Heading3"/>
      </w:pPr>
      <w:r w:rsidRPr="00A4603B">
        <w:t>Jurisdictional Scan and Analysis</w:t>
      </w:r>
    </w:p>
    <w:p w:rsidR="00893821" w:rsidRPr="00A4603B" w:rsidRDefault="00893821" w:rsidP="00893821">
      <w:r w:rsidRPr="00A4603B">
        <w:t>Information related to the topic was researched on health sector associations, public services, and government websites etc., through general internet searches on Google. Further, information related to the topic was searched through a combination of keywords including (but not limited to):</w:t>
      </w:r>
    </w:p>
    <w:p w:rsidR="00893821" w:rsidRPr="00A4603B" w:rsidRDefault="00893821" w:rsidP="00BC5BD4">
      <w:pPr>
        <w:pStyle w:val="ListParagraph"/>
        <w:numPr>
          <w:ilvl w:val="0"/>
          <w:numId w:val="32"/>
        </w:numPr>
      </w:pPr>
      <w:r w:rsidRPr="00A4603B">
        <w:t>Healthcare accessibility regulations / legislations / programs / acts / initiatives + Jurisdiction</w:t>
      </w:r>
    </w:p>
    <w:p w:rsidR="00893821" w:rsidRPr="00A4603B" w:rsidRDefault="00893821" w:rsidP="00BC5BD4">
      <w:pPr>
        <w:pStyle w:val="ListParagraph"/>
        <w:numPr>
          <w:ilvl w:val="0"/>
          <w:numId w:val="32"/>
        </w:numPr>
      </w:pPr>
      <w:r w:rsidRPr="00A4603B">
        <w:t>Disable friendly infrastructure plan / program</w:t>
      </w:r>
    </w:p>
    <w:p w:rsidR="00893821" w:rsidRPr="00A4603B" w:rsidRDefault="00893821" w:rsidP="00BC5BD4">
      <w:pPr>
        <w:pStyle w:val="ListParagraph"/>
        <w:numPr>
          <w:ilvl w:val="0"/>
          <w:numId w:val="32"/>
        </w:numPr>
      </w:pPr>
      <w:r w:rsidRPr="00A4603B">
        <w:t>Building / construction codes for hospitals / community health services / long-term care homes</w:t>
      </w:r>
    </w:p>
    <w:p w:rsidR="00893821" w:rsidRPr="00A4603B" w:rsidRDefault="00893821" w:rsidP="00BC5BD4">
      <w:pPr>
        <w:pStyle w:val="ListParagraph"/>
        <w:numPr>
          <w:ilvl w:val="0"/>
          <w:numId w:val="32"/>
        </w:numPr>
      </w:pPr>
      <w:r w:rsidRPr="00A4603B">
        <w:t>Accessibility/ barrier-free standard for building licence</w:t>
      </w:r>
    </w:p>
    <w:p w:rsidR="00893821" w:rsidRPr="00A4603B" w:rsidRDefault="00893821" w:rsidP="00BC5BD4">
      <w:pPr>
        <w:pStyle w:val="ListParagraph"/>
        <w:numPr>
          <w:ilvl w:val="0"/>
          <w:numId w:val="32"/>
        </w:numPr>
      </w:pPr>
      <w:r w:rsidRPr="00A4603B">
        <w:t>Health-care / hospital / nursing / doctor accessibility act / regulation / guidelines</w:t>
      </w:r>
    </w:p>
    <w:p w:rsidR="00893821" w:rsidRPr="00A4603B" w:rsidRDefault="00893821" w:rsidP="00BC5BD4">
      <w:pPr>
        <w:pStyle w:val="ListParagraph"/>
        <w:numPr>
          <w:ilvl w:val="0"/>
          <w:numId w:val="32"/>
        </w:numPr>
      </w:pPr>
      <w:r w:rsidRPr="00A4603B">
        <w:t>Programs / initiatives for accessibility in communities</w:t>
      </w:r>
    </w:p>
    <w:p w:rsidR="00893821" w:rsidRPr="00A4603B" w:rsidRDefault="00893821" w:rsidP="00BC5BD4">
      <w:pPr>
        <w:pStyle w:val="ListParagraph"/>
        <w:numPr>
          <w:ilvl w:val="0"/>
          <w:numId w:val="32"/>
        </w:numPr>
      </w:pPr>
      <w:r w:rsidRPr="00A4603B">
        <w:t>Accessibility laws / acts / guidelines / standards in healthcare / employment / discrimination</w:t>
      </w:r>
    </w:p>
    <w:p w:rsidR="00893821" w:rsidRPr="00A4603B" w:rsidRDefault="00893821" w:rsidP="00BC5BD4">
      <w:pPr>
        <w:pStyle w:val="ListParagraph"/>
        <w:numPr>
          <w:ilvl w:val="0"/>
          <w:numId w:val="32"/>
        </w:numPr>
      </w:pPr>
      <w:r w:rsidRPr="00A4603B">
        <w:t>Improving access to hospitals / ramps / parking / building code / evacuation</w:t>
      </w:r>
    </w:p>
    <w:p w:rsidR="00893821" w:rsidRPr="00A4603B" w:rsidRDefault="00893821" w:rsidP="00BC5BD4">
      <w:pPr>
        <w:pStyle w:val="ListParagraph"/>
        <w:numPr>
          <w:ilvl w:val="0"/>
          <w:numId w:val="32"/>
        </w:numPr>
      </w:pPr>
      <w:r w:rsidRPr="00A4603B">
        <w:t>Service delivery accessibility legislation / regulation + Jurisdiction</w:t>
      </w:r>
    </w:p>
    <w:p w:rsidR="00893821" w:rsidRPr="00A4603B" w:rsidRDefault="00893821" w:rsidP="00BC5BD4">
      <w:pPr>
        <w:pStyle w:val="ListParagraph"/>
        <w:numPr>
          <w:ilvl w:val="0"/>
          <w:numId w:val="32"/>
        </w:numPr>
      </w:pPr>
      <w:r w:rsidRPr="00A4603B">
        <w:lastRenderedPageBreak/>
        <w:t>Disabled / handicap accessibility laws / acts / guidelines / standards + Jurisdictions</w:t>
      </w:r>
    </w:p>
    <w:p w:rsidR="00893821" w:rsidRPr="00A4603B" w:rsidRDefault="00893821" w:rsidP="00BC5BD4">
      <w:pPr>
        <w:pStyle w:val="ListParagraph"/>
        <w:numPr>
          <w:ilvl w:val="0"/>
          <w:numId w:val="32"/>
        </w:numPr>
      </w:pPr>
      <w:r w:rsidRPr="00446735">
        <w:rPr>
          <w:lang w:val="en"/>
        </w:rPr>
        <w:t>Handicapped/ disabled/ senior citizens exercise of rights</w:t>
      </w:r>
    </w:p>
    <w:p w:rsidR="00893821" w:rsidRPr="00A4603B" w:rsidRDefault="00893821" w:rsidP="00BC5BD4">
      <w:pPr>
        <w:pStyle w:val="ListParagraph"/>
        <w:numPr>
          <w:ilvl w:val="0"/>
          <w:numId w:val="32"/>
        </w:numPr>
      </w:pPr>
      <w:r w:rsidRPr="00A4603B">
        <w:t xml:space="preserve">Study / report accessibility / barrier-free standards in Canada </w:t>
      </w:r>
    </w:p>
    <w:p w:rsidR="00893821" w:rsidRPr="00A4603B" w:rsidRDefault="00893821" w:rsidP="00BC5BD4">
      <w:pPr>
        <w:pStyle w:val="ListParagraph"/>
        <w:numPr>
          <w:ilvl w:val="0"/>
          <w:numId w:val="32"/>
        </w:numPr>
      </w:pPr>
      <w:r w:rsidRPr="00A4603B">
        <w:t>Universal / barrier-free accessibility + disability/ handicapped + jurisdiction</w:t>
      </w:r>
    </w:p>
    <w:p w:rsidR="00893821" w:rsidRPr="00A4603B" w:rsidRDefault="00893821" w:rsidP="00BC5BD4">
      <w:pPr>
        <w:pStyle w:val="ListParagraph"/>
        <w:numPr>
          <w:ilvl w:val="0"/>
          <w:numId w:val="32"/>
        </w:numPr>
      </w:pPr>
      <w:r w:rsidRPr="00A4603B">
        <w:t>Barrier-free habilitation and rehabilitation standards for disabled</w:t>
      </w:r>
    </w:p>
    <w:p w:rsidR="00893821" w:rsidRPr="00A4603B" w:rsidRDefault="00893821" w:rsidP="00BC5BD4">
      <w:pPr>
        <w:pStyle w:val="ListParagraph"/>
        <w:numPr>
          <w:ilvl w:val="0"/>
          <w:numId w:val="32"/>
        </w:numPr>
      </w:pPr>
      <w:r w:rsidRPr="00A4603B">
        <w:t xml:space="preserve">Recommendations to improve accessibility/ barrier-free designs </w:t>
      </w:r>
    </w:p>
    <w:p w:rsidR="00893821" w:rsidRPr="00A4603B" w:rsidRDefault="00893821" w:rsidP="00BC5BD4">
      <w:pPr>
        <w:pStyle w:val="ListParagraph"/>
        <w:numPr>
          <w:ilvl w:val="0"/>
          <w:numId w:val="32"/>
        </w:numPr>
      </w:pPr>
      <w:r w:rsidRPr="00A4603B">
        <w:t>Barriers to accessibility in health sector</w:t>
      </w:r>
    </w:p>
    <w:p w:rsidR="00893821" w:rsidRPr="00A4603B" w:rsidRDefault="00893821" w:rsidP="00BC5BD4">
      <w:pPr>
        <w:pStyle w:val="ListParagraph"/>
        <w:numPr>
          <w:ilvl w:val="0"/>
          <w:numId w:val="32"/>
        </w:numPr>
      </w:pPr>
      <w:r w:rsidRPr="00A4603B">
        <w:t>Health services equality regulations / policies / acts</w:t>
      </w:r>
    </w:p>
    <w:p w:rsidR="00893821" w:rsidRPr="00A4603B" w:rsidRDefault="00893821" w:rsidP="00BC5BD4">
      <w:pPr>
        <w:pStyle w:val="ListParagraph"/>
        <w:numPr>
          <w:ilvl w:val="0"/>
          <w:numId w:val="32"/>
        </w:numPr>
      </w:pPr>
      <w:r w:rsidRPr="00A4603B">
        <w:t>Accessible Medical equipment / medicine packaging braille + act / regulation / policy / guideline + Jurisdiction</w:t>
      </w:r>
    </w:p>
    <w:p w:rsidR="00893821" w:rsidRPr="00A4603B" w:rsidRDefault="00893821" w:rsidP="00BC5BD4">
      <w:pPr>
        <w:pStyle w:val="ListParagraph"/>
        <w:numPr>
          <w:ilvl w:val="0"/>
          <w:numId w:val="32"/>
        </w:numPr>
      </w:pPr>
      <w:r w:rsidRPr="00A4603B">
        <w:t xml:space="preserve">Disability insurance plans / rehabilitation schemes </w:t>
      </w:r>
    </w:p>
    <w:p w:rsidR="00893821" w:rsidRPr="00A4603B" w:rsidRDefault="00893821" w:rsidP="00BC5BD4">
      <w:pPr>
        <w:pStyle w:val="ListParagraph"/>
        <w:numPr>
          <w:ilvl w:val="0"/>
          <w:numId w:val="32"/>
        </w:numPr>
      </w:pPr>
      <w:r w:rsidRPr="00A4603B">
        <w:t>Province AND (training) AND (“healthcare staff” OR doctor OR caretaker OR caregiver OR “service provider” OR attendant OR “medical staff”)  AND (disability OR accessibility OR handicap OR “special needs”)</w:t>
      </w:r>
    </w:p>
    <w:p w:rsidR="00893821" w:rsidRPr="00A4603B" w:rsidRDefault="00893821" w:rsidP="00BC5BD4">
      <w:pPr>
        <w:pStyle w:val="ListParagraph"/>
        <w:numPr>
          <w:ilvl w:val="0"/>
          <w:numId w:val="32"/>
        </w:numPr>
      </w:pPr>
      <w:r w:rsidRPr="00A4603B">
        <w:t>Province AND (“medical equipment”) AND (disability OR accessibility OR handicap OR “special needs”)</w:t>
      </w:r>
    </w:p>
    <w:p w:rsidR="00893821" w:rsidRPr="00A4603B" w:rsidRDefault="00893821" w:rsidP="00BC5BD4">
      <w:pPr>
        <w:pStyle w:val="ListParagraph"/>
        <w:numPr>
          <w:ilvl w:val="0"/>
          <w:numId w:val="32"/>
        </w:numPr>
      </w:pPr>
      <w:r w:rsidRPr="00A4603B">
        <w:t>Province AND (disability OR accessibility OR handicap OR “special needs”) AND (transition OR “handing over” OR progression OR handover OR refer) AND (primary OR physician OR specialist)</w:t>
      </w:r>
    </w:p>
    <w:p w:rsidR="00893821" w:rsidRPr="00A4603B" w:rsidRDefault="00893821" w:rsidP="00BC5BD4">
      <w:pPr>
        <w:pStyle w:val="ListParagraph"/>
        <w:numPr>
          <w:ilvl w:val="0"/>
          <w:numId w:val="32"/>
        </w:numPr>
      </w:pPr>
      <w:r w:rsidRPr="00A4603B">
        <w:t>Province AND (disability OR accessibility OR handicap OR “special needs”) AND (“assisted devices” OR “mobility aids” OR mobility OR scooter OR “power wheelchair”) AND (change OR innovation OR technology OR advancement OR betterment OR improvement)</w:t>
      </w:r>
    </w:p>
    <w:p w:rsidR="00893821" w:rsidRPr="00A4603B" w:rsidRDefault="00893821" w:rsidP="00893821">
      <w:r w:rsidRPr="00A4603B">
        <w:t>After the collection and analysis of the jurisdictional research, comparisons were made to Ontario, which have been categorized into regulations and standards, policies and strategies and programs. This included evaluating how Ontario fares relative to other jurisdictions, what gaps exist, what themes emerged, and identification of unique or noteworthy practices.</w:t>
      </w:r>
    </w:p>
    <w:p w:rsidR="00893821" w:rsidRPr="00A4603B" w:rsidRDefault="00893821" w:rsidP="00446735">
      <w:pPr>
        <w:pStyle w:val="Heading3"/>
      </w:pPr>
      <w:r w:rsidRPr="00A4603B">
        <w:t>Literature Review</w:t>
      </w:r>
    </w:p>
    <w:p w:rsidR="00893821" w:rsidRPr="00A4603B" w:rsidRDefault="00893821" w:rsidP="00893821">
      <w:r w:rsidRPr="00A4603B">
        <w:t xml:space="preserve">This report details the barriers encountered by people with disabilities to healthcare, including accessibility and equity of service barriers. In healthcare, seven overarching healthcare barriers were found. These barriers result in difficulties navigating the healthcare system, distrust in healthcare providers, and ultimately create safety risks and poorer healthcare for the patient. The review included exploring sources from academic literature, as well as a range of organizations including advocacy groups, policy institutes, government committees and panels, industry organizations, and </w:t>
      </w:r>
      <w:r w:rsidRPr="00A4603B">
        <w:lastRenderedPageBreak/>
        <w:t>human rights and disability organizations. This report is meant to be a literature review of materials published since 2008, rather than all material published on accessibility barriers. Priority has been given to materials published since 2008, however, earlier publications have been included, based off of their importance to the subject as a whole. The barriers identified are meant to be mutually exclusive and exhaustive from the material reviewed.</w:t>
      </w:r>
    </w:p>
    <w:p w:rsidR="00893821" w:rsidRPr="00A4603B" w:rsidRDefault="00893821" w:rsidP="00446735">
      <w:pPr>
        <w:pStyle w:val="Heading3"/>
      </w:pPr>
      <w:r w:rsidRPr="00A4603B">
        <w:t>Emerging Trends and Issues</w:t>
      </w:r>
    </w:p>
    <w:p w:rsidR="00893821" w:rsidRPr="00A4603B" w:rsidRDefault="00893821" w:rsidP="00893821">
      <w:r w:rsidRPr="00A4603B">
        <w:t>The analysis of emerging trends and issues was informed by jurisdictional research, literature and other publically available documents. Themes were identified based on common trends across all research methods or gaps between findings in the literature and the regulations, policies and programs in place in the jurisdictions examined. To supplement the trends and issues, specific examples were provided to better illustrate the findings.</w:t>
      </w:r>
    </w:p>
    <w:p w:rsidR="00893821" w:rsidRPr="00A4603B" w:rsidRDefault="00893821" w:rsidP="00446735">
      <w:pPr>
        <w:pStyle w:val="Heading3"/>
      </w:pPr>
      <w:r w:rsidRPr="00A4603B">
        <w:t>Industry Leaders and Experts</w:t>
      </w:r>
    </w:p>
    <w:p w:rsidR="00893821" w:rsidRPr="00A4603B" w:rsidRDefault="00893821" w:rsidP="00893821">
      <w:r w:rsidRPr="00A4603B">
        <w:t xml:space="preserve">Profiles were compiled using secondary web based research. Leaders, experts, academics, institutes, consumer groups, associations, consultants, and corporations were in scope. These individuals or organizations should be further validated to better understand skills, experience and knowledge of access and equity in the healthcare sector. Preference was given to entities/people who are not part of a Government of Ontario’s public accessibility related council/ committee. </w:t>
      </w:r>
    </w:p>
    <w:p w:rsidR="00893821" w:rsidRPr="00A4603B" w:rsidRDefault="00893821" w:rsidP="00446735">
      <w:pPr>
        <w:pStyle w:val="Heading3"/>
      </w:pPr>
      <w:bookmarkStart w:id="21" w:name="_Toc390871013"/>
      <w:r w:rsidRPr="00A4603B">
        <w:t>Leading Practices</w:t>
      </w:r>
    </w:p>
    <w:p w:rsidR="00893821" w:rsidRPr="00A4603B" w:rsidRDefault="00893821" w:rsidP="00893821">
      <w:r w:rsidRPr="00A4603B">
        <w:t xml:space="preserve">Finally, leading practices on enhancing accessibility of the healthcare system for people with disabilities were identified based on the jurisdictional research, literature review and analysis of emerging trends and issues. A mix of regulations, policies and programs have been included, as well as notable practices that could warrant further investigation by the ADO. </w:t>
      </w:r>
    </w:p>
    <w:p w:rsidR="00893821" w:rsidRPr="00A4603B" w:rsidRDefault="00446735" w:rsidP="00E04386">
      <w:pPr>
        <w:pStyle w:val="Heading1"/>
      </w:pPr>
      <w:bookmarkStart w:id="22" w:name="_Toc424669245"/>
      <w:bookmarkStart w:id="23" w:name="_Toc457553256"/>
      <w:r>
        <w:lastRenderedPageBreak/>
        <w:t xml:space="preserve">3. </w:t>
      </w:r>
      <w:r w:rsidR="00893821" w:rsidRPr="00A4603B">
        <w:t>Jurisdictional Scan – Healthcare</w:t>
      </w:r>
      <w:bookmarkEnd w:id="22"/>
      <w:bookmarkEnd w:id="23"/>
      <w:r w:rsidR="00893821" w:rsidRPr="00A4603B">
        <w:t xml:space="preserve"> </w:t>
      </w:r>
    </w:p>
    <w:p w:rsidR="00893821" w:rsidRPr="00A4603B" w:rsidRDefault="00893821" w:rsidP="00893821">
      <w:r w:rsidRPr="00A4603B">
        <w:t>In this section of the report, we summarize the findings from the jurisdictional research. All Canadian provinces and territories were in scope, as well as the United States, California, New York, United Kingdom, Australia, New Zealand, Egypt, Israel, Jordan, and Germany. Following the submission of the Interim Report in May 2015, we conducted additional research on the United Kingdom, Wales, and Ireland. Research was also conducted at the sub-national level for many of the jurisdictions where applicable.</w:t>
      </w:r>
    </w:p>
    <w:p w:rsidR="00893821" w:rsidRPr="00A4603B" w:rsidRDefault="00893821" w:rsidP="00893821">
      <w:r w:rsidRPr="00A4603B">
        <w:t>The summary tables and analysis of Ontario’s relative position on the following pages have been categorized into three sections:</w:t>
      </w:r>
    </w:p>
    <w:p w:rsidR="00893821" w:rsidRPr="00A4603B" w:rsidRDefault="00893821" w:rsidP="00BC5BD4">
      <w:pPr>
        <w:numPr>
          <w:ilvl w:val="0"/>
          <w:numId w:val="21"/>
        </w:numPr>
        <w:rPr>
          <w:b/>
          <w:lang w:val="en-US"/>
        </w:rPr>
      </w:pPr>
      <w:r w:rsidRPr="00A4603B">
        <w:rPr>
          <w:b/>
          <w:lang w:val="en-US"/>
        </w:rPr>
        <w:t>Regulatory requirements and standards</w:t>
      </w:r>
    </w:p>
    <w:p w:rsidR="00893821" w:rsidRPr="00A4603B" w:rsidRDefault="00893821" w:rsidP="00BC5BD4">
      <w:pPr>
        <w:numPr>
          <w:ilvl w:val="0"/>
          <w:numId w:val="21"/>
        </w:numPr>
        <w:rPr>
          <w:b/>
          <w:lang w:val="en-US"/>
        </w:rPr>
      </w:pPr>
      <w:r w:rsidRPr="00A4603B">
        <w:rPr>
          <w:b/>
          <w:lang w:val="en-US"/>
        </w:rPr>
        <w:t>Policies and strategies</w:t>
      </w:r>
    </w:p>
    <w:p w:rsidR="00893821" w:rsidRPr="00A4603B" w:rsidRDefault="00893821" w:rsidP="00BC5BD4">
      <w:pPr>
        <w:numPr>
          <w:ilvl w:val="0"/>
          <w:numId w:val="21"/>
        </w:numPr>
        <w:rPr>
          <w:b/>
          <w:lang w:val="en-US"/>
        </w:rPr>
      </w:pPr>
      <w:r w:rsidRPr="00A4603B">
        <w:rPr>
          <w:b/>
          <w:lang w:val="en-US"/>
        </w:rPr>
        <w:t>Programs</w:t>
      </w:r>
    </w:p>
    <w:p w:rsidR="00893821" w:rsidRPr="00A4603B" w:rsidRDefault="00893821" w:rsidP="00893821">
      <w:r w:rsidRPr="00A4603B">
        <w:t>As well, to set the stage for the jurisdictional scan, it was important to define persons with disabilities. The United Nations Convention on the Rights of Persons with Disabilities defines persons with disabilities to include “those who have long-term physical, mental, intellectual or sensory impairments which in interaction with various barriers may hinder their full and effective participation in society on an equal basis with others.”</w:t>
      </w:r>
      <w:r w:rsidRPr="00A4603B">
        <w:rPr>
          <w:vertAlign w:val="superscript"/>
        </w:rPr>
        <w:footnoteReference w:id="1"/>
      </w:r>
      <w:r w:rsidRPr="00A4603B">
        <w:t xml:space="preserve"> </w:t>
      </w:r>
    </w:p>
    <w:p w:rsidR="00893821" w:rsidRPr="00A4603B" w:rsidRDefault="00893821" w:rsidP="00893821">
      <w:r w:rsidRPr="00A4603B">
        <w:t>Thus, to more effectively compare the regulations, policies and programs aimed at increasing accessibility of the healthcare system in other jurisdictions to that of Ontario, we also separated regulatory requirements and standards into three sub-categories:</w:t>
      </w:r>
    </w:p>
    <w:p w:rsidR="00893821" w:rsidRPr="00A4603B" w:rsidRDefault="00893821" w:rsidP="00BC5BD4">
      <w:pPr>
        <w:pStyle w:val="ListParagraph"/>
        <w:numPr>
          <w:ilvl w:val="0"/>
          <w:numId w:val="33"/>
        </w:numPr>
      </w:pPr>
      <w:r w:rsidRPr="00A4603B">
        <w:t>Regulations and standards related to equality and human rights that are applicable to an accessible healthcare system</w:t>
      </w:r>
    </w:p>
    <w:p w:rsidR="00893821" w:rsidRPr="00A4603B" w:rsidRDefault="00893821" w:rsidP="00BC5BD4">
      <w:pPr>
        <w:pStyle w:val="ListParagraph"/>
        <w:numPr>
          <w:ilvl w:val="0"/>
          <w:numId w:val="33"/>
        </w:numPr>
      </w:pPr>
      <w:r w:rsidRPr="00A4603B">
        <w:t>Regulations and standards focused on increasing accessibility for those living with physical disabilities (called “physical access”)</w:t>
      </w:r>
    </w:p>
    <w:p w:rsidR="00893821" w:rsidRPr="00A4603B" w:rsidRDefault="00893821" w:rsidP="00BC5BD4">
      <w:pPr>
        <w:pStyle w:val="ListParagraph"/>
        <w:numPr>
          <w:ilvl w:val="0"/>
          <w:numId w:val="33"/>
        </w:numPr>
      </w:pPr>
      <w:r w:rsidRPr="00A4603B">
        <w:t>Regulations and standards aimed at increasing accessibility for those living with mental disabilities (called “mental health”)</w:t>
      </w:r>
    </w:p>
    <w:p w:rsidR="00893821" w:rsidRPr="00A4603B" w:rsidRDefault="00893821" w:rsidP="00893821">
      <w:r w:rsidRPr="00A4603B">
        <w:t xml:space="preserve">While physical and mental disabilities are distinct, there are intersections and links between physical and mental well-being. Studies have demonstrated that people with disabilities can be at greater risk of mental health issues, leading to a disproportionate </w:t>
      </w:r>
      <w:r w:rsidRPr="00A4603B">
        <w:lastRenderedPageBreak/>
        <w:t>contribution to mental health morbidity.</w:t>
      </w:r>
      <w:r w:rsidRPr="00A4603B">
        <w:rPr>
          <w:vertAlign w:val="superscript"/>
        </w:rPr>
        <w:footnoteReference w:id="2"/>
      </w:r>
      <w:r w:rsidRPr="00A4603B">
        <w:t xml:space="preserve"> An effective healthcare system is one that provides complete care for the patient, rather than focusing on a single need. </w:t>
      </w:r>
    </w:p>
    <w:p w:rsidR="00893821" w:rsidRPr="00A4603B" w:rsidRDefault="00893821" w:rsidP="00893821">
      <w:pPr>
        <w:rPr>
          <w:b/>
        </w:rPr>
        <w:sectPr w:rsidR="00893821" w:rsidRPr="00A4603B" w:rsidSect="005D44FF">
          <w:headerReference w:type="even" r:id="rId9"/>
          <w:headerReference w:type="default" r:id="rId10"/>
          <w:footerReference w:type="default" r:id="rId11"/>
          <w:headerReference w:type="first" r:id="rId12"/>
          <w:type w:val="continuous"/>
          <w:pgSz w:w="12240" w:h="15840" w:code="1"/>
          <w:pgMar w:top="1440" w:right="1440" w:bottom="1440" w:left="1440" w:header="720" w:footer="562" w:gutter="0"/>
          <w:cols w:space="720"/>
          <w:docGrid w:linePitch="360"/>
        </w:sectPr>
      </w:pPr>
    </w:p>
    <w:p w:rsidR="00893821" w:rsidRPr="00A4603B" w:rsidRDefault="00FE1FA4" w:rsidP="00FE1FA4">
      <w:pPr>
        <w:pStyle w:val="Heading2"/>
      </w:pPr>
      <w:bookmarkStart w:id="24" w:name="_Toc424669246"/>
      <w:bookmarkStart w:id="25" w:name="_Toc457553257"/>
      <w:r>
        <w:lastRenderedPageBreak/>
        <w:t xml:space="preserve">3.1 </w:t>
      </w:r>
      <w:r w:rsidR="00893821" w:rsidRPr="00A4603B">
        <w:t>Summary of Research</w:t>
      </w:r>
      <w:bookmarkEnd w:id="24"/>
      <w:bookmarkEnd w:id="25"/>
    </w:p>
    <w:p w:rsidR="00893821" w:rsidRPr="00A4603B" w:rsidRDefault="00FE1FA4" w:rsidP="00FE1FA4">
      <w:pPr>
        <w:pStyle w:val="Heading3"/>
      </w:pPr>
      <w:bookmarkStart w:id="26" w:name="_Toc424669247"/>
      <w:r>
        <w:t xml:space="preserve">3.1.1 </w:t>
      </w:r>
      <w:r w:rsidR="00893821" w:rsidRPr="00A4603B">
        <w:t>Regulatory Requirements and Standards</w:t>
      </w:r>
      <w:bookmarkEnd w:id="26"/>
    </w:p>
    <w:p w:rsidR="00893821" w:rsidRPr="00A4603B" w:rsidRDefault="00893821" w:rsidP="00893821">
      <w:r w:rsidRPr="00A4603B">
        <w:t xml:space="preserve">The following table identifies regulatory requirements and standards that are used to support equal access for persons with disabilities in the healthcare sector. </w:t>
      </w:r>
    </w:p>
    <w:tbl>
      <w:tblPr>
        <w:tblStyle w:val="LightList"/>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Caption w:val="Regulatory Requirements and Standards"/>
        <w:tblDescription w:val="This table identifies regulatory requirements and standards that are used to support equal access for persons with disabilities in the healthcare sector. "/>
      </w:tblPr>
      <w:tblGrid>
        <w:gridCol w:w="1844"/>
        <w:gridCol w:w="8354"/>
      </w:tblGrid>
      <w:tr w:rsidR="00893821" w:rsidRPr="00A4603B" w:rsidTr="00D04B3A">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Jurisdiction</w:t>
            </w:r>
          </w:p>
        </w:tc>
        <w:tc>
          <w:tcPr>
            <w:tcW w:w="4096" w:type="pct"/>
            <w:hideMark/>
          </w:tcPr>
          <w:p w:rsidR="00893821" w:rsidRPr="00A4603B" w:rsidRDefault="00893821" w:rsidP="005A3CF1">
            <w:pPr>
              <w:cnfStyle w:val="100000000000" w:firstRow="1" w:lastRow="0" w:firstColumn="0" w:lastColumn="0" w:oddVBand="0" w:evenVBand="0" w:oddHBand="0" w:evenHBand="0" w:firstRowFirstColumn="0" w:firstRowLastColumn="0" w:lastRowFirstColumn="0" w:lastRowLastColumn="0"/>
              <w:rPr>
                <w:b w:val="0"/>
                <w:bCs w:val="0"/>
                <w:lang w:val="en-US"/>
              </w:rPr>
            </w:pPr>
            <w:r w:rsidRPr="00A4603B">
              <w:rPr>
                <w:b w:val="0"/>
                <w:bCs w:val="0"/>
                <w:lang w:val="en-US"/>
              </w:rPr>
              <w:t>Regulatory Requirements and Standards</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4013"/>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Canada (Federal)</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Canadian Bill of Rights:</w:t>
            </w:r>
            <w:r w:rsidRPr="00A4603B">
              <w:rPr>
                <w:lang w:val="en-US"/>
              </w:rPr>
              <w:t xml:space="preserve"> Canadian Bill of Rights (the "Bill of Rights"), applies to federal laws and protects fundamental freedoms, legal rights and equality before the law.</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Canada Act 1982: </w:t>
            </w:r>
            <w:r w:rsidRPr="00A4603B">
              <w:rPr>
                <w:lang w:val="en-US"/>
              </w:rPr>
              <w:t xml:space="preserve">Schedule B of the </w:t>
            </w:r>
            <w:r w:rsidRPr="00A4603B">
              <w:rPr>
                <w:i/>
                <w:iCs/>
                <w:lang w:val="en-US"/>
              </w:rPr>
              <w:t xml:space="preserve">Canada Act </w:t>
            </w:r>
            <w:r w:rsidRPr="00A4603B">
              <w:rPr>
                <w:lang w:val="en-US"/>
              </w:rPr>
              <w:t>1982 applies to all government action and guarantees all individuals fundamental freedoms and rights, including an explicit equality rights guarantee for persons with disabilities.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Canada Health Act:</w:t>
            </w:r>
            <w:r w:rsidRPr="00A4603B">
              <w:rPr>
                <w:lang w:val="en-US"/>
              </w:rPr>
              <w:t xml:space="preserve"> It provides funding for in-home care or institutional care. Originated as Adult Care Program but changed name post-1998.</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Employment Equity Act: </w:t>
            </w:r>
            <w:r w:rsidRPr="00A4603B">
              <w:rPr>
                <w:lang w:val="en-US"/>
              </w:rPr>
              <w:t>The act requires federally regulated employers to achieve workplace equality and remove the barriers to employment experienced by persons with disabilities and other designated groups.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Canadian Human Rights Act: </w:t>
            </w:r>
            <w:r w:rsidRPr="00A4603B">
              <w:rPr>
                <w:lang w:val="en-US"/>
              </w:rPr>
              <w:t>Under this act,</w:t>
            </w:r>
            <w:r w:rsidRPr="00A4603B">
              <w:rPr>
                <w:b/>
                <w:bCs/>
                <w:lang w:val="en-US"/>
              </w:rPr>
              <w:t xml:space="preserve"> </w:t>
            </w:r>
            <w:r w:rsidRPr="00A4603B">
              <w:rPr>
                <w:lang w:val="en-US"/>
              </w:rPr>
              <w:t>there are specific federal and provincial/territorial (F-P/T) laws governing areas that impact persons with disabilities, for example, social benefits programs, disability insurance plans, housing programs; and a broad range of F-P/T policies, programs and services aimed at improving accessibility, providing financial, and other supports to persons with disabilities and reducing barriers to their full participation in Canadian society.</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u w:val="single"/>
                <w:lang w:val="en-US"/>
              </w:rPr>
            </w:pPr>
            <w:r w:rsidRPr="00A4603B">
              <w:rPr>
                <w:b/>
                <w:u w:val="single"/>
                <w:lang w:val="en-US"/>
              </w:rPr>
              <w:t>Physical Access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Accessible Design for the Built Environment: </w:t>
            </w:r>
            <w:r w:rsidRPr="00A4603B">
              <w:rPr>
                <w:lang w:val="en-US"/>
              </w:rPr>
              <w:t>Canadian Standards Association: This Standard specifies how to make buildings and other facilities barrier-free and therefore accessible and safely usable by persons with physical or sensory disabilities.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Accessibility Standard for Real Property (ASRP): </w:t>
            </w:r>
            <w:r w:rsidRPr="00A4603B">
              <w:rPr>
                <w:lang w:val="en-US"/>
              </w:rPr>
              <w:t>It provides the minimum requirements for barrier-free access to and use of federal real property in Canada and abroad.</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Elevating Devices Safety Regulation: </w:t>
            </w:r>
            <w:r w:rsidRPr="00A4603B">
              <w:rPr>
                <w:lang w:val="en-US"/>
              </w:rPr>
              <w:t xml:space="preserve">The CSA B355-09 code (lifts for persons with physical disabilities) has been adopted into the Elevating Devices Safety Regulation, effective July 2, 2013. </w:t>
            </w:r>
          </w:p>
        </w:tc>
      </w:tr>
      <w:tr w:rsidR="00893821" w:rsidRPr="00A4603B" w:rsidTr="00D04B3A">
        <w:trPr>
          <w:trHeight w:val="58"/>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British Columbia</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British Columbia Building Code, 2006:</w:t>
            </w:r>
            <w:r w:rsidRPr="00A4603B">
              <w:rPr>
                <w:lang w:val="en-US"/>
              </w:rPr>
              <w:t xml:space="preserve"> It specifies what buildings or portions of buildings must be accessible to persons with disabilities and how </w:t>
            </w:r>
            <w:r w:rsidRPr="00A4603B">
              <w:rPr>
                <w:lang w:val="en-US"/>
              </w:rPr>
              <w:lastRenderedPageBreak/>
              <w:t>accessible they must be. It also contains the details on how to make those buildings accessible.</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Guide Dog and Service Dog Act, 2015: </w:t>
            </w:r>
            <w:r w:rsidRPr="00A4603B">
              <w:rPr>
                <w:lang w:val="en-US"/>
              </w:rPr>
              <w:t xml:space="preserve">Ensures that individuals accompanied by a certified guide or service dog are guaranteed the same rights and privileges as anyone else.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u w:val="single"/>
                <w:lang w:val="en-US"/>
              </w:rPr>
              <w:t>Mental Health</w:t>
            </w:r>
            <w:r w:rsidRPr="00A4603B">
              <w:rPr>
                <w:b/>
                <w:bCs/>
                <w:u w:val="single"/>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Mental Health Act: </w:t>
            </w:r>
            <w:r w:rsidRPr="00A4603B">
              <w:rPr>
                <w:lang w:val="en-US"/>
              </w:rPr>
              <w:t xml:space="preserve">BC's </w:t>
            </w:r>
            <w:r w:rsidRPr="00A4603B">
              <w:rPr>
                <w:i/>
                <w:iCs/>
                <w:lang w:val="en-US"/>
              </w:rPr>
              <w:t>Mental Health Act</w:t>
            </w:r>
            <w:r w:rsidRPr="00A4603B">
              <w:rPr>
                <w:lang w:val="en-US"/>
              </w:rPr>
              <w:t xml:space="preserve"> provides guidelines for involuntary admission and treatment in designated hospitals and mental health facilities. The Act includes safeguards to guarantee the rights of those admitted under the Act.</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1574"/>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Quebec</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u w:val="single"/>
                <w:lang w:val="en-US"/>
              </w:rPr>
            </w:pPr>
            <w:r w:rsidRPr="00A4603B">
              <w:rPr>
                <w:lang w:val="en-US"/>
              </w:rPr>
              <w:t>An Act to secure handicapped persons in the exercise of their rights with a view to achieving social, school and workplace integration: The Act requires government departments and agencies with 50 or more employees and municipalities with a population of 15,000 or more, to adopt an annual action plan to reduce barriers to the integration of people with disabilities. More specifically, the Act specifies that this action plan must identify the barriers to the integration of persons with disabilities, describe the measures taken over the past year and those to be taken in the coming year.</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Access to Buildings by People with Disabilities: </w:t>
            </w:r>
            <w:r w:rsidRPr="00A4603B">
              <w:rPr>
                <w:lang w:val="en-US"/>
              </w:rPr>
              <w:t xml:space="preserve">Québec has statutes and codes to make sure buildings are accessible to people with physical disabilities. Régie du bâtiment du Québec (RBQ) is responsible, from the perspective of access to public buildings by people with disabilities, for applying barrier-free design standards.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Québec Building Code: </w:t>
            </w:r>
            <w:r w:rsidRPr="00A4603B">
              <w:rPr>
                <w:lang w:val="en-US"/>
              </w:rPr>
              <w:t>In Québec, regulatory requirements regarding accessibility appear in the Québec Building Code are covered under two chapters, chapter 1 - building; and chapter 4 - elevators and other elevating devices.</w:t>
            </w:r>
          </w:p>
        </w:tc>
      </w:tr>
      <w:tr w:rsidR="00893821" w:rsidRPr="00A4603B" w:rsidTr="00D04B3A">
        <w:trPr>
          <w:trHeight w:val="989"/>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Alberta</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bookmarkStart w:id="27" w:name="RANGE!D7"/>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Alberta Human Rights Act: </w:t>
            </w:r>
            <w:r w:rsidRPr="00A4603B">
              <w:rPr>
                <w:lang w:val="en-US"/>
              </w:rPr>
              <w:t xml:space="preserve">Prohibits discrimination based on physican and mental disabilities. Employers, landlords, tenants and service providers are expected to make reasonable efforts to accommodate individuals with disabilities unless it would cause undue hardship.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Alberta Building Code: </w:t>
            </w:r>
            <w:r w:rsidRPr="00A4603B">
              <w:rPr>
                <w:lang w:val="en-US"/>
              </w:rPr>
              <w:t xml:space="preserve">In partnership with the Barrier-Free Council of the Safety Codes Council, Safety Services has developed the Barrier-Free Design Guide to provide further interpretation and understanding of accessibility requirements under section 3.8. of the Alberta Building Code.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The Service Dogs Act: </w:t>
            </w:r>
            <w:r w:rsidRPr="00A4603B">
              <w:rPr>
                <w:lang w:val="en-US"/>
              </w:rPr>
              <w:t xml:space="preserve">The </w:t>
            </w:r>
            <w:r w:rsidRPr="00A4603B">
              <w:rPr>
                <w:i/>
                <w:iCs/>
                <w:lang w:val="en-US"/>
              </w:rPr>
              <w:t>Service Dogs Act</w:t>
            </w:r>
            <w:r w:rsidRPr="00A4603B">
              <w:rPr>
                <w:lang w:val="en-US"/>
              </w:rPr>
              <w:t xml:space="preserve"> became a law on January 1, </w:t>
            </w:r>
            <w:r w:rsidRPr="00A4603B">
              <w:rPr>
                <w:lang w:val="en-US"/>
              </w:rPr>
              <w:lastRenderedPageBreak/>
              <w:t xml:space="preserve">2009. It is a legislation that complements the </w:t>
            </w:r>
            <w:r w:rsidRPr="00A4603B">
              <w:rPr>
                <w:i/>
                <w:iCs/>
                <w:lang w:val="en-US"/>
              </w:rPr>
              <w:t>Blind Persons Rights Act</w:t>
            </w:r>
            <w:r w:rsidRPr="00A4603B">
              <w:rPr>
                <w:lang w:val="en-US"/>
              </w:rPr>
              <w:t xml:space="preserve"> (BPRA) by providing Albertans with disabilities, who use qualified service dogs, the same right of access to public places.</w:t>
            </w:r>
            <w:bookmarkEnd w:id="27"/>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Saskatchewan</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bookmarkStart w:id="28" w:name="RANGE!D8"/>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lang w:val="en-US"/>
              </w:rPr>
              <w:t xml:space="preserve">Saskatchewan Human Rights Code: </w:t>
            </w:r>
            <w:r w:rsidRPr="00A4603B">
              <w:rPr>
                <w:lang w:val="en-US"/>
              </w:rPr>
              <w:t>The code ensures that people with disabilities have access to public services on an equal basis with others including equal access to transportation, communications, facilities, and services. Where discrimination is based on disability, the Code requires a service provider to take steps to accommodate the needs of people with disabilities unless those steps cause undue hardship.</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National Building Code: </w:t>
            </w:r>
            <w:r w:rsidRPr="00A4603B">
              <w:rPr>
                <w:lang w:val="en-US"/>
              </w:rPr>
              <w:t>Saskatchewan adopts the National Building Code of Canada.</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 xml:space="preserve">Uniform Building and Accessibility Standards Act: </w:t>
            </w:r>
            <w:r w:rsidRPr="00A4603B">
              <w:rPr>
                <w:bCs/>
                <w:lang w:val="en-US"/>
              </w:rPr>
              <w:t>The act</w:t>
            </w:r>
            <w:r w:rsidRPr="00A4603B">
              <w:rPr>
                <w:lang w:val="en-US"/>
              </w:rPr>
              <w:t xml:space="preserve"> provides the legislative framework for the application of building and accessibility standards. It mandates the barrier-free standards to be complied with for all public service establishments.</w:t>
            </w:r>
            <w:bookmarkEnd w:id="28"/>
          </w:p>
        </w:tc>
      </w:tr>
      <w:tr w:rsidR="00893821" w:rsidRPr="00A4603B" w:rsidTr="00D04B3A">
        <w:trPr>
          <w:trHeight w:val="54"/>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Manitoba</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lang w:val="en-US"/>
              </w:rPr>
              <w:t xml:space="preserve">Manitoba Human Rights Code: </w:t>
            </w:r>
            <w:r w:rsidRPr="00A4603B">
              <w:rPr>
                <w:lang w:val="en-US"/>
              </w:rPr>
              <w:t>The Human Rights Code recognizes the right of all individuals to be treated on the basis of their personal merits, and to be accorded equality of opportunity with all other individuals. The Code prohibits discrimination against persons because of certain actual or perceived personal characteristics including “physical or mental disability or related characteristics or circumstances, including reliance on an…animal assistant, a wheelchair, or any other remedial appliance or device.”</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lang w:val="en-US"/>
              </w:rPr>
              <w:t xml:space="preserve">The Accessibility for Manitobans Act: </w:t>
            </w:r>
            <w:r w:rsidRPr="00A4603B">
              <w:rPr>
                <w:lang w:val="en-US"/>
              </w:rPr>
              <w:t xml:space="preserve">Under this legislation, the Manitoba government will develop mandatory accessibility standards. Each standard will address barriers for Manitobans in key areas of daily living. Standards will apply to Manitoba’s private and public sector organizations. Public sector organizations include municipalities, public transportation organizations, colleges and universities, hospitals, and school boards. </w:t>
            </w:r>
            <w:r w:rsidRPr="00A4603B">
              <w:t xml:space="preserve">For 2016, and every second year after that, the act will require Manitoba government and broader public sector organizations to prepare accessibility plans that address the identification, prevention and removal of barriers. Public sector organizations include municipalities, public transportation organizations, colleges and universities, hospitals and school boards. The Accessible Built Environment standard under this act address access into and within buildings and outdoor spaces and is expected to build on Manitoba’s Building Code. The standard could include things like counter </w:t>
            </w:r>
            <w:r w:rsidRPr="00A4603B">
              <w:lastRenderedPageBreak/>
              <w:t>height, aisle and door width, parking and signs.</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New Brunswick</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lang w:val="en-US"/>
              </w:rPr>
              <w:t>New Brunswick Human Rights Act:</w:t>
            </w:r>
            <w:r w:rsidRPr="00A4603B">
              <w:rPr>
                <w:lang w:val="en-US"/>
              </w:rPr>
              <w:t xml:space="preserve"> </w:t>
            </w:r>
            <w:r w:rsidRPr="00A4603B">
              <w:rPr>
                <w:i/>
                <w:iCs/>
                <w:lang w:val="en-US"/>
              </w:rPr>
              <w:t xml:space="preserve">The Human Rights Act </w:t>
            </w:r>
            <w:r w:rsidRPr="00A4603B">
              <w:rPr>
                <w:lang w:val="en-US"/>
              </w:rPr>
              <w:t>applies to both new and existing buildings. It supersedes all other laws in New Brunswick, so meeting Building Code requirements is not enough if the result still discriminates. Even when building code barrier-free requirements were met, judgments have been made against building owners for not providing sufficient access for persons with disabilities.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Barrier-Free Design Building Code Regulation – Community Planning Act: </w:t>
            </w:r>
            <w:r w:rsidRPr="00A4603B">
              <w:rPr>
                <w:lang w:val="en-US"/>
              </w:rPr>
              <w:t>This regulation is largely based on the Nova Scotia Building Code Regulation. Section 3.8 of the Barrier-Free Design Building Code Regulation, deals with the barrier-free stipulations, design standards, and requirements in the various areas of the built-environment of a building.</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Design Standards for Nursing Homes: </w:t>
            </w:r>
            <w:r w:rsidRPr="00A4603B">
              <w:rPr>
                <w:lang w:val="en-US"/>
              </w:rPr>
              <w:t xml:space="preserve">The design standards specify the various aspects of making a nursing home more accessible to the people with disabilities. </w:t>
            </w:r>
          </w:p>
        </w:tc>
      </w:tr>
      <w:tr w:rsidR="00893821" w:rsidRPr="00A4603B" w:rsidTr="00D04B3A">
        <w:trPr>
          <w:trHeight w:val="1844"/>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Nova Scotia</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lang w:val="en-US"/>
              </w:rPr>
              <w:t>Nova Scotia Human Rights Act:</w:t>
            </w:r>
            <w:r w:rsidRPr="00A4603B">
              <w:rPr>
                <w:lang w:val="en-US"/>
              </w:rPr>
              <w:t xml:space="preserve"> The Nova Scotia Human Rights Act is the law in Nova Scotia that defines discrimination, and is administered by the Nova Scotia Human Rights Commission. It protects the rights of those with physical and mental disabilities.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lang w:val="en-US"/>
              </w:rPr>
              <w:t xml:space="preserve">Nova Scotia Building Code Regulations: </w:t>
            </w:r>
            <w:r w:rsidRPr="00A4603B">
              <w:rPr>
                <w:lang w:val="en-US"/>
              </w:rPr>
              <w:t>Section 3.8 of the Nova Scotia Building Code Regulations, deals with the barrier-free stipulations, design standards, and requirements in the various areas of the built-environment of a building.</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lang w:val="en-US"/>
              </w:rPr>
              <w:t xml:space="preserve">Accessibility Legislation: </w:t>
            </w:r>
            <w:r w:rsidRPr="00A4603B">
              <w:rPr>
                <w:lang w:val="en-US"/>
              </w:rPr>
              <w:t>A discussion paper has been developed and was the basis for public consultations that wrapped up on December 3, 2014. A report to the Minister of Community Services will be delivered which will include recommendations based on what was heard in the public consultations. The province will use the report to develop accessibility legislation that will be introduced in Spring, 2016.</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u w:val="single"/>
                <w:lang w:val="en-US"/>
              </w:rPr>
              <w:t>Mental Health</w:t>
            </w:r>
            <w:r w:rsidRPr="00A4603B">
              <w:rPr>
                <w:b/>
                <w:bCs/>
                <w:u w:val="single"/>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lang w:val="en-US"/>
              </w:rPr>
              <w:t xml:space="preserve">Standards for Mental Health Services in Nova Scotia: </w:t>
            </w:r>
            <w:r w:rsidRPr="00A4603B">
              <w:rPr>
                <w:lang w:val="en-US"/>
              </w:rPr>
              <w:t xml:space="preserve">The standards are intended to provide guidance for quality service delivery and reduce variations across the province, while maintaining flexibility to adapt approaches to unique district, community, and organization conditions. Core program standards form the foundation for long-term improvement in mental health services and define the key service components to be achieved </w:t>
            </w:r>
            <w:r w:rsidRPr="00A4603B">
              <w:rPr>
                <w:lang w:val="en-US"/>
              </w:rPr>
              <w:lastRenderedPageBreak/>
              <w:t>within each of the core programs. An overarching set of generic standards represent the preferred conditions relevant to all mental health service delivery.</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Newfoundland and Labrador</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Newfoundland and Labrador Human Rights Act: </w:t>
            </w:r>
            <w:r w:rsidRPr="00A4603B">
              <w:rPr>
                <w:lang w:val="en-US"/>
              </w:rPr>
              <w:t xml:space="preserve">The Act applies to the provincial government, all of its departments and agencies, and to private businesses. A human rights violation under the Act occurs when an individual is discriminated against because of one of the prohibited grounds of discrimination including a disability.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Buildings Accessibility Regulations: </w:t>
            </w:r>
            <w:r w:rsidRPr="00A4603B">
              <w:rPr>
                <w:lang w:val="en-US"/>
              </w:rPr>
              <w:t>This regulation stipulates various accessibility standards that need to be met in order to secure accessibility to the people with disabilities. It provides the requirements under different categories of buildings.</w:t>
            </w:r>
          </w:p>
        </w:tc>
      </w:tr>
      <w:tr w:rsidR="00893821" w:rsidRPr="00A4603B" w:rsidTr="00D04B3A">
        <w:trPr>
          <w:trHeight w:val="1034"/>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P.E.I</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Prince Edward Island Human Rights Act: </w:t>
            </w:r>
            <w:r w:rsidRPr="00A4603B">
              <w:rPr>
                <w:lang w:val="en-US"/>
              </w:rPr>
              <w:t xml:space="preserve">Prohibits discrimination in certain situations on the basis of certain personal characteristics or "grounds", including physical or mental disability.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Provincial Building Codes Act – Barrier-free Design Regulations: </w:t>
            </w:r>
            <w:r w:rsidRPr="00A4603B">
              <w:rPr>
                <w:lang w:val="en-US"/>
              </w:rPr>
              <w:t>These regulations adopt and amend Section 3.7 of the National Building Code of Canada, 1990. This Section of the National Building Code provides a mandatory minimum building design standard to ensure that disabled persons have access to particular buildings and designated facilities within buildings.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Community Care Facilities and Nursing Homes Act: </w:t>
            </w:r>
            <w:r w:rsidRPr="00A4603B">
              <w:rPr>
                <w:lang w:val="en-US"/>
              </w:rPr>
              <w:t xml:space="preserve">The Department of Health and Wellness is responsible for the inspection of Licensed Community Care Facilities and Private Nursing Homes in the province pursuant to the </w:t>
            </w:r>
            <w:r w:rsidRPr="00A4603B">
              <w:rPr>
                <w:i/>
                <w:iCs/>
                <w:lang w:val="en-US"/>
              </w:rPr>
              <w:t>Community Care Facilities and Nursing Homes Act</w:t>
            </w:r>
            <w:r w:rsidRPr="00A4603B">
              <w:rPr>
                <w:lang w:val="en-US"/>
              </w:rPr>
              <w:t xml:space="preserve">. The aim of licensing is to ensure the provision of quality care and to protect the resident through risk reduction.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Operational and Care Service Standards for Private Nursing Homes: </w:t>
            </w:r>
            <w:r w:rsidRPr="00A4603B">
              <w:rPr>
                <w:lang w:val="en-US"/>
              </w:rPr>
              <w:t>Among other stipulations, the Operational and Care Service Standards for Private Nursing Homes put down the several points to be adhered to which are essential for ensuring complete accessibility to the disabled patients.</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Northwest Territory</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lang w:val="en-US"/>
              </w:rPr>
              <w:t xml:space="preserve">Human Rights Act: </w:t>
            </w:r>
            <w:r w:rsidRPr="00A4603B">
              <w:rPr>
                <w:lang w:val="en-US"/>
              </w:rPr>
              <w:t>It imposes on service providers the duty to accommodate the needs of people with disabilities to the point of undue hardship where services are available to the public. Upon application, health care in the NWT covers the cost of mobility equipment and assistive devices for seniors and persons with specified conditions, including many disabilities.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National Building Code: </w:t>
            </w:r>
            <w:r w:rsidRPr="00A4603B">
              <w:rPr>
                <w:lang w:val="en-US"/>
              </w:rPr>
              <w:t>NWT has adopted the National Building Code of Canada and its design standards.</w:t>
            </w:r>
          </w:p>
        </w:tc>
      </w:tr>
      <w:tr w:rsidR="00893821" w:rsidRPr="00A4603B" w:rsidTr="00D04B3A">
        <w:trPr>
          <w:trHeight w:val="440"/>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Nunavut</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Nunavut Human Rights Act: </w:t>
            </w:r>
            <w:r w:rsidRPr="00A4603B">
              <w:rPr>
                <w:lang w:val="en-US"/>
              </w:rPr>
              <w:t>An act that was passed into law by the Legislative Assembly on November 05, 2003 to provide all people of Nunavut with the guarantee of having an equal opportunity to enjoy a full and productive life. There are many specific grounds or personal characteristics that are prohibited under the Act, including disability.</w:t>
            </w:r>
            <w:r w:rsidRPr="00A4603B">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Cs/>
                <w:lang w:val="en-US"/>
              </w:rPr>
            </w:pPr>
            <w:r w:rsidRPr="00A4603B">
              <w:rPr>
                <w:lang w:val="en-US"/>
              </w:rPr>
              <w:t>Physical Access</w:t>
            </w:r>
            <w:r w:rsidRPr="00A4603B">
              <w:rPr>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 xml:space="preserve">National Building Code: </w:t>
            </w:r>
            <w:r w:rsidRPr="00A4603B">
              <w:rPr>
                <w:lang w:val="en-US"/>
              </w:rPr>
              <w:t xml:space="preserve">Nunavut has adopted the National Building code, and National Fire Code with some modifications and additions. </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Yukon</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Human Rights Act: </w:t>
            </w:r>
            <w:r w:rsidRPr="00A4603B">
              <w:rPr>
                <w:lang w:val="en-US"/>
              </w:rPr>
              <w:t>This act requires "reasonable accommodation" for people with disabilities in the areas of employment, housing, public facilities and services, membership in and representation by unions and trade, occupational and professional associations, and publically tendered contracts.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lang w:val="en-US"/>
              </w:rPr>
              <w:t xml:space="preserve">National Building Code: </w:t>
            </w:r>
            <w:r w:rsidRPr="00A4603B">
              <w:rPr>
                <w:lang w:val="en-US"/>
              </w:rPr>
              <w:t>Yukon has adopted the National Building code, National Plumbing Code, and National Fire Code with some modifications and additions.</w:t>
            </w:r>
          </w:p>
        </w:tc>
      </w:tr>
      <w:tr w:rsidR="00893821" w:rsidRPr="00A4603B" w:rsidTr="00D04B3A">
        <w:trPr>
          <w:trHeight w:val="7676"/>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lastRenderedPageBreak/>
              <w:t>United States (Federal)</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u w:val="single"/>
                <w:lang w:val="en-US"/>
              </w:rPr>
            </w:pPr>
            <w:r w:rsidRPr="00A4603B">
              <w:rPr>
                <w:b/>
                <w:bCs/>
                <w:u w:val="single"/>
                <w:lang w:val="en-US"/>
              </w:rPr>
              <w:t>Equality/Human Rights</w:t>
            </w:r>
            <w:r w:rsidRPr="00A4603B">
              <w:rPr>
                <w:b/>
                <w:u w:val="single"/>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Americans with Disabilities Act (ADA) – </w:t>
            </w:r>
            <w:r w:rsidRPr="00A4603B">
              <w:rPr>
                <w:lang w:val="en-US"/>
              </w:rPr>
              <w:t>Title III: Public Accommodations: Public accommodations must comply with basic non-discrimination requirements that prohibit exclusion, segregation, and unequal treatment. They also must comply with specific requirements related to architectural standards for new and altered buildings; reasonable modifications to policies, practices, and procedures; effective communication with people with hearing, vision, or speech disabilities; and other access requirements. Additionally, public accommodations must remove barriers in existing buildings where it is easy to do so without much difficulty or expense, given the public accommodation's resources.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Patient Protection and Affordable Care Act: </w:t>
            </w:r>
            <w:r w:rsidRPr="00A4603B">
              <w:rPr>
                <w:lang w:val="en-US"/>
              </w:rPr>
              <w:t>The United States Access Board is developing accessibility standards for medical diagnostic equipment under the Patient Protection and Affordable Care Act. The Board is also developing guidance on accessible prescription drug container labels.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Architectural Barriers Act: </w:t>
            </w:r>
            <w:r w:rsidRPr="00A4603B">
              <w:rPr>
                <w:lang w:val="en-US"/>
              </w:rPr>
              <w:t>Standards issued under the Architectural Barriers Act (ABA) apply to facilities designed, built, altered, or leased with certain federal funds. Passed in 1968, the ABA is one of the first laws to address access to the built environment. To ensure compliance with the standards, Congress established the Architectural and Transportation Barriers Compliance Board (ATBCB) in Section 502 of the Rehabilitation Act of 1973 (the Rehabilitation Act), 29 USC 792.</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Architectural Barriers Act Accessibility Standards: </w:t>
            </w:r>
            <w:r w:rsidRPr="00A4603B">
              <w:rPr>
                <w:lang w:val="en-US"/>
              </w:rPr>
              <w:t xml:space="preserve">The ABA Accessibility Standards has been adopted by the General Services Administration (GSA), the Department of Defense (DOD), and the US Postal Service (USPS). At this time, these standards apply to all facilities covered by the ABA except residential facilities under the purview of the Department of Housing and Urban Development (HUD).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Fair Housing Act: </w:t>
            </w:r>
            <w:r w:rsidRPr="00A4603B">
              <w:rPr>
                <w:lang w:val="en-US"/>
              </w:rPr>
              <w:t>The Fair Housing Act, as amended in 1988, prohibits housing discrimination based on race, colour, religion, sex, disability, familial status, and national origin. Its coverage includes private housing, housing that receives Federal financial assistance, and State and local government housing.</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Uniform Federal Accessibility Standards: </w:t>
            </w:r>
            <w:r w:rsidRPr="00A4603B">
              <w:rPr>
                <w:lang w:val="en-US"/>
              </w:rPr>
              <w:t>These standards are set for facility accessibility by physically handicapped persons for Federal and federally funded facilities. These standards are to be applied during the design, construction, and alteration of buildings and facilities to the extent required by the Architectural Barriers Act of 1968, as amended.</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Dog Guide Coverage: </w:t>
            </w:r>
            <w:r w:rsidRPr="00A4603B">
              <w:rPr>
                <w:lang w:val="en-US"/>
              </w:rPr>
              <w:t xml:space="preserve">Under the ADA and its implementing regulation, the right of a blind person to be accompanied by a dog guide in places that </w:t>
            </w:r>
            <w:r w:rsidRPr="00A4603B">
              <w:rPr>
                <w:lang w:val="en-US"/>
              </w:rPr>
              <w:lastRenderedPageBreak/>
              <w:t>serve the public is guaranteed. Section 36 of Title III specifies that "service animals," which include dog guides, be covered by the statute.</w:t>
            </w:r>
            <w:r w:rsidRPr="00A4603B">
              <w:rPr>
                <w:b/>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Rehabilitation Act: </w:t>
            </w:r>
            <w:r w:rsidRPr="00A4603B">
              <w:rPr>
                <w:lang w:val="en-US"/>
              </w:rPr>
              <w:t>Section 504: Section 504 states that no otherwise qualified individual with a disability in the US shall, solely by reason of his or her disability, be excluded from the participation in, be denied the benefits of, or be subjected to discrimination under any program or activity receiving Federal financial assistance or under any program or activity conducted by any Executive agency or by the US Postal Service. Section 508: Section 508 requires Federal electronic and information technology to be accessible to people with disabilities, including employees and members of the public. Section 510: This section provides for the United States Access Board to develop access standards for medical diagnostic equipment in consultation with the Food and Drug Administration.</w:t>
            </w:r>
            <w:r w:rsidRPr="00A4603B">
              <w:rPr>
                <w:b/>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Accessibility Standards for Medical Diagnostic Equipment: </w:t>
            </w:r>
            <w:r w:rsidRPr="00A4603B">
              <w:rPr>
                <w:lang w:val="en-US"/>
              </w:rPr>
              <w:t>The Board is developing accessibility standards for medical diagnostic equipment, including examination tables and chairs, weight scales, radiological equipment, and mammography equipment under the Patient Protection and Affordable Care Act.</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Food and Drug Administration Safety and Innovation Act:</w:t>
            </w:r>
            <w:r w:rsidRPr="00A4603B">
              <w:rPr>
                <w:lang w:val="en-US"/>
              </w:rPr>
              <w:t xml:space="preserve"> The United States Access Board is leading an effort to develop advisory guidance on making prescription- drug container labels accessible to people who are blind or visually impaired or who are elderly. This initiative is authorized by the Food and Drug Administration Safety and Innovation Act. The Act includes provisions that establish national best practices for retail and other pharmacies to use in providing accessible prescription drug labeling to customers with vision loss. This includes proper dosage, the name of the medication, accompanying information about possible side effects, and more. The provisions in the Food and Drug Administration Safety and Innovation Act will serve as a valuable supplement to existing requirements under the Americans with Disabilities Act and other federal and state laws imposing obligations on pharmacies to ensure effective communication and barrier removal for people with disabilities.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Developmental Disabilities Assistance and Bill of Rights Act of 2000:</w:t>
            </w:r>
            <w:r w:rsidRPr="00A4603B">
              <w:rPr>
                <w:lang w:val="en-US"/>
              </w:rPr>
              <w:t xml:space="preserve"> The law today remains the main route by which grant monies are used to improve the lives of people with developmental disabilities, but a series of amendments over the past four decades reflects a modified focus from service delivery and demonstration to public policy advocacy (ADA).</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3095"/>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California</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California Building Code: </w:t>
            </w:r>
            <w:r w:rsidRPr="00A4603B">
              <w:rPr>
                <w:lang w:val="en-US"/>
              </w:rPr>
              <w:t>California's Building Standards Codes (Physical Access Regulations) are found in Title 24 of the California Code of Regulations (CCR), and are designed to comply with the requirements of the Americans with Disabilities Act (ADA) and State statutes. Tax deductions are available for individuals who repair or remodel buildings or vehicles in order to increase access for persons with disabilities, as long as they comply with state or federal access standards.</w:t>
            </w:r>
            <w:r w:rsidRPr="00A4603B">
              <w:rPr>
                <w:b/>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Hill-Burton Act: </w:t>
            </w:r>
            <w:r w:rsidRPr="00A4603B">
              <w:rPr>
                <w:lang w:val="en-US"/>
              </w:rPr>
              <w:t>The Hill-Burton Act provides public funds for hospital construction. Each hospital, which accepts Hill-Burton money, is required by law to give a reasonable amount of care at no cost or low cost to persons unable to pay for hospital services.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Right to Medical Treatment: </w:t>
            </w:r>
            <w:r w:rsidRPr="00A4603B">
              <w:rPr>
                <w:lang w:val="en-US"/>
              </w:rPr>
              <w:t>Health care professionals, such as physicians, social workers, psychologists, physical therapists, and nurses licensed by the state, are subject to disciplinary action if they discriminate against people who are physically disabled.</w:t>
            </w:r>
            <w:r w:rsidRPr="00A4603B">
              <w:rPr>
                <w:b/>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Joint Regulations for Handicapped Children: </w:t>
            </w:r>
            <w:r w:rsidRPr="00A4603B">
              <w:rPr>
                <w:lang w:val="en-US"/>
              </w:rPr>
              <w:t xml:space="preserve">If a child applies to the California Children's Services Program pursuant to Section 123865 or 123875 of the Health and Safety Code, the State Department of Health Care Services shall determine whether the child needs medically necessary occupational therapy or physical therapy.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Service Animal – California Civil Rights Code: </w:t>
            </w:r>
            <w:r w:rsidRPr="00A4603B">
              <w:rPr>
                <w:lang w:val="en-US"/>
              </w:rPr>
              <w:t xml:space="preserve">California statutes of 1968 guarantees a blind person the legal right to be accompanied by a specially trained dog guide in all public accommodations and on all public transportation. </w:t>
            </w:r>
          </w:p>
        </w:tc>
      </w:tr>
      <w:tr w:rsidR="00893821" w:rsidRPr="00A4603B" w:rsidTr="00D04B3A">
        <w:trPr>
          <w:trHeight w:val="917"/>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t>New York</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New York State Human Rights Law: </w:t>
            </w:r>
            <w:r w:rsidRPr="00A4603B">
              <w:rPr>
                <w:lang w:val="en-US"/>
              </w:rPr>
              <w:t>Under this law, The New York state has the responsibility to act to assure that every individual within the state is afforded an equal opportunity to enjoy a full and productive life despite, inter alia, any physical disability.</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Dog Guide Coverage – Civil Rights Law: </w:t>
            </w:r>
            <w:r w:rsidRPr="00A4603B">
              <w:rPr>
                <w:lang w:val="en-US"/>
              </w:rPr>
              <w:t>Guarantees a blind person the legal right to be accompanied by a dog guide in all public accommodations, in employment, and on public transportation.</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United Kingdom</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Equality Act, 2010: </w:t>
            </w:r>
            <w:r w:rsidRPr="00A4603B">
              <w:rPr>
                <w:lang w:val="en-US"/>
              </w:rPr>
              <w:t>Health and social care services covered by the laws under the Equality Act 2010 include: all NHS providers (e.g. hospitals), all NHS commissioners (e.g. GP practices), those supporting elderly and disabled people in their homes, care in day centres, and residential or nursing homes, those caring for children who cannot live with their parents.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lastRenderedPageBreak/>
              <w:t xml:space="preserve">Guidance Autism Strategy under Autism Act: </w:t>
            </w:r>
            <w:r w:rsidRPr="00A4603B">
              <w:rPr>
                <w:lang w:val="en-US"/>
              </w:rPr>
              <w:t>As set out in section 3 of the Autism Act 2009, it is to be treated as though it were guidance issued under section 7 of the Local Authority Social Service Act 1970 (LASS Act). This guidance focuses only on health and social care, and provides the next step towards delivering a system that provides personalized care for all adults with autism that reflects their health and care needs, supports carers, and encourages strong joint arrangements and local partnerships.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Disability Discrimination Act 1995:</w:t>
            </w:r>
            <w:r w:rsidRPr="00A4603B">
              <w:rPr>
                <w:lang w:val="en-US"/>
              </w:rPr>
              <w:t xml:space="preserve"> it is unlawful to deny access to goods and services to disabled people. From October 1, 2004, it is the statutory duty of providers of services to alter buildings to enable access for all, wherever it is reasonable to do so.</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Disability Discrimination Act 2005: </w:t>
            </w:r>
            <w:r w:rsidRPr="00A4603B">
              <w:rPr>
                <w:lang w:val="en-US"/>
              </w:rPr>
              <w:t>Designed to extend rights for disabled people, and clarify and extend provisions of the DDA 1995. It extends the definition of disability, and gives protection against discrimination for people in public service, such as councillors. There are strong new disability equality duties for the public sector in delivering its services. Amendments on housing adaptations are also introduced.</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Building Act 1984: </w:t>
            </w:r>
            <w:r w:rsidRPr="00A4603B">
              <w:rPr>
                <w:lang w:val="en-US"/>
              </w:rPr>
              <w:t>The Building Act 1984 is the primary legislation under which the Building Regulations and other secondary legislation are made.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BS8300 "The Design of Buildings and their approaches to meet the needs of Disabled People - Code of Practice":</w:t>
            </w:r>
            <w:r w:rsidRPr="00A4603B">
              <w:rPr>
                <w:lang w:val="en-US"/>
              </w:rPr>
              <w:t xml:space="preserve"> Intended to apply to new build, this is a valuable benchmark, with detailed dimensions and design considerations that can apply to recommended adaptations to existing buildings. It was issued in 2002, and formed the basis for extended Code of Practice for DDA, and altered Part M.</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The Building Regulations 2010: </w:t>
            </w:r>
            <w:r w:rsidRPr="00A4603B">
              <w:rPr>
                <w:lang w:val="en-US"/>
              </w:rPr>
              <w:t>It contains the procedural regulations that set out what kind of work needs Building Regulations approval and how that approval should be obtained, and technical requirements that set the standards that should be achieved by the building work.</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Part M of the Building Regulations: </w:t>
            </w:r>
            <w:r w:rsidRPr="00A4603B">
              <w:rPr>
                <w:lang w:val="en-US"/>
              </w:rPr>
              <w:t>It is a move away from the narrow aim of making buildings accessible to, and usable by, disabled people towards an aim to make buildings accessible to, and usable by, everyone - including people with disabilities. Much closer dovetailing with the aims of the Disability Discrimination Act 1995, and good practice access design guides included rather than the outdated minimum standards in old Part M.</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lang w:val="en-US"/>
              </w:rPr>
              <w:t xml:space="preserve">Health Technical Memorandum 05-02: Firecode Guidance in Support of Functional Provisions (Fire Safety in the Design of Healthcare Premises): Health Technical Memorandum (HTM) 05-02 and the series of which it is part provide specific guidance on fire safety in the design of new healthcare premises and major new extensions to existing healthcare premises. The guidance is applicable to all premises regulated by the Care Quality </w:t>
            </w:r>
            <w:r w:rsidRPr="00A4603B">
              <w:rPr>
                <w:lang w:val="en-US"/>
              </w:rPr>
              <w:lastRenderedPageBreak/>
              <w:t>Commission (CQC), irrespective of ownership that provides the following types of service.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Planning Code: </w:t>
            </w:r>
            <w:r w:rsidRPr="00A4603B">
              <w:rPr>
                <w:lang w:val="en-US"/>
              </w:rPr>
              <w:t>It is designed to encourage local planning authorities and developers alike to consider access for disabled people, as an inclusive part of initial design. It also stresses the importance of consultation on disability issues when formulating development plans and preparing planning applications.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rPr>
              <w:t xml:space="preserve">All Wales Standards for Accessible Communication and Information for People with Sensory Loss: </w:t>
            </w:r>
            <w:r w:rsidRPr="00A4603B">
              <w:rPr>
                <w:lang w:val="en-US"/>
              </w:rPr>
              <w:t>The purpose of these standards is to ensure that the communication and information needs of people with a sensory loss are met when accessing healthcare services. These standards apply to adults, young people and children and reflect best practice in the delivery of accessible information and communication for people with sensory loss.</w:t>
            </w:r>
            <w:r w:rsidRPr="00A4603B">
              <w:t xml:space="preserve">  </w:t>
            </w:r>
          </w:p>
        </w:tc>
      </w:tr>
      <w:tr w:rsidR="00893821" w:rsidRPr="00A4603B" w:rsidTr="00D04B3A">
        <w:trPr>
          <w:trHeight w:val="818"/>
        </w:trPr>
        <w:tc>
          <w:tcPr>
            <w:cnfStyle w:val="001000000000" w:firstRow="0" w:lastRow="0" w:firstColumn="1" w:lastColumn="0" w:oddVBand="0" w:evenVBand="0" w:oddHBand="0" w:evenHBand="0" w:firstRowFirstColumn="0" w:firstRowLastColumn="0" w:lastRowFirstColumn="0" w:lastRowLastColumn="0"/>
            <w:tcW w:w="904" w:type="pct"/>
          </w:tcPr>
          <w:p w:rsidR="00893821" w:rsidRPr="00A4603B" w:rsidRDefault="00893821" w:rsidP="005A3CF1">
            <w:pPr>
              <w:rPr>
                <w:b w:val="0"/>
                <w:bCs w:val="0"/>
                <w:lang w:val="en-US"/>
              </w:rPr>
            </w:pPr>
            <w:r w:rsidRPr="00A4603B">
              <w:rPr>
                <w:b w:val="0"/>
                <w:bCs w:val="0"/>
                <w:lang w:val="en-US"/>
              </w:rPr>
              <w:lastRenderedPageBreak/>
              <w:t>Ireland</w:t>
            </w:r>
          </w:p>
        </w:tc>
        <w:tc>
          <w:tcPr>
            <w:tcW w:w="4096" w:type="pct"/>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u w:val="single"/>
                <w:lang w:val="en-US"/>
              </w:rPr>
            </w:pPr>
            <w:r w:rsidRPr="00A4603B">
              <w:rPr>
                <w:b/>
                <w:lang w:val="en-US"/>
              </w:rPr>
              <w:t xml:space="preserve">Equal Status Acts 2000 to 2011: </w:t>
            </w:r>
            <w:r w:rsidRPr="00A4603B">
              <w:rPr>
                <w:lang w:val="en-US"/>
              </w:rPr>
              <w:t>Prohibit discrimination in the provision of goods and services on the grounds of disability. The Acts require that service providers accommodate the needs of people with disabilities by making reasonable changes to the service, including special treatment and special facilities, where this is necessary.</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u w:val="single"/>
                <w:lang w:val="en-US"/>
              </w:rPr>
            </w:pPr>
            <w:r w:rsidRPr="00A4603B">
              <w:rPr>
                <w:b/>
                <w:lang w:val="en-US"/>
              </w:rPr>
              <w:t xml:space="preserve">Disability Act 2005: </w:t>
            </w:r>
            <w:r w:rsidRPr="00A4603B">
              <w:rPr>
                <w:lang w:val="en-US"/>
              </w:rPr>
              <w:t>requires organizations providing services and information to accommodate the needs of people with disabilities. Health service providers are required to accommodate the needs of people with disabilities, including the provision of information in formats accessible to disabled people.</w:t>
            </w:r>
            <w:r w:rsidRPr="00A4603B">
              <w:rPr>
                <w:b/>
                <w:lang w:val="en-US"/>
              </w:rPr>
              <w:t xml:space="preserve"> </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Australia</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u w:val="single"/>
                <w:lang w:val="en-US"/>
              </w:rPr>
            </w:pPr>
            <w:r w:rsidRPr="00A4603B">
              <w:rPr>
                <w:b/>
                <w:lang w:val="en-US"/>
              </w:rPr>
              <w:t xml:space="preserve">Disability Discrimination Act 1992: </w:t>
            </w:r>
            <w:r w:rsidRPr="00A4603B">
              <w:rPr>
                <w:lang w:val="en-US"/>
              </w:rPr>
              <w:t>Disability Discrimination Act 1992 (the "DDA") aims, as far as possible, to promote the rights of people with a disability to participate equally in all areas of life. It does this by making it unlawful to discriminate against a person with a disability, subject to a number of exceptions intended to balance the rights of people with disabilities with those of other persons.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National Construction Code of Australia: </w:t>
            </w:r>
            <w:r w:rsidRPr="00A4603B">
              <w:rPr>
                <w:lang w:val="en-US"/>
              </w:rPr>
              <w:t>The NCC is a uniform set of technical provisions for building work and plumbing and drainage installations throughout Australia. The NCC comprises the Building Code of Australia (BCA), Volume One and Two; and the Plumbing Code of Australia (PCA), as Volume Three.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Building Code of Australia: </w:t>
            </w:r>
            <w:r w:rsidRPr="00A4603B">
              <w:rPr>
                <w:lang w:val="en-US"/>
              </w:rPr>
              <w:t xml:space="preserve">The Building Code of Australia is produced and maintained by the Australian Building Codes Board (ABCB) on behalf of </w:t>
            </w:r>
            <w:r w:rsidRPr="00A4603B">
              <w:rPr>
                <w:lang w:val="en-US"/>
              </w:rPr>
              <w:lastRenderedPageBreak/>
              <w:t>the Australian Government and State and Territory Governments. The BCA has been given the status of building regulation by all States and Territories.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Disability (Access to Premises - Buildings) Standards 2010: </w:t>
            </w:r>
            <w:r w:rsidRPr="00A4603B">
              <w:rPr>
                <w:lang w:val="en-US"/>
              </w:rPr>
              <w:t>The Premises Standards came into effect on May 1, 2011. Every five years the Minister for Industry and Science must, in consultation with the Attorney-General, review the effectiveness of the Premises Standards in achieving their objectives and identify any necessary amendments.</w:t>
            </w:r>
            <w:r w:rsidRPr="00A4603B">
              <w:rPr>
                <w:b/>
                <w:lang w:val="en-US"/>
              </w:rPr>
              <w:t xml:space="preserve"> </w:t>
            </w:r>
          </w:p>
        </w:tc>
      </w:tr>
      <w:tr w:rsidR="00893821" w:rsidRPr="00A4603B" w:rsidTr="00D04B3A">
        <w:trPr>
          <w:trHeight w:val="1250"/>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lastRenderedPageBreak/>
              <w:t>Egypt</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lang w:val="en-US"/>
              </w:rPr>
              <w:t xml:space="preserve">Egyptian Constitution of 2013 Article (81): </w:t>
            </w:r>
            <w:r w:rsidRPr="00A4603B">
              <w:rPr>
                <w:lang w:val="en-US"/>
              </w:rPr>
              <w:t>The said article of the Egyptian constitution states that the state is committed to ensuring the rights of persons with disabilities and provides job opportunities for them with the allocation of a certain percentage and configure utilities, the environment around them and the exercise of all political rights and their integration with other citizens pursuant to the principles of equality, justice and equal opportunities.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lang w:val="en-US"/>
              </w:rPr>
              <w:t xml:space="preserve">Rehabilitation of Disabled Persons: </w:t>
            </w:r>
            <w:r w:rsidRPr="00A4603B">
              <w:rPr>
                <w:lang w:val="en-US"/>
              </w:rPr>
              <w:t>During the 1970s the Egyptian Ministry of Social Affairs (MoSA) introduced the Rehabilitation Law 39 (1975), later amended under Law 49 (1982), in order to bring together disability policy under one statute. It focuses on rehabilitation of disable persons through several measures.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lang w:val="en-US"/>
              </w:rPr>
              <w:t xml:space="preserve">Law No. 12 of 1996, the Provisions of Disabled Child Protection: </w:t>
            </w:r>
            <w:r w:rsidRPr="00A4603B">
              <w:rPr>
                <w:lang w:val="en-US"/>
              </w:rPr>
              <w:t>Under this law a disabled child has the right to rehabilitation and habilitation intended delivery of social services, psychological, medical, and educational and professional that need to be provided to the disabled child and his family and enable him to overcome the effects arising from the inability to lead the state and rehabilitation services and prosthetic devices in the amounts listed for this purpose in the state budget.</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Mental Health</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Law for the Care of Mental Patients:</w:t>
            </w:r>
            <w:r w:rsidRPr="00A4603B">
              <w:rPr>
                <w:lang w:val="en-US"/>
              </w:rPr>
              <w:t xml:space="preserve"> The Egyptian Parliament adopted in late April 2009 a new law entitled the “Law for the Care of Mental Patients.” The new law obliges the Minister of Health to issue implementing regulations.</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Israel</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Equal Rights for People with Disabilities (State Participation in Financing Adjustments) Regulations 5766 -2006: </w:t>
            </w:r>
            <w:r w:rsidRPr="00A4603B">
              <w:rPr>
                <w:lang w:val="en-US"/>
              </w:rPr>
              <w:t>According to these regulations, employers are entitled to a refund from the Government for expenses incurred in adjusting the workplace to accommodate the needs of disabled employees.</w:t>
            </w:r>
            <w:r w:rsidRPr="00A4603B">
              <w:rPr>
                <w:b/>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“A disabled person is entitled to accessibility to public places and </w:t>
            </w:r>
            <w:r w:rsidRPr="00A4603B">
              <w:rPr>
                <w:b/>
                <w:lang w:val="en-US"/>
              </w:rPr>
              <w:lastRenderedPageBreak/>
              <w:t xml:space="preserve">public services”: </w:t>
            </w:r>
            <w:r w:rsidRPr="00A4603B">
              <w:rPr>
                <w:lang w:val="en-US"/>
              </w:rPr>
              <w:t>this is the letter of the equal rights law for people with disabilities. Accessibility is defined under the law as the “possibility to reach any location, find his way around in it, use and benefit from the service, receive information which is provided or produced as a part of the location or the service or in their context, use their facilities and participate in the activities taking place in them, all of which shall be done in an egalitarian, dignified, independent and safe manner;” Disabled person is defined under the law as “a person with a physical, mental or cerebral disability, including cognitive disability, whether permanent or temporary, due to which the person’s function is substantially impaired in one or more of the main aspects of daily life.”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lang w:val="en-US"/>
              </w:rPr>
              <w:t xml:space="preserve">The Israel Building Code, 2015: </w:t>
            </w:r>
            <w:r w:rsidRPr="00A4603B">
              <w:rPr>
                <w:lang w:val="en-US"/>
              </w:rPr>
              <w:t>The Building Code is a set of regulations that defines the minimum necessary requirements to ensure the quality and safety for planning and construction of structures from the perspective of the State and the people of Israel. The Building Code will replace the building and planning regulations that exist at present and will be binding as the present regulations are binding.</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Planning and Construction Law, 5726- 1965: </w:t>
            </w:r>
            <w:r w:rsidRPr="00A4603B">
              <w:rPr>
                <w:lang w:val="en-US"/>
              </w:rPr>
              <w:t>The Planning and Construction Law, 5726- 1965 deals with the accessibility related aspects in buildings, specifically Chapter E1: special arrangements for people with disabilities in public buildings; Chapter E1a: accessibility to people with disabilities; Section 158a determining the obligation to install appropriate elevators in high buildings or residential buildings.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Property Law 5762 – 2002 (Amendment No. 23): </w:t>
            </w:r>
            <w:r w:rsidRPr="00A4603B">
              <w:rPr>
                <w:lang w:val="en-US"/>
              </w:rPr>
              <w:t>The Law facilitates the implementation of modifications for disabled people in residential properties.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Long Term Care Insurance Benefits Law: </w:t>
            </w:r>
            <w:r w:rsidRPr="00A4603B">
              <w:rPr>
                <w:lang w:val="en-US"/>
              </w:rPr>
              <w:t>The Long Term Care Insurance Benefits Law entitles disabled seniors to a personal home care benefit through the National Insurance Institute (Social Security Administration) if they pass a dependence assessment and an income test. The benefit may be used to hire a personal care giver, visit a geriatric day centre, purchase absorbent materials, and laundry services, or lease alarm transmitters.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u w:val="single"/>
                <w:lang w:val="en-US"/>
              </w:rPr>
            </w:pPr>
            <w:r w:rsidRPr="00A4603B">
              <w:rPr>
                <w:b/>
                <w:u w:val="single"/>
                <w:lang w:val="en-US"/>
              </w:rPr>
              <w:t>Mental Health</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rPr>
              <w:t>Welfare (Treatment of Persons with Mental Disabilities) Law, 5729-1969:</w:t>
            </w:r>
            <w:r w:rsidRPr="00A4603B">
              <w:t xml:space="preserve"> The Welfare (Treatment of Persons with Mental Disabilities) Law, 5729-1969, provides that when determining the type of housing framework, priority should be given to Community Housing.</w:t>
            </w:r>
          </w:p>
        </w:tc>
      </w:tr>
      <w:tr w:rsidR="00893821" w:rsidRPr="00A4603B" w:rsidTr="00D04B3A">
        <w:trPr>
          <w:trHeight w:val="404"/>
        </w:trPr>
        <w:tc>
          <w:tcPr>
            <w:cnfStyle w:val="001000000000" w:firstRow="0" w:lastRow="0" w:firstColumn="1" w:lastColumn="0" w:oddVBand="0" w:evenVBand="0" w:oddHBand="0" w:evenHBand="0" w:firstRowFirstColumn="0" w:firstRowLastColumn="0" w:lastRowFirstColumn="0" w:lastRowLastColumn="0"/>
            <w:tcW w:w="904" w:type="pct"/>
            <w:hideMark/>
          </w:tcPr>
          <w:p w:rsidR="00893821" w:rsidRPr="00A4603B" w:rsidRDefault="00893821" w:rsidP="005A3CF1">
            <w:pPr>
              <w:rPr>
                <w:b w:val="0"/>
                <w:bCs w:val="0"/>
                <w:lang w:val="en-US"/>
              </w:rPr>
            </w:pPr>
            <w:r w:rsidRPr="00A4603B">
              <w:rPr>
                <w:b w:val="0"/>
                <w:bCs w:val="0"/>
                <w:lang w:val="en-US"/>
              </w:rPr>
              <w:lastRenderedPageBreak/>
              <w:t>Jordan</w:t>
            </w:r>
          </w:p>
        </w:tc>
        <w:tc>
          <w:tcPr>
            <w:tcW w:w="409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Law for the Welfare of Disabled Persons: </w:t>
            </w:r>
            <w:r w:rsidRPr="00A4603B">
              <w:rPr>
                <w:lang w:val="en-US"/>
              </w:rPr>
              <w:t>This law promulgates the right of disabled persons to Preventative Health Care and Medical Treatment.</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Germany</w:t>
            </w:r>
          </w:p>
        </w:tc>
        <w:tc>
          <w:tcPr>
            <w:tcW w:w="409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The Act on the Equalization of Disabled Persons, 2002: </w:t>
            </w:r>
            <w:r w:rsidRPr="00A4603B">
              <w:rPr>
                <w:lang w:val="en-US"/>
              </w:rPr>
              <w:t xml:space="preserve">This Act regulates the competences of the federal state in terms of accessibility of federal buildings and communication with federal authorities. It also acknowledges German Sign Language, thus giving deaf people the right to an interpreter when dealing with federal authorities.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lang w:val="en-US"/>
              </w:rPr>
            </w:pPr>
            <w:r w:rsidRPr="00A4603B">
              <w:rPr>
                <w:b/>
                <w:lang w:val="en-US"/>
              </w:rPr>
              <w:t xml:space="preserve">General Equality Act, 2006: </w:t>
            </w:r>
            <w:r w:rsidRPr="00A4603B">
              <w:rPr>
                <w:lang w:val="en-US"/>
              </w:rPr>
              <w:t>This first comprehensive anti-discrimination law in Germany constitutes a milestone for the legal protection against unjustified unequal treatment of various social groups and avoids to a large extent the creation of a certain hierarchy of different grounds of discrimination.</w:t>
            </w:r>
          </w:p>
        </w:tc>
      </w:tr>
      <w:tr w:rsidR="00893821" w:rsidRPr="00A4603B" w:rsidTr="00D04B3A">
        <w:trPr>
          <w:trHeight w:val="935"/>
        </w:trPr>
        <w:tc>
          <w:tcPr>
            <w:cnfStyle w:val="001000000000" w:firstRow="0" w:lastRow="0" w:firstColumn="1" w:lastColumn="0" w:oddVBand="0" w:evenVBand="0" w:oddHBand="0" w:evenHBand="0" w:firstRowFirstColumn="0" w:firstRowLastColumn="0" w:lastRowFirstColumn="0" w:lastRowLastColumn="0"/>
            <w:tcW w:w="904" w:type="pct"/>
          </w:tcPr>
          <w:p w:rsidR="00893821" w:rsidRPr="00A4603B" w:rsidRDefault="00893821" w:rsidP="005A3CF1">
            <w:pPr>
              <w:rPr>
                <w:b w:val="0"/>
                <w:bCs w:val="0"/>
                <w:lang w:val="en-US"/>
              </w:rPr>
            </w:pPr>
            <w:r w:rsidRPr="00A4603B">
              <w:rPr>
                <w:b w:val="0"/>
                <w:bCs w:val="0"/>
                <w:lang w:val="en-US"/>
              </w:rPr>
              <w:t>Singapore</w:t>
            </w:r>
          </w:p>
        </w:tc>
        <w:tc>
          <w:tcPr>
            <w:tcW w:w="4096" w:type="pct"/>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lang w:val="en-US"/>
              </w:rPr>
              <w:t xml:space="preserve">Children &amp; Young Persons Act: </w:t>
            </w:r>
            <w:r w:rsidRPr="00A4603B">
              <w:t>The Children &amp; Young Persons Act safeguards the care, protection, and rehabilitation of our children and young persons who are below 16 years of age. All cases of children residing in Homes will be reviewed by a Review Board comprising independent members from the community, to ensure that there are proper care plans in place for children to meet their long-term needs. Members of the Review Board will also conduct visits to the Homes to ensure that residents have a safe and conducive environment that meets their care and rehabilitation needs.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i/>
                <w:lang w:val="en-US"/>
              </w:rPr>
            </w:pPr>
            <w:r w:rsidRPr="00A4603B">
              <w:rPr>
                <w:b/>
                <w:lang w:val="en-US"/>
              </w:rPr>
              <w:t xml:space="preserve">Code on Accessibility in the Built Environment 2013: </w:t>
            </w:r>
            <w:r w:rsidRPr="00A4603B">
              <w:t>The Code sets out the essential requirements and guidelines for making the built environment accessible and usable to persons with disabilities and families with young children</w:t>
            </w:r>
          </w:p>
        </w:tc>
      </w:tr>
      <w:tr w:rsidR="00893821" w:rsidRPr="00A4603B" w:rsidTr="00D04B3A">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904" w:type="pct"/>
            <w:tcBorders>
              <w:top w:val="none" w:sz="0" w:space="0" w:color="auto"/>
              <w:left w:val="none" w:sz="0" w:space="0" w:color="auto"/>
              <w:bottom w:val="none" w:sz="0" w:space="0" w:color="auto"/>
            </w:tcBorders>
          </w:tcPr>
          <w:p w:rsidR="00893821" w:rsidRPr="00A4603B" w:rsidRDefault="00893821" w:rsidP="005A3CF1">
            <w:pPr>
              <w:rPr>
                <w:b w:val="0"/>
                <w:bCs w:val="0"/>
                <w:lang w:val="en-US"/>
              </w:rPr>
            </w:pPr>
            <w:r w:rsidRPr="00A4603B">
              <w:rPr>
                <w:b w:val="0"/>
                <w:bCs w:val="0"/>
                <w:lang w:val="en-US"/>
              </w:rPr>
              <w:t>New Zealand</w:t>
            </w:r>
          </w:p>
        </w:tc>
        <w:tc>
          <w:tcPr>
            <w:tcW w:w="4096" w:type="pct"/>
            <w:tcBorders>
              <w:top w:val="none" w:sz="0" w:space="0" w:color="auto"/>
              <w:bottom w:val="none" w:sz="0" w:space="0" w:color="auto"/>
              <w:right w:val="none" w:sz="0" w:space="0" w:color="auto"/>
            </w:tcBorders>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u w:val="single"/>
                <w:lang w:val="en-US"/>
              </w:rPr>
            </w:pPr>
            <w:r w:rsidRPr="00A4603B">
              <w:rPr>
                <w:b/>
                <w:bCs/>
                <w:u w:val="single"/>
                <w:lang w:val="en-US"/>
              </w:rPr>
              <w:t>Equality/Human Rights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i/>
                <w:lang w:val="en-US"/>
              </w:rPr>
            </w:pPr>
            <w:r w:rsidRPr="00A4603B">
              <w:rPr>
                <w:b/>
                <w:lang w:val="en-US"/>
              </w:rPr>
              <w:t xml:space="preserve">New Zealand Public Health and Disability Act, 2000: </w:t>
            </w:r>
            <w:r w:rsidRPr="00A4603B">
              <w:t>As part of this act, the government is expected to determine a strategy for health services, called the New Zealand health strategy, to provide the framework for the Government's overall direction of the health sector in improving the health of people and communities.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u w:val="single"/>
                <w:lang w:val="en-US"/>
              </w:rPr>
              <w:t>Physical Access</w:t>
            </w:r>
            <w:r w:rsidRPr="00A4603B">
              <w:rPr>
                <w:b/>
                <w:bCs/>
                <w:lang w:val="en-US"/>
              </w:rPr>
              <w:t xml:space="preserv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i/>
                <w:lang w:val="en-US"/>
              </w:rPr>
            </w:pPr>
            <w:r w:rsidRPr="00A4603B">
              <w:rPr>
                <w:b/>
                <w:lang w:val="en-US"/>
              </w:rPr>
              <w:t xml:space="preserve">Building Access Review 2014: </w:t>
            </w:r>
            <w:r w:rsidRPr="00A4603B">
              <w:t>The Building Access Review, which was announced in December 2013, is investigating how the regulatory system implements access requirements for buildings and how disabled people experience the results. A long-term plan is being developed by the Ministry of Business, Innovation and Employment and the Office for Disability Issues to identify opportunities to improve the system’s performance.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i/>
                <w:lang w:val="en-US"/>
              </w:rPr>
            </w:pPr>
            <w:r w:rsidRPr="00A4603B">
              <w:rPr>
                <w:b/>
                <w:lang w:val="en-US"/>
              </w:rPr>
              <w:t xml:space="preserve">Building Regulations 1992: </w:t>
            </w:r>
            <w:r w:rsidRPr="00A4603B">
              <w:t xml:space="preserve">Part 3, Schedule 1, Clause D1, and D2 of the </w:t>
            </w:r>
            <w:r w:rsidRPr="00A4603B">
              <w:lastRenderedPageBreak/>
              <w:t>Building Regulations 1992, deal with the accessibility related requirements in a building.</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lang w:val="en-US"/>
              </w:rPr>
              <w:t xml:space="preserve">Health and Disability Services (Safety) Act, 2001: </w:t>
            </w:r>
            <w:r w:rsidRPr="00A4603B">
              <w:rPr>
                <w:lang w:val="en-US"/>
              </w:rPr>
              <w:t>Service providers seeking certification under the Health and Disability Services (Safety) Act 2001 will need to demonstrate that their service complies with all relevant approved standards.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i/>
                <w:lang w:val="en-US"/>
              </w:rPr>
            </w:pPr>
            <w:r w:rsidRPr="00A4603B">
              <w:rPr>
                <w:b/>
                <w:lang w:val="en-US"/>
              </w:rPr>
              <w:t xml:space="preserve">Health and Disability Services Standards, 2008: </w:t>
            </w:r>
            <w:r w:rsidRPr="00A4603B">
              <w:t>These revised sector-agreed Standards are the result of three years extensive collaboration with many groups including consumers, providers, government and non-government agencies and the Ministry of Health. They have been structured in a new way that will make it easier to review and update parts of them in the future, in order to keep pace with new trends and developments.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p>
        </w:tc>
      </w:tr>
    </w:tbl>
    <w:p w:rsidR="00893821" w:rsidRPr="00A4603B" w:rsidRDefault="00893821" w:rsidP="00893821">
      <w:pPr>
        <w:rPr>
          <w:lang w:val="en-US"/>
        </w:rPr>
      </w:pPr>
    </w:p>
    <w:p w:rsidR="00893821" w:rsidRPr="00A4603B" w:rsidRDefault="00893821" w:rsidP="00FE1FA4">
      <w:pPr>
        <w:pStyle w:val="Heading4"/>
      </w:pPr>
      <w:bookmarkStart w:id="29" w:name="_Toc424669248"/>
      <w:r w:rsidRPr="00A4603B">
        <w:t>Policies and Strategies</w:t>
      </w:r>
      <w:bookmarkEnd w:id="29"/>
    </w:p>
    <w:p w:rsidR="00893821" w:rsidRPr="00A4603B" w:rsidRDefault="00893821" w:rsidP="00893821">
      <w:r w:rsidRPr="00A4603B">
        <w:t>The following table identifies foundational policies and strategies that are used to guide the equal access for persons with disabilities in the healthcare sector.</w:t>
      </w:r>
    </w:p>
    <w:p w:rsidR="00893821" w:rsidRPr="00A4603B" w:rsidRDefault="00893821" w:rsidP="00893821"/>
    <w:tbl>
      <w:tblPr>
        <w:tblStyle w:val="LightList"/>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Caption w:val="Foundational Policies and Strategies"/>
        <w:tblDescription w:val="This table identifies foundational policies and strategies that are used to guide the equal access for persons with disabilities in the healthcare sector."/>
      </w:tblPr>
      <w:tblGrid>
        <w:gridCol w:w="1791"/>
        <w:gridCol w:w="8407"/>
      </w:tblGrid>
      <w:tr w:rsidR="00893821" w:rsidRPr="00A4603B" w:rsidTr="00D04B3A">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Jurisdiction</w:t>
            </w:r>
          </w:p>
        </w:tc>
        <w:tc>
          <w:tcPr>
            <w:tcW w:w="4486" w:type="pct"/>
            <w:hideMark/>
          </w:tcPr>
          <w:p w:rsidR="00893821" w:rsidRPr="00A4603B" w:rsidRDefault="00893821" w:rsidP="005A3CF1">
            <w:pPr>
              <w:cnfStyle w:val="100000000000" w:firstRow="1" w:lastRow="0" w:firstColumn="0" w:lastColumn="0" w:oddVBand="0" w:evenVBand="0" w:oddHBand="0" w:evenHBand="0" w:firstRowFirstColumn="0" w:firstRowLastColumn="0" w:lastRowFirstColumn="0" w:lastRowLastColumn="0"/>
              <w:rPr>
                <w:b w:val="0"/>
                <w:bCs w:val="0"/>
                <w:lang w:val="en-US"/>
              </w:rPr>
            </w:pPr>
            <w:r w:rsidRPr="00A4603B">
              <w:rPr>
                <w:b w:val="0"/>
                <w:bCs w:val="0"/>
              </w:rPr>
              <w:t>Foundational Policies and Strategies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Canada (Federal)</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Pan-Canadian Health Human Resource Strategy</w:t>
            </w:r>
            <w:r w:rsidRPr="00A4603B">
              <w:t>: The Pan Canadian HHRS was launched in 2004/2005 to support effective co-ordination and collaborative health human resources planning across the country. It focuses on improving Canadians’ access to sustainable, publicly funded health care services for all Canadians.</w:t>
            </w:r>
          </w:p>
        </w:tc>
      </w:tr>
      <w:tr w:rsidR="00893821" w:rsidRPr="00A4603B" w:rsidTr="00FE1FA4">
        <w:trPr>
          <w:trHeight w:val="1124"/>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British Columbia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Accessibility 2024: </w:t>
            </w:r>
            <w:r w:rsidRPr="00A4603B">
              <w:t xml:space="preserve">From December 3, 2013 to March 11, 2014, the province of B.C. held a public consultation to provide British Columbians with a disability, their families and members of the public the opportunity to share their thoughts on what government, businesses and communities can do to reduce barriers and increase accessibility for people living with disabilities. In June, 2014, the Premier released Accessibility 2024: Making B.C. the most progressive province in Canada for people with disabilities by 2024. Accessibility 2024 is a 10-year action plan, designed around 12 building blocks that represent the themes that emerged through the disability consultation process. Accessibility 2024 includes measures for success and cross-government commitments that will help improve accessibility in B.C. for people with disabilities.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Quebec</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Equals in Every Respect: </w:t>
            </w:r>
            <w:r w:rsidRPr="00A4603B">
              <w:t xml:space="preserve">Adopted in 2009, the policy titled Equals in Every Respect: Because Rights Are Meant to Be Exercised ("EIER") seeks to increase the social participation of persons with disabilities. One of the EIER's intervention priorities is developing accessible environments: premises, transportation, infrastructure, communications, and consumer products. </w:t>
            </w:r>
          </w:p>
        </w:tc>
      </w:tr>
      <w:tr w:rsidR="00893821" w:rsidRPr="00A4603B" w:rsidTr="00FE1FA4">
        <w:trPr>
          <w:trHeight w:val="935"/>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Alberta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Government of Alberta 2013 – 2016 Strategic Plan: </w:t>
            </w:r>
            <w:r w:rsidRPr="00A4603B">
              <w:t xml:space="preserve">In Alberta’s 2013–16 Strategic Plan, the province indicated that it will focus on providing all Albertans with a primary care “home,” providing timely access to a primary health care team, integrating clinical and social supports, and supporting Albertans in improving and managing their health.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Alberta Disability Strategy:</w:t>
            </w:r>
            <w:r w:rsidRPr="00A4603B">
              <w:t xml:space="preserve"> On December 3, 2002, the Premier's Council released the Alberta Disability Strategy (ADS). The goal of ADS is to create an environment where full citizenship is possible through improvements in the areas of people supports, financial supports, learning supports and employment.  On December 3, 2002, to coincide with the International Day of Persons with Disabilities, the Premier's Council released the Alberta Disability Strategy (ADS). The goal of ADS is to create an environment where full citizenship is possible through improvements in the areas of personal supports, financial supports, learning supports and employment.</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Saskatchewan</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 xml:space="preserve">Saskatchewan Disability Strategy: </w:t>
            </w:r>
            <w:r w:rsidRPr="00A4603B">
              <w:rPr>
                <w:lang w:val="en-US"/>
              </w:rPr>
              <w:t>The Disability Strategy looks to address and identify the support and service needs of children and adults who experience disability – whether physical, sensory, psychiatric, cognitive or intellectual. It is expected to be released in 2015.</w:t>
            </w:r>
          </w:p>
        </w:tc>
      </w:tr>
      <w:tr w:rsidR="00893821" w:rsidRPr="00A4603B" w:rsidTr="00FE1FA4">
        <w:trPr>
          <w:trHeight w:val="710"/>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Manitoba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lang w:val="en-US"/>
              </w:rPr>
              <w:t xml:space="preserve">Manitoba Policy on Access to Government Publications, Events, and Services: </w:t>
            </w:r>
            <w:r w:rsidRPr="00A4603B">
              <w:rPr>
                <w:lang w:val="en-US"/>
              </w:rPr>
              <w:t>It instructs the quality of interaction between government bodies and Manitobans with disabilities when providing information, organizing events (including public meetings), and offering services. The policy is aimed at eliminating barriers faced by Manitobans with disabilities. The policy addresses the way people with disabilities are treated by the government.</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New Brunswick</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Disability Action Plan: </w:t>
            </w:r>
            <w:r w:rsidRPr="00A4603B">
              <w:t xml:space="preserve">The report outlines 41 recommendations for action by the Government of New Brunswick. Recommendations are led by 11 Departments and by the Office of the Premier and the Premier’s Council on the Status of Disabled Persons. The recommendations are focused in eight specific categories of action, including Mental Health. </w:t>
            </w:r>
          </w:p>
        </w:tc>
      </w:tr>
      <w:tr w:rsidR="00893821" w:rsidRPr="00A4603B" w:rsidTr="00FE1FA4">
        <w:trPr>
          <w:trHeight w:val="1169"/>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lastRenderedPageBreak/>
              <w:t>Nova Scotia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rPr>
            </w:pPr>
            <w:r w:rsidRPr="00A4603B">
              <w:rPr>
                <w:b/>
              </w:rPr>
              <w:t>Disability Support Program Policy:</w:t>
            </w:r>
            <w:r w:rsidRPr="00A4603B">
              <w:t xml:space="preserve"> This policy provides support to individuals with intellectual/physical disabilities and/or long term mental illness. It includes information on program, financial eligibility and basic and special needs.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Disability Action Plan: </w:t>
            </w:r>
            <w:r w:rsidRPr="00A4603B">
              <w:t>The report outlines 41 recommendations for action by the Government of New Brunswick. Recommendations are led by 11 Departments and by the Office of the Premier and the Premier’s Council on the Status of Disabled Persons. The recommendations are focused in eight specific categories of action, including Mental Health.</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Newfoundland and Labrador</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t>Unable to find information through the approved methodology.</w:t>
            </w:r>
          </w:p>
        </w:tc>
      </w:tr>
      <w:tr w:rsidR="00893821" w:rsidRPr="00A4603B" w:rsidTr="00FE1FA4">
        <w:trPr>
          <w:trHeight w:val="98"/>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P.E.I</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t>Unable to find information through the approved methodology.</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Northwest Territory</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t>Unable to find information through the approved methodology.</w:t>
            </w:r>
            <w:r w:rsidRPr="00A4603B" w:rsidDel="00007034">
              <w:t xml:space="preserve"> </w:t>
            </w:r>
          </w:p>
        </w:tc>
      </w:tr>
      <w:tr w:rsidR="00893821" w:rsidRPr="00A4603B" w:rsidTr="00FE1FA4">
        <w:trPr>
          <w:trHeight w:val="53"/>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Nunavut</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t>Unable to find information through the approved methodology.</w:t>
            </w:r>
            <w:r w:rsidRPr="00A4603B" w:rsidDel="00007034">
              <w:t xml:space="preserve">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Yukon</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t>Unable to find information through the approved methodology.</w:t>
            </w:r>
          </w:p>
        </w:tc>
      </w:tr>
      <w:tr w:rsidR="00893821" w:rsidRPr="00A4603B" w:rsidTr="00FE1FA4">
        <w:trPr>
          <w:trHeight w:val="1097"/>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United States (Federal)</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rPr>
            </w:pPr>
            <w:r w:rsidRPr="00A4603B">
              <w:rPr>
                <w:b/>
              </w:rPr>
              <w:t xml:space="preserve">Access to Medical Care for Individuals with Mobility Disabilities: </w:t>
            </w:r>
            <w:r w:rsidRPr="00A4603B">
              <w:t xml:space="preserve">Guidance document on the application of the </w:t>
            </w:r>
            <w:r w:rsidRPr="00A4603B">
              <w:rPr>
                <w:i/>
              </w:rPr>
              <w:t xml:space="preserve">Americans with Disabilities Act </w:t>
            </w:r>
            <w:r w:rsidRPr="00A4603B">
              <w:t>to individuals with mobility disabilities.</w:t>
            </w:r>
            <w:r w:rsidRPr="00A4603B">
              <w:rPr>
                <w:b/>
              </w:rPr>
              <w:t xml:space="preserve">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Recommendations on Standards for the Design of Medical Diagnostic Equipment for Adults with Disabilities: </w:t>
            </w:r>
            <w:r w:rsidRPr="00A4603B">
              <w:t>The US Access Board is developing standards for Medical Diagnostic Equipment. It has published recommendations that cover a variety of examination tables and chairs, weight scales, x-ray machines and other radiological equipment, and mammography equipment.</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California</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t>Unable to find information through the approved methodology.</w:t>
            </w:r>
            <w:r w:rsidRPr="00A4603B" w:rsidDel="00007034">
              <w:t xml:space="preserve"> </w:t>
            </w:r>
          </w:p>
        </w:tc>
      </w:tr>
      <w:tr w:rsidR="00893821" w:rsidRPr="00A4603B" w:rsidTr="00FE1FA4">
        <w:trPr>
          <w:trHeight w:val="179"/>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New York</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t>Unable to find information through the approved methodology.</w:t>
            </w:r>
            <w:r w:rsidRPr="00A4603B" w:rsidDel="00007034">
              <w:t xml:space="preserve">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United Kingdom</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t>Unable to find information through the approved methodology.</w:t>
            </w:r>
            <w:r w:rsidRPr="00A4603B" w:rsidDel="00007034">
              <w:t xml:space="preserve"> </w:t>
            </w:r>
          </w:p>
        </w:tc>
      </w:tr>
      <w:tr w:rsidR="00893821" w:rsidRPr="00A4603B" w:rsidTr="00FE1FA4">
        <w:trPr>
          <w:trHeight w:val="827"/>
        </w:trPr>
        <w:tc>
          <w:tcPr>
            <w:cnfStyle w:val="001000000000" w:firstRow="0" w:lastRow="0" w:firstColumn="1" w:lastColumn="0" w:oddVBand="0" w:evenVBand="0" w:oddHBand="0" w:evenHBand="0" w:firstRowFirstColumn="0" w:firstRowLastColumn="0" w:lastRowFirstColumn="0" w:lastRowLastColumn="0"/>
            <w:tcW w:w="514" w:type="pct"/>
          </w:tcPr>
          <w:p w:rsidR="00893821" w:rsidRPr="00A4603B" w:rsidRDefault="00893821" w:rsidP="005A3CF1">
            <w:pPr>
              <w:rPr>
                <w:b w:val="0"/>
                <w:bCs w:val="0"/>
                <w:lang w:val="en-US"/>
              </w:rPr>
            </w:pPr>
            <w:r w:rsidRPr="00A4603B">
              <w:rPr>
                <w:b w:val="0"/>
                <w:bCs w:val="0"/>
                <w:lang w:val="en-US"/>
              </w:rPr>
              <w:t>Ireland</w:t>
            </w:r>
          </w:p>
        </w:tc>
        <w:tc>
          <w:tcPr>
            <w:tcW w:w="4486" w:type="pct"/>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rPr>
              <w:t>Ireland National Disability Strategy:</w:t>
            </w:r>
            <w:r w:rsidRPr="00A4603B">
              <w:t xml:space="preserve"> The Government launched the National Disability Strategy to underpin the participation of people with disabilities in Irish society. The strategy builds on existing policy and legislation, including the policy of mainstreaming public services for people </w:t>
            </w:r>
            <w:r w:rsidRPr="00A4603B">
              <w:lastRenderedPageBreak/>
              <w:t>with disabilities. It has been endorsed in the social partnership agreement “Towards 2016”.</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rPr>
            </w:pPr>
            <w:r w:rsidRPr="00A4603B">
              <w:rPr>
                <w:b/>
                <w:lang w:val="en-IE"/>
              </w:rPr>
              <w:t>Ireland National Disability Authority</w:t>
            </w:r>
            <w:r w:rsidRPr="00A4603B">
              <w:rPr>
                <w:lang w:val="en-IE"/>
              </w:rPr>
              <w:t>. Review of literature and guidelines on accessibility in healthcare that underpin the National Guidelines on Accessible Primary, Community and Hospital Services.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Australia</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Disability Action Plan, 2009-2014</w:t>
            </w:r>
            <w:r w:rsidRPr="00A4603B">
              <w:t>: The primary objective of Disability Action Plan (DAP) is to reduce and, where possible, eliminate discriminatory barriers to people with disability, whether they are in departmental employment, seeking employment or requiring health services provided by the Department. The Department has developed DAP in accordance with the Guidelines for Disability Action Planning released by the Department of Ageing, Disability and Home Care (now Ageing, Disability and Home Care; Department of Human Services: ADHC) in late 2008.</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National Disability Strategy 2010-2020:</w:t>
            </w:r>
            <w:r w:rsidRPr="00A4603B">
              <w:t xml:space="preserve"> The National Disability Strategy (the Strategy) sets out a ten-year national plan for improving life for Australians with disability, their families, and carers. It draws on the findings of extensive consultation conducted in 2008-09 by the National People with Disabilities and Carer Council and reported in Shut Out: The Experience of People with Disabilities and their Families in Australia (2009).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 xml:space="preserve">The Way Forward - A New Disability Policy Framework for Australia: </w:t>
            </w:r>
            <w:r w:rsidRPr="00A4603B">
              <w:t>In April 2008, the former Parliamentary Secretary for Disabilities and Children’s Services, the Hon Bill Shorten MP, established the Disability Investment Group (DIG). The Group’s role was to explore innovative funding ideas from the private sector that will help people with disability and their families access greater support and plan for the future. The principal recommendation is for a feasibility study into a national disability insurance scheme for Australia. Other recommendations refer to the following: special disability trusts, savings and investment incentives, private investment in housing, better employment opportunities, building best practice and research.</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Service Framework to Improve Health Care of People with Intellectual Disability: </w:t>
            </w:r>
            <w:r w:rsidRPr="00A4603B">
              <w:t>The Service Framework aims to reduce health inequalities for children, adolescents, and adults with intellectual disability by establishing specialised intellectual disability health services, creating a centre for clinical leadership, education and training, enhancing the capacity of existing services to meet their health needs, improving access to quality health care services.</w:t>
            </w:r>
          </w:p>
        </w:tc>
      </w:tr>
      <w:tr w:rsidR="00893821" w:rsidRPr="00A4603B" w:rsidTr="00FE1FA4">
        <w:trPr>
          <w:trHeight w:val="233"/>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Egypt</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t>Unable to find information through the approved methodology.</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Israel</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 xml:space="preserve">The Rehabilitation Division: </w:t>
            </w:r>
            <w:r w:rsidRPr="00A4603B">
              <w:t>According to the definition of the World Health Organization (WHO), rehabilitation is medical and functional rehabilitation of persons with handicaps. This is a therapeutic process intended to enable the persons undergoing rehabilitation to attain and maintain their optimal levels of physical, sensory, emotional and social function, as part of the overall picture of the function of the family and of society. Rehabilitation equips handicapped persons with the tools required to achieve optimal personal functional independence and to make decisions in accordance with their abilities. This is a continuum of rehabilitation processes, starting from treatment of the acute event (if any) and ending with being able to optimally utilize the person’s remaining functional capabilities. The Division’s vision is to offer the person undergoing rehabilitation efficient rehabilitation pathways, and a rehabilitative outlook adapted to their needs, in order to achieve optimal function. Although the main thrust of rehabilitation is at the functional level, full realization of capabilities occasionally also necessitates psychosocial support which is part of the rehabilitation program.</w:t>
            </w:r>
          </w:p>
        </w:tc>
      </w:tr>
      <w:tr w:rsidR="00893821" w:rsidRPr="00A4603B" w:rsidTr="00FE1FA4">
        <w:trPr>
          <w:trHeight w:val="404"/>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Jordan</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The National Disability Strategy of the Hashemite Kingdom of Jordan 2007 – 2009 / 2010 – 2015:</w:t>
            </w:r>
            <w:r w:rsidRPr="00A4603B">
              <w:t xml:space="preserve"> Jordan was the first country in the Middle East to adopt national legislation for disability in addition to being one of the first countries that has updated the law to align it with the United Nations Convention on the Rights of Persons with Disabilities. This two-phase strategy (Phase I: 2007-2009 and Phase II: 2010- 2015) aims to reduce the prevalence of disability in a society where persons with disabilities enjoy a decent and sustainable life, allowing them full participation, fairness and respect, and which strives towards diminishing the cost of disability.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Germany</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Bundesministerium für Familie, 2006:</w:t>
            </w:r>
            <w:r w:rsidRPr="00A4603B">
              <w:t xml:space="preserve"> The German social assistance system, and with it the integration support, is based on the principle of community orientation. Officially disabled people have the right to opt for institutional or community-oriented care.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Social Code Book IX, 2001:</w:t>
            </w:r>
            <w:r w:rsidRPr="00A4603B">
              <w:t xml:space="preserve"> It marks a turning point in German disability policy, namely the shift from the principles of care and welfare (‘Fürsorge’) to the ones of self-determination and participation (‘Selbstbestimmung und soziale Teilhabe’). The law guarantees comprehensive social rights for disabled people; it also entails gender specific regulations. </w:t>
            </w:r>
          </w:p>
        </w:tc>
      </w:tr>
      <w:tr w:rsidR="00893821" w:rsidRPr="00A4603B" w:rsidTr="00FE1FA4">
        <w:trPr>
          <w:trHeight w:val="512"/>
        </w:trPr>
        <w:tc>
          <w:tcPr>
            <w:cnfStyle w:val="001000000000" w:firstRow="0" w:lastRow="0" w:firstColumn="1" w:lastColumn="0" w:oddVBand="0" w:evenVBand="0" w:oddHBand="0" w:evenHBand="0" w:firstRowFirstColumn="0" w:firstRowLastColumn="0" w:lastRowFirstColumn="0" w:lastRowLastColumn="0"/>
            <w:tcW w:w="514" w:type="pct"/>
          </w:tcPr>
          <w:p w:rsidR="00893821" w:rsidRPr="00A4603B" w:rsidRDefault="00893821" w:rsidP="005A3CF1">
            <w:pPr>
              <w:rPr>
                <w:b w:val="0"/>
                <w:bCs w:val="0"/>
                <w:lang w:val="en-US"/>
              </w:rPr>
            </w:pPr>
            <w:r w:rsidRPr="00A4603B">
              <w:rPr>
                <w:b w:val="0"/>
                <w:bCs w:val="0"/>
                <w:lang w:val="en-US"/>
              </w:rPr>
              <w:t>Singapore</w:t>
            </w:r>
          </w:p>
        </w:tc>
        <w:tc>
          <w:tcPr>
            <w:tcW w:w="4486" w:type="pct"/>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lang w:val="en-US"/>
              </w:rPr>
              <w:t>Master plan 2012 – 2016</w:t>
            </w:r>
            <w:r w:rsidRPr="00A4603B">
              <w:rPr>
                <w:b/>
                <w:bCs/>
                <w:i/>
                <w:lang w:val="en-US"/>
              </w:rPr>
              <w:t xml:space="preserve">: </w:t>
            </w:r>
            <w:r w:rsidRPr="00A4603B">
              <w:t>Ensuring that there are sufficient services and options for adults who need care is a key priority. The profile of caregivers will follow the trend of rapidly ageing population.</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1709"/>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tcPr>
          <w:p w:rsidR="00893821" w:rsidRPr="00A4603B" w:rsidRDefault="00893821" w:rsidP="005A3CF1">
            <w:pPr>
              <w:rPr>
                <w:b w:val="0"/>
                <w:bCs w:val="0"/>
                <w:lang w:val="en-US"/>
              </w:rPr>
            </w:pPr>
            <w:r w:rsidRPr="00A4603B">
              <w:rPr>
                <w:b w:val="0"/>
                <w:bCs w:val="0"/>
                <w:lang w:val="en-US"/>
              </w:rPr>
              <w:lastRenderedPageBreak/>
              <w:t>New Zealand</w:t>
            </w:r>
          </w:p>
        </w:tc>
        <w:tc>
          <w:tcPr>
            <w:tcW w:w="4486" w:type="pct"/>
            <w:tcBorders>
              <w:top w:val="none" w:sz="0" w:space="0" w:color="auto"/>
              <w:bottom w:val="none" w:sz="0" w:space="0" w:color="auto"/>
              <w:right w:val="none" w:sz="0" w:space="0" w:color="auto"/>
            </w:tcBorders>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rPr>
            </w:pPr>
            <w:r w:rsidRPr="00A4603B">
              <w:rPr>
                <w:b/>
                <w:bCs/>
              </w:rPr>
              <w:t xml:space="preserve">New Disability Action Plan 2014-2018: </w:t>
            </w:r>
            <w:r w:rsidRPr="00A4603B">
              <w:t>Focusing on cross-sector collaboration to achieve four shared results, which require government agencies to work together with DPOs, disability sector organizations and other entities with relevant expertise.</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bCs/>
              </w:rPr>
              <w:t xml:space="preserve">New Zealand Disability Strategy: </w:t>
            </w:r>
            <w:r w:rsidRPr="00A4603B">
              <w:rPr>
                <w:bCs/>
              </w:rPr>
              <w:t>T</w:t>
            </w:r>
            <w:r w:rsidRPr="00A4603B">
              <w:t xml:space="preserve">he New Zealand Disability Strategy's vision is of a society that highly values the lives and continually enhances the full participation of disabled people. It provides a framework to guide government agencies making policy and services impacting on disabled people.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rPr>
                <w:b/>
              </w:rPr>
              <w:t xml:space="preserve">Enabling Good Lives Approach: </w:t>
            </w:r>
            <w:r w:rsidRPr="00A4603B">
              <w:t>In 2012, the Ministerial Committee on Disability Issues agreed to a vision and principles for long-term change for the disability support system consistent with Enabling Good Lives. In July 2013, Cabinet agreed to a demonstration of the Enabling Good Lives approach in Christchurch.</w:t>
            </w:r>
          </w:p>
        </w:tc>
      </w:tr>
    </w:tbl>
    <w:p w:rsidR="00893821" w:rsidRPr="00A4603B" w:rsidRDefault="00893821" w:rsidP="00893821"/>
    <w:p w:rsidR="00893821" w:rsidRPr="00A4603B" w:rsidRDefault="00893821" w:rsidP="00893821"/>
    <w:p w:rsidR="00893821" w:rsidRPr="00A4603B" w:rsidRDefault="00893821" w:rsidP="00893821">
      <w:r w:rsidRPr="00A4603B">
        <w:br w:type="page"/>
      </w:r>
    </w:p>
    <w:p w:rsidR="00893821" w:rsidRPr="00A4603B" w:rsidRDefault="00893821" w:rsidP="00FE1FA4">
      <w:pPr>
        <w:pStyle w:val="Heading4"/>
      </w:pPr>
      <w:bookmarkStart w:id="30" w:name="_Toc424669249"/>
      <w:r w:rsidRPr="00A4603B">
        <w:lastRenderedPageBreak/>
        <w:t>Programs</w:t>
      </w:r>
      <w:bookmarkEnd w:id="30"/>
    </w:p>
    <w:p w:rsidR="00893821" w:rsidRPr="00A4603B" w:rsidRDefault="00893821" w:rsidP="00893821">
      <w:r w:rsidRPr="00A4603B">
        <w:t>The following table identifies programs that are used to facilitate equal access for persons with disabil</w:t>
      </w:r>
      <w:r w:rsidR="00FE1FA4">
        <w:t>ities in the healthcare sector.</w:t>
      </w:r>
    </w:p>
    <w:tbl>
      <w:tblPr>
        <w:tblStyle w:val="LightList"/>
        <w:tblW w:w="53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Caption w:val="Programs by jurisdiction"/>
        <w:tblDescription w:val="This table identifies programs that are used to facilitate equal access for persons with disabilities in the healthcare sector."/>
      </w:tblPr>
      <w:tblGrid>
        <w:gridCol w:w="1791"/>
        <w:gridCol w:w="8407"/>
      </w:tblGrid>
      <w:tr w:rsidR="00893821" w:rsidRPr="00A4603B" w:rsidTr="00D04B3A">
        <w:trPr>
          <w:cnfStyle w:val="100000000000" w:firstRow="1" w:lastRow="0" w:firstColumn="0" w:lastColumn="0" w:oddVBand="0" w:evenVBand="0" w:oddHBand="0" w:evenHBand="0" w:firstRowFirstColumn="0" w:firstRowLastColumn="0" w:lastRowFirstColumn="0" w:lastRowLastColumn="0"/>
          <w:trHeight w:val="264"/>
          <w:tblHeader/>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Jurisdiction</w:t>
            </w:r>
          </w:p>
        </w:tc>
        <w:tc>
          <w:tcPr>
            <w:tcW w:w="4486" w:type="pct"/>
            <w:hideMark/>
          </w:tcPr>
          <w:p w:rsidR="00893821" w:rsidRPr="00A4603B" w:rsidRDefault="00893821" w:rsidP="005A3CF1">
            <w:pPr>
              <w:cnfStyle w:val="100000000000" w:firstRow="1" w:lastRow="0" w:firstColumn="0" w:lastColumn="0" w:oddVBand="0" w:evenVBand="0" w:oddHBand="0" w:evenHBand="0" w:firstRowFirstColumn="0" w:firstRowLastColumn="0" w:lastRowFirstColumn="0" w:lastRowLastColumn="0"/>
              <w:rPr>
                <w:b w:val="0"/>
                <w:bCs w:val="0"/>
                <w:lang w:val="en-US"/>
              </w:rPr>
            </w:pPr>
            <w:r w:rsidRPr="00A4603B">
              <w:rPr>
                <w:b w:val="0"/>
                <w:bCs w:val="0"/>
              </w:rPr>
              <w:t>Programs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Canada (Federal)</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bookmarkStart w:id="31" w:name="RANGE!E4"/>
            <w:r w:rsidRPr="00A4603B">
              <w:rPr>
                <w:b/>
                <w:bCs/>
              </w:rPr>
              <w:t>Health Canada</w:t>
            </w:r>
            <w:r w:rsidRPr="00A4603B">
              <w:t>: The First Nations and Inuit Health Branch mentions needs based funding for non-insured health benefits for First Nations and Inuit, which would include non-insured health costs associated with a disability.</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Health Care Benefits Program for Veterans</w:t>
            </w:r>
            <w:r w:rsidRPr="00A4603B">
              <w:t>: It provides funds to eligible veterans so they can access aids to daily living, prosthetics, mobility aids, home adaptations and vehicle modifications.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Canadian National Health Insurance Program:</w:t>
            </w:r>
            <w:r w:rsidRPr="00A4603B">
              <w:t xml:space="preserve"> This program is designed to ensure that all Canadians have reasonable access to hospital and physician services which are medically necessary on a pre-paid basis. Instead of a single, National plan, Canada has a national program composed of thirteen interlocking provincial and territorial health insurance plans.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Housing Options for People Living with Dementia:</w:t>
            </w:r>
            <w:r w:rsidRPr="00A4603B">
              <w:rPr>
                <w:b/>
              </w:rPr>
              <w:t xml:space="preserve"> A Guide by CMHC:</w:t>
            </w:r>
            <w:r w:rsidRPr="00A4603B">
              <w:t xml:space="preserve"> This Guide is aimed at presenting information, to provide guidance to individuals living with dementia and their caregivers and to operators/providers of housing for persons living with dementia.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 xml:space="preserve">Assisted Living Program: </w:t>
            </w:r>
            <w:r w:rsidRPr="00A4603B">
              <w:t>Under the disabilities initiative of the program there are provisions which fund projects to improve the coordination and accessibility of existing disability programs and community services to persons living on reserve. The Disabilities initiative provides approximately $1 million annually to fund eligible projects which can include components such as advocacy, public awareness and regional workshops.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Tax Deductions on House Renovations:</w:t>
            </w:r>
            <w:r w:rsidRPr="00A4603B">
              <w:t xml:space="preserve"> One can claim a medical expense for renovations or alterations to the dwelling of a patient who lacks normal physical development or has a severe and prolonged mobility impairment to enable the person to gain access to, or to be mobile or functional within the dwelling.</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Line 369 - Home Buyers' Amount:</w:t>
            </w:r>
            <w:r w:rsidRPr="00A4603B">
              <w:t xml:space="preserve"> The Government of Canada provides tax relief to persons with disabilities for costs related to buying or building a home that is more accessible or better suited to their needs.</w:t>
            </w:r>
            <w:bookmarkEnd w:id="31"/>
          </w:p>
        </w:tc>
      </w:tr>
      <w:tr w:rsidR="00893821" w:rsidRPr="00A4603B" w:rsidTr="00FE1FA4">
        <w:trPr>
          <w:trHeight w:val="1124"/>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British Columbia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Health Supplements and Programs: </w:t>
            </w:r>
            <w:r w:rsidRPr="00A4603B">
              <w:t>The Health Supplements and Programs category provides information about health supplements and programs that are available through the BC Employment and Assistance (BCEA) Program to assist with specific individual health needs and circumstances.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Wellness and Disability Initiative: </w:t>
            </w:r>
            <w:r w:rsidRPr="00A4603B">
              <w:t xml:space="preserve">The Wellness Disability Initiative (WDI) is DABC's (formerly BCCPD) umbrella program. All WDI programs provide health and wellness information in plain language and alternative formats. It </w:t>
            </w:r>
            <w:r w:rsidRPr="00A4603B">
              <w:lastRenderedPageBreak/>
              <w:t xml:space="preserve">serves people with disabilities, family members, caregivers, healthcare workers, and educators.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Subsidized Assisted Living:</w:t>
            </w:r>
            <w:r w:rsidRPr="00A4603B">
              <w:t xml:space="preserve"> Subsidized assisted living units offer a middle option to bridge the gap between home care and residential care for those who need some assistance, but don’t want or need 24-hour professional nursing care. Through Housing Matters BC, the Province of British Columbia has created more than 4,300 affordable assisted living apartments for seniors and people with disabilities through the Independent Living BC program.</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Changes by the Ministry of Social Development and Social Innovation:</w:t>
            </w:r>
            <w:r w:rsidRPr="00A4603B">
              <w:t xml:space="preserve"> The Ministry of Social Development and Social Innovation (MSDSI) recently announced a few changes, according to which child-support payments will be fully exempt for families receiving income and disability assistance; the earnings exemption for families with a child with a disability will increase from $300 to $500 dollars a month; and single parents receiving income and disability assistance will have access to several costs.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Home and Community Care Services-Fraser Health Authority - Ministry of Health:</w:t>
            </w:r>
            <w:r w:rsidRPr="00A4603B">
              <w:t xml:space="preserve"> Health Authorities provide home and community care services for British Columbians with acute, chronic, palliative or rehabilitative health care needs. Services include home care nursing, palliative care, community rehabilitation, adult day centres, assisted living, home support, residential care and hospice. Health Authorities may provide these services directly or through contracts with service providers.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Medical Equipment and Devices: </w:t>
            </w:r>
            <w:r w:rsidRPr="00A4603B">
              <w:t>The least expensive, appropriate medical equipment and devices may be provided to specific recipients to assist with a medically essential need. There must be no other resources available to the client to provide the medical equipment requested. The ministry provides medical equipment and devices under the Employment and Assistance Regulation and the Employment and Assistance for Persons with Disabilities Regulation.</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Assistive Technology and Seating Service - GF Strong Rehab Centre: </w:t>
            </w:r>
            <w:r w:rsidRPr="00A4603B">
              <w:t>The Assistive Technology and Seating Service (ATSS) supports clinicians and rehabilitation professionals working with adults and adolescents with disabilities in the public health system of BC and the Yukon. Support is provided in the form of: consultation, assessment, evaluation, intervention, education, and equipment loans for assessment. The Service works to further an individual's goals related to seating, communication, vocation, education, leisure, and independent living.</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Independent Living BC (ILBC) - BC Housing:</w:t>
            </w:r>
            <w:r w:rsidRPr="00A4603B">
              <w:t xml:space="preserve"> serves seniors and people with disabilities who require some support, but do not need 24-hour institutional care. ILBC offers a middle option to bridge the gap between home care and residential care.</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lastRenderedPageBreak/>
              <w:t xml:space="preserve">Palliative Benefits Program: </w:t>
            </w:r>
            <w:r w:rsidRPr="00A4603B">
              <w:t>The B.C. Palliative Benefits Program provides support in order to enable individuals in the end stage of a life threatening disease to remain at home by covering the cost of medication, medical supplies and equipment. Equipment and supplies covered under the program include mobility aids, transfer aids, hospital beds and mattresses, bathing aids, and incontinence supplies.</w:t>
            </w:r>
            <w:r w:rsidRPr="00A4603B">
              <w:rPr>
                <w:b/>
                <w:bCs/>
              </w:rPr>
              <w:t xml:space="preserve"> </w:t>
            </w:r>
            <w:r w:rsidRPr="00A4603B">
              <w:t>The BC Palliative Care Benefits Program has two components: The Palliative Care Drug Program is provided through Pharmacare. Medical Supplies and Equipment Benefits are provided through the local Health Authority.</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Quebec</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Hearing Devices program: </w:t>
            </w:r>
            <w:r w:rsidRPr="00A4603B">
              <w:t>The Regie de l'Assurance Maladie’s Hearing Devices program provides hearing aids to persons who are Deaf, deafened or hard of hearing. The Program covers the purchase and replacement cost of a hearing aid or assistive listening devices. Coverage varies by age and level of hearing loss.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Visual Devices Program: </w:t>
            </w:r>
            <w:r w:rsidRPr="00A4603B">
              <w:t>The Visual Devices Program is intended for persons insured under the Health Insurance Plan with a visual impairment such that they are permanently unable to read, write, move around in an unfamiliar environment, or carry out activities in keeping with their lifestyle or social roles. An amount of $210 is granted for the cost of acquiring a guide dog, and $1,028 per year thereafter for the cost of looking after the dog.</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Ocular Prostheses Program: </w:t>
            </w:r>
            <w:r w:rsidRPr="00A4603B">
              <w:t>If a disabled person is eligible for the program and meets the eligibility requirements, he/she is entitled, for each eye, to a reimbursement for the cost of purchasing or replacing an ocular prosthesis once per 5-year period, and to a yearly allowance for the repair and maintenance of the prosthesis.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External Breastforms Program: </w:t>
            </w:r>
            <w:r w:rsidRPr="00A4603B">
              <w:t>The External Breastforms Program is intended for all women covered under the Québec Health Insurance Plan who have undergone a total or radical mastectomy, and for women age 14 and over who have a total absence of breast formation, medically diagnosed as aplasia. A total of $200 is provided for each breast through the program, payable every two years.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Devices that Compensate for a Physical Deficiency: </w:t>
            </w:r>
            <w:r w:rsidRPr="00A4603B">
              <w:t>The residents, who are covered by the Health Insurance Plan and meet the program's eligibility requirements, are insured for several assistive devices. The program does not cover 3-wheeled or 4-wheeled scooters, but does cover the adjustment and repair of these devices if they were paid for by the Office des personnes handicapées du Québec prior to November 12, 1998.</w:t>
            </w:r>
          </w:p>
        </w:tc>
      </w:tr>
      <w:tr w:rsidR="00893821" w:rsidRPr="00A4603B" w:rsidTr="00FE1FA4">
        <w:trPr>
          <w:trHeight w:val="593"/>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Alberta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Alberta Health Care Insurance Plan: </w:t>
            </w:r>
            <w:r w:rsidRPr="00A4603B">
              <w:t xml:space="preserve">In accordance with the </w:t>
            </w:r>
            <w:r w:rsidRPr="00A4603B">
              <w:rPr>
                <w:i/>
                <w:iCs/>
              </w:rPr>
              <w:t>Canada Health Act</w:t>
            </w:r>
            <w:r w:rsidRPr="00A4603B">
              <w:t xml:space="preserve">, Alberta has a publicly administered and funded health care system that guarantees Albertans receive universal access to medically </w:t>
            </w:r>
            <w:r w:rsidRPr="00A4603B">
              <w:lastRenderedPageBreak/>
              <w:t>necessary hospital and health care services.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Alberta Aids to Daily Living: </w:t>
            </w:r>
            <w:r w:rsidRPr="00A4603B">
              <w:t>The program assists Albertans with a long-term disability, chronic illness or terminal illness to maintain their independence at home, in lodges or group homes by providing financial assistance to buy medical equipment and supplies.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Foster and Kinship Care: </w:t>
            </w:r>
            <w:r w:rsidRPr="00A4603B">
              <w:t>The objective of this program is to assist foster parents in providing quality care, foster parent training is provided to help develop foster parenting skills. Some of the trainings under this program are meant for foster parents for children or youth with higher needs, such as disabilities or behavioural challenges. Foster parents complete all core training as well as additional training related to the specific needs of the child in their care.</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836"/>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Saskatchewan</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rPr>
                <w:b/>
                <w:bCs/>
              </w:rPr>
              <w:t xml:space="preserve">SAIL - Saskatchewan Aids to Independent Living: </w:t>
            </w:r>
            <w:r w:rsidRPr="00A4603B">
              <w:t>Saskatchewan Aids to Independent Living (SAIL) provides assistance to people with physical disabilities to live a more active and independent lifestyle. It also helps people with disability to manage certain chronic health conditions. The Ministry provides various benefits to a qualified applicant who meets specific program eligibility criteria. Programs include Paraplegia Program, Cystic Fibrosis Program, Chronic End-Stage Renal Disease Program, Ostomy Program, Haemophilia Program, Aids to the Blind and the Saskatchewan Insulin Pump Program.</w:t>
            </w:r>
          </w:p>
        </w:tc>
      </w:tr>
      <w:tr w:rsidR="00893821" w:rsidRPr="00A4603B" w:rsidTr="00FE1FA4">
        <w:trPr>
          <w:trHeight w:val="1034"/>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Manitoba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bookmarkStart w:id="32" w:name="RANGE!E9"/>
            <w:r w:rsidRPr="00A4603B">
              <w:rPr>
                <w:b/>
                <w:bCs/>
              </w:rPr>
              <w:t xml:space="preserve">Manitoba Access Awareness Week: </w:t>
            </w:r>
            <w:r w:rsidRPr="00A4603B">
              <w:t xml:space="preserve">Manitoba Access Awareness Week (MAAW) is celebrated annually to raise awareness of the barriers people with disabilities face that affect their full participation in society and to promote the removal of these barriers. Public events provide disability awareness training and promote leadership among organizations and businesses.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Disability and Health Supports Unit: </w:t>
            </w:r>
            <w:r w:rsidRPr="00A4603B">
              <w:t>The Disability and Health Supports Unit offers a streamlined, one-stop-shop to help eligible program participants throughout Manitoba access the disability and health-related supplies and equipment they need in a consistent, fair, efficient manner.</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Home Care:</w:t>
            </w:r>
            <w:r w:rsidRPr="00A4603B">
              <w:t xml:space="preserve"> The Manitoba Home Care Program provides home support to individuals, regardless of age, who require health services or assistance with activities of daily living.</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Eyeglass Program: </w:t>
            </w:r>
            <w:r w:rsidRPr="00A4603B">
              <w:t>It provides limited financial assistance toward the purchase of eyeglasses for Manitoba residents who are 65 years of age, and older. The total allowable amount, based on this fee schedule, is subject to a deductible. Once the deductible has been applied, Manitoba Health will reimburse 80% of the remainder of the allowable total. The deductible applies once a year (April 1 to March 31) per family.</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lastRenderedPageBreak/>
              <w:t xml:space="preserve">Children’s Hearing Aid Program: </w:t>
            </w:r>
            <w:r w:rsidRPr="00A4603B">
              <w:t>Manitoba Health’s Hearing Aid Program provides hearing aids (analog or digital; ear moulds and ear impressions) to Manitoba residents under the age of 18 who require a hearing aid, as prescribed by an otolaryngologist or audiologist.</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Orthopaedic Shoes Program: </w:t>
            </w:r>
            <w:r w:rsidRPr="00A4603B">
              <w:t>Hearing Aid Program provides hearing aids (analog or digital; ear moulds and ear impressions) to Manitoba residents under the age of 18 who require a hearing aid, as prescribed by an otolaryngologist or audiologist.</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Infant Contact Lens Program: </w:t>
            </w:r>
            <w:r w:rsidRPr="00A4603B">
              <w:t>Contact lenses for congenital disorders in infants are eligible for rebate when prescribed by an ophthalmologist and the costs are not paid through other provincial or federal programs. Manitoba Health, Healthy Living and Seniors will provide one lens per eye, per infant.  The maximum allowable reimbursement is $190.00 for a single lens and $380.00 for bilateral lenses.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Telecommunications Program: </w:t>
            </w:r>
            <w:r w:rsidRPr="00A4603B">
              <w:t xml:space="preserve">Manitoba Health, Healthy Living and Seniors provides assistance towards the cost of telecommunications equipment which allows telephone conversations to be conducted by keyboard and display terminal instead of voice.  Manitoba Health, Healthy Living and Seniors will pay 80 per cent of the equipment cost to a maximum allowable rebate of $428.00.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Manitoba Policy on Access to Government Publications, Events, and Services (MPAG): </w:t>
            </w:r>
            <w:r w:rsidRPr="00A4603B">
              <w:t>The Manitoba Policy on Access to Government Publications, Events and Services (MPAG) has the purpose of ensuring equal access by Manitobans with disabilities to information, public meetings, and other services provided by government.</w:t>
            </w:r>
            <w:bookmarkEnd w:id="32"/>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New Brunswick</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Health Services Convalescent/Rehabilitation Program: </w:t>
            </w:r>
            <w:r w:rsidRPr="00A4603B">
              <w:t xml:space="preserve">This program assists clients of Social Development department (People with Disabilities) with the provision and maintenance of specific convalescent and rehabilitation items and services which are not covered by other agencies or private health insurance plans.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Health Services Hearing Aid Program: </w:t>
            </w:r>
            <w:r w:rsidRPr="00A4603B">
              <w:t>This program assists clients of this department with coverage for the purchase and maintenance of hearing aids services which are not covered by other agencies or private health insurance plans.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Health Services Orthopedic Program: </w:t>
            </w:r>
            <w:r w:rsidRPr="00A4603B">
              <w:t>This program assists clients of this department with the coverage of orthopedic items which are not covered by other agencies or private health insurance plans.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Health Services Prosthetic Program: </w:t>
            </w:r>
            <w:r w:rsidRPr="00A4603B">
              <w:t>This program assists clients of this department with coverage for specific prosthetic services that are not covered by other agencies or private health insurance plans.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Health Services Wheelchair/Seating Program: </w:t>
            </w:r>
            <w:r w:rsidRPr="00A4603B">
              <w:t xml:space="preserve">This program assists </w:t>
            </w:r>
            <w:r w:rsidRPr="00A4603B">
              <w:lastRenderedPageBreak/>
              <w:t xml:space="preserve">clients of this department with coverage for specific wheelchair and seating related benefits which are not covered by other agencies or private health insurance plans.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Prescription Drug Program: </w:t>
            </w:r>
            <w:r w:rsidRPr="00A4603B">
              <w:t xml:space="preserve">This program Formulary lists the drugs which are eligible for coverage for each plan. Prescriptions for these drugs must be filled by a pharmacy or designated dispensing physician in New Brunswick in order to be reimbursed. </w:t>
            </w:r>
          </w:p>
        </w:tc>
      </w:tr>
      <w:tr w:rsidR="00893821" w:rsidRPr="00A4603B" w:rsidTr="00FE1FA4">
        <w:trPr>
          <w:trHeight w:val="251"/>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lastRenderedPageBreak/>
              <w:t>Nova Scotia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rPr>
              <w:t xml:space="preserve">Wheelchair Recycling Program: </w:t>
            </w:r>
            <w:r w:rsidRPr="00A4603B">
              <w:t xml:space="preserve">The wheelchair recycling program provides wheelchairs to children and adults with a net family income that falls within program guidelines. This project is funded by the Department of Community Services and administered by the Abilities Foundation of Nova Scotia.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lang w:val="en-US"/>
              </w:rPr>
            </w:pPr>
            <w:r w:rsidRPr="00A4603B">
              <w:rPr>
                <w:b/>
                <w:bCs/>
              </w:rPr>
              <w:t>Prescription Drug Coverage (Pharmacare):</w:t>
            </w:r>
            <w:r w:rsidRPr="00A4603B">
              <w:t xml:space="preserve"> The Department of Community Services provides prescription drug coverage, known as Pharmacare, to Disability Support Program clients. The Social Assistance Act (SA) is used to guide decisions about who is eligible to receive benefits.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Newfoundland and Labrador</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Newfoundland and Labrador Prescription Drug Program:</w:t>
            </w:r>
            <w:r w:rsidRPr="00A4603B">
              <w:t xml:space="preserve"> The benefits of this program can be accessed by the people with disabilities. It provides assistance in the purchase of pharmaceuticals, and some related medical supplies to residents who qualify for benefit coverage. The focus of the program is that residents of the province should not be denied access to health care because of financial need.</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Special Assistance Program – Medical Equipment and Supplies: </w:t>
            </w:r>
            <w:r w:rsidRPr="00A4603B">
              <w:t xml:space="preserve">It is a provincial program which provides basic medical supplies and equipment to assist with activities of daily living for individuals living in the community who meet the eligibility criteria for the program. Benefits of the program include: </w:t>
            </w:r>
            <w:r w:rsidRPr="00A4603B">
              <w:br/>
              <w:t xml:space="preserve">• Medical supplies (such as dressings, catheters and incontinent supplies), </w:t>
            </w:r>
            <w:r w:rsidRPr="00A4603B">
              <w:br/>
              <w:t xml:space="preserve">• Oxygen and related equipment and supplies, </w:t>
            </w:r>
            <w:r w:rsidRPr="00A4603B">
              <w:br/>
              <w:t xml:space="preserve">• Orthotics such as braces and burn garments, and </w:t>
            </w:r>
            <w:r w:rsidRPr="00A4603B">
              <w:br/>
              <w:t>• Equipment such as wheelchairs, commodes or walkers.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Therapeutic and Professional Services: </w:t>
            </w:r>
            <w:r w:rsidRPr="00A4603B">
              <w:t>This program provides a range of therapeutic and professional services in a variety of settings which support persons with disabilities. Specific referrals and eligibility criteria must be met to access some services.</w:t>
            </w:r>
          </w:p>
        </w:tc>
      </w:tr>
      <w:tr w:rsidR="00893821" w:rsidRPr="00A4603B" w:rsidTr="00FE1FA4">
        <w:trPr>
          <w:trHeight w:val="98"/>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P.E.I</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Mental Health Services</w:t>
            </w:r>
            <w:r w:rsidRPr="00A4603B">
              <w:t>: Community and hospital-based services are provided throughout the province to adults, children, and youth who experience mental health conditions. Mental health services are provided by interdisciplinary teams working to provide the most appropriate care in the most appropriate setting.</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lastRenderedPageBreak/>
              <w:t xml:space="preserve">Disability Support Program: </w:t>
            </w:r>
            <w:r w:rsidRPr="00A4603B">
              <w:t>The PEI Disability Support Program is a social program with a financial component. It is open to all Islanders with a qualifying disability, and may provide financial help. It was introduced in October 2001. Eligibility is determined by meeting the applicable definition of disability and by the identification of required disability-specific supports.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Northwest Territory</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Habilitation and Rehabilitation: </w:t>
            </w:r>
            <w:r w:rsidRPr="00A4603B">
              <w:t>Depending on their needs, residents may receive assistance with: safety and security; personal care; life skills; medication monitoring; employment; respite; and service coordination. In the NWT, people requiring 24-hour support and supervision may qualify for Supportive Living. Adults who are able to live independently may be eligible for home support services.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Extended Health Benefits for Specified Disease Conditions: </w:t>
            </w:r>
            <w:r w:rsidRPr="00A4603B">
              <w:t>The government sponsors the Extended Health Benefits program to provide non-Native and Métis residents of the Northwest Territories who have specified disease conditions with certain benefits not covered by hospital and medical care insurance. The program pays reasonable and customary charges for medically necessary supplies and equipment.</w:t>
            </w:r>
          </w:p>
        </w:tc>
      </w:tr>
      <w:tr w:rsidR="00893821" w:rsidRPr="00A4603B" w:rsidTr="00FE1FA4">
        <w:trPr>
          <w:trHeight w:val="53"/>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Nunavut</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Seniors and Disabled Persons Preventative Maintenance Program: </w:t>
            </w:r>
            <w:r w:rsidRPr="00A4603B">
              <w:t>A $1,500 annual grant is provided for to assist elderly and/or disabled homeowners to complete annual preventative and general maintenance of their homes in order to ensure continued comfortable and safe occupancy.</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Home Repair Program: </w:t>
            </w:r>
            <w:r w:rsidRPr="00A4603B">
              <w:t>Under this program,</w:t>
            </w:r>
            <w:r w:rsidRPr="00A4603B">
              <w:rPr>
                <w:b/>
                <w:bCs/>
              </w:rPr>
              <w:t xml:space="preserve"> </w:t>
            </w:r>
            <w:r w:rsidRPr="00A4603B">
              <w:t>there are provisions for financial assistance for Accessibility Improvements in the interior and exterior modifications that improve accessibility for disabled occupants.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Non-Insured Health Benefits: </w:t>
            </w:r>
            <w:r w:rsidRPr="00A4603B">
              <w:t>It administration of the program is divided between Health Canada’s Northern Region Office and the Health Insurance Programs Office in Rankin Inlet through a Contribution Agreement. It covers prescription drugs, dental treatment, vision care, medical supplies and prostheses, and a number of other incidental services for Inuit and First Nations peoples with status.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Yukon</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Chronic Disease and Disability Benefits Program: </w:t>
            </w:r>
            <w:r w:rsidRPr="00A4603B">
              <w:t>The Chronic Disease and Disability Benefits Program provides benefits for Yukon residents who have a chronic disease or a serious functional disability.</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Yukon Home Care Program: </w:t>
            </w:r>
            <w:r w:rsidRPr="00A4603B">
              <w:t xml:space="preserve">Yukon Home Care Program delivers health-related services to individuals who have difficulty accessing services in the community due to mobility or health restraints.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Mental Health Services: </w:t>
            </w:r>
            <w:r w:rsidRPr="00A4603B">
              <w:t xml:space="preserve">Mental Health Services is a community mental health clinic offering assessment, individual and group therapy, supportive counselling and referral services for a wide range of emotional and </w:t>
            </w:r>
            <w:r w:rsidRPr="00A4603B">
              <w:lastRenderedPageBreak/>
              <w:t>behavioural problems and mental illnesses.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Community Day Program: </w:t>
            </w:r>
            <w:r w:rsidRPr="00A4603B">
              <w:t>This program provides services and support to adults with cognitive or physical impairments and to their caregivers, making it possible for them to experience an optimum quality of life while continuing to live in the community.</w:t>
            </w:r>
          </w:p>
        </w:tc>
      </w:tr>
      <w:tr w:rsidR="00893821" w:rsidRPr="00A4603B" w:rsidTr="00FE1FA4">
        <w:trPr>
          <w:trHeight w:val="566"/>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lastRenderedPageBreak/>
              <w:t>United States (Federal)</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Medicaid:</w:t>
            </w:r>
            <w:r w:rsidRPr="00A4603B">
              <w:t xml:space="preserve"> The program began as a collaborative venture between the Federal and state governments (including the District of Columbia and US territories) to jointly fund health care for individuals and families with low incomes and resources. The Medicaid program offers states the flexibility to expand their Medicaid coverage beyond the Federal minimum eligibility levels, and all states have extended Medicaid coverage through "medically needy" or "special low income" options to the elderly and people with disabilities beyond minimum program levels.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Medicare:</w:t>
            </w:r>
            <w:r w:rsidRPr="00A4603B">
              <w:t xml:space="preserve"> </w:t>
            </w:r>
            <w:r w:rsidRPr="00A4603B">
              <w:rPr>
                <w:i/>
                <w:iCs/>
              </w:rPr>
              <w:t xml:space="preserve">The Social Security Amendments Act </w:t>
            </w:r>
            <w:r w:rsidRPr="00A4603B">
              <w:t>of 1965 established Medicare, a federal health insurance program intended to provide for the medical needs of Americans aged 65 and older, regardless of their income/asset levels and medical history. The Medicare program is structured in four parts.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State Children's Health Insurance Program (SCHIP): </w:t>
            </w:r>
            <w:r w:rsidRPr="00A4603B">
              <w:t xml:space="preserve">It was the largest single expansion of public health insurance coverage since the creation of Medicaid and Medicare in 1965. Like Medicaid, SCHIP is a collaborative partnership between the Federal Government and all 50 states, 5 territories, and the District of Columbia. CMS has Federal oversight authority over all SCHIP programs, activities, and expenditures.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Tax Relief for Guide Dog or Other Service Animal</w:t>
            </w:r>
            <w:r w:rsidRPr="00A4603B">
              <w:t xml:space="preserve">: One can include in medical expenses the costs of buying, training, and maintaining a guide dog or other service animal to assist a visually impaired or hearing disabled person, or a person with other physical disabilities.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t>California</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Medicare:</w:t>
            </w:r>
            <w:r w:rsidRPr="00A4603B">
              <w:t xml:space="preserve"> Medicare is a government-sponsored program of health insurance. An individual who has been receiving social security disability benefits for 24 months is entitled to Medicare. Medicare consists of two parts. Part A provides hospital insurance benefits, which pay part of the cost of hospital care, related post-hospital care, home health services, and hospice care. Part B provides medical insurance, which pays for part of the cost of physician fees and outpatient medical services.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MediCal: </w:t>
            </w:r>
            <w:r w:rsidRPr="00A4603B">
              <w:t xml:space="preserve">MediCal is a state and federal-sponsored program to pay for medical care for low income individuals. It is the California version of the Medicaid program and is partially federally funded. Application for MediCal can be made at your county Department of Social Services. It includes coverage of the cost of nursing home care, X-rays, certain prescription </w:t>
            </w:r>
            <w:r w:rsidRPr="00A4603B">
              <w:lastRenderedPageBreak/>
              <w:t>medications, emergency and essential dental services, certain medical transportation, home health services, eyeglasses, hearing aids, orthopedic devices, durable medical treatment and supplies, adult day health care, pregnancy-related care, and mental health services.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Genetically Handicapped Person's Program: </w:t>
            </w:r>
            <w:r w:rsidRPr="00A4603B">
              <w:t>The Genetically Handicapped Person's Program provides medical and social support services to children and adults with genetically handicapping conditions, such as cystic fibrosis, hemophilia, sickle cell disease, and Huntington's disease. The program is administered by the State Department of Health Services. Services include diagnostic evaluation, cost of blood transfusions, rehabilitation services, medical treatment, physical and speech therapy, appliances, transportation, respite care, and genetic and psychological counseling.</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California Children's Services (CCS):</w:t>
            </w:r>
            <w:r w:rsidRPr="00A4603B">
              <w:t xml:space="preserve"> The California Children's Services (CCS) program assists the parents of children with physical disabilities under the age of 21 who are unable to pay for the cost of their child's medical treatment. Eligibility for the program is determined by the family's income and by the cost of care for the child.</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Genetically Handicapped Person's Program:</w:t>
            </w:r>
            <w:r w:rsidRPr="00A4603B">
              <w:t xml:space="preserve"> The program is administered by the State Department of Health Services. Services include diagnostic evaluation, cost of blood transfusions, rehabilitation services, medical treatment, physical and speech therapy, appliances, transportation, respite care, and genetic and psychological counseling.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Example of Effective Healthcare for People with Disabilities: </w:t>
            </w:r>
            <w:r w:rsidRPr="00A4603B">
              <w:t>Breast Health Access for Women with Disabilities, Alta Bates Summit Medical Center, Berkeley, California: Breast Health Access for Women with Disabilities (BHAWD) is the rehabilitation services program of the Alta Bates Summit Medical Center, in Berkeley, California. BHAWD offers an accessible clinic for free breast exams, breast self-examination training, general breast-health management education, and mammogram referrals.</w:t>
            </w:r>
          </w:p>
        </w:tc>
      </w:tr>
      <w:tr w:rsidR="00893821" w:rsidRPr="00A4603B" w:rsidTr="00FE1FA4">
        <w:trPr>
          <w:trHeight w:val="179"/>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lastRenderedPageBreak/>
              <w:t>New York</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Medicaid: </w:t>
            </w:r>
            <w:r w:rsidRPr="00A4603B">
              <w:t>The Medicaid Buy-In program offers Medicaid coverage to people with disabilities who are working, and earning more than the allowable limits for regular Medicaid, the opportunity to retain their health care coverage through Medicaid. This program allows working people with disabilities to earn more income without the risk of losing vital health care coverage.</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Children with Special Health Care Needs Program Including the Physically Handicapped Children's Program: </w:t>
            </w:r>
            <w:r w:rsidRPr="00A4603B">
              <w:t>The objective of this program is to improve the system of care for children with special health care needs (CSHCN) and their families.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Early Intervention Program: </w:t>
            </w:r>
            <w:r w:rsidRPr="00A4603B">
              <w:t xml:space="preserve">The New York State Early Intervention Program (EIP) is part of the national Early Intervention Program for infants </w:t>
            </w:r>
            <w:r w:rsidRPr="00A4603B">
              <w:lastRenderedPageBreak/>
              <w:t xml:space="preserve">and toddlers with disabilities and their families.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New York State Office of Mental Health: </w:t>
            </w:r>
            <w:r w:rsidRPr="00A4603B">
              <w:t>Its activities include public education and awareness campaigns and violence prevention initiatives. It also funds local governments to provide the full range of inpatient, outpatient, and peer support and rehabilitation services.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Parent to Parent of New York State</w:t>
            </w:r>
            <w:r w:rsidRPr="00A4603B">
              <w:t>: Parent to Parent is a parent support program. Services include a parent-matching program, disease-specific and disability services information and referral, health care, education and housing information, and family training on working with Medicaid service coordinators.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Healthy and Ready to Work: </w:t>
            </w:r>
            <w:r w:rsidRPr="00A4603B">
              <w:t>Healthy and Ready To Work is a national resource center dedicated to facilitating the transition of children with special health care needs from pediatric to adult health care and to post-secondary education and/or employment.</w:t>
            </w:r>
            <w:r w:rsidRPr="00A4603B">
              <w:rPr>
                <w:b/>
                <w:bCs/>
              </w:rPr>
              <w:t xml:space="preserve"> </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89"/>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United Kingdom</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Good Medical Practice and Disability Equality: </w:t>
            </w:r>
            <w:r w:rsidRPr="00A4603B">
              <w:t xml:space="preserve">This guidance was produced by the former Disability Rights Commission in close conjunction with the General Medical Council (GMC). This guidance will help disabled people to understand the terminology in ‘Good Medical Practice’ and how it might apply to them. It will also give doctors and other healthcare professional’s practical guidance on how they can meet their obligations to disabled patients and colleagues under the </w:t>
            </w:r>
            <w:r w:rsidRPr="00A4603B">
              <w:rPr>
                <w:i/>
                <w:iCs/>
              </w:rPr>
              <w:t>Disability Discrimination Act</w:t>
            </w:r>
            <w:r w:rsidRPr="00A4603B">
              <w:t xml:space="preserve"> 1995. </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The Independent Living Fund (ILF)</w:t>
            </w:r>
            <w:r w:rsidRPr="00A4603B">
              <w:t>: The ILF is a trust set up and financed by central government to support people to live independently rather than in residential care. The ILF will provide funding to pay for a care giver to support a new adult at home or in the community. If a child is in a residential school placement, their parents can receive ILF to pay for support for their son or daughter when they are not in school but spending time at home with you.</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Community based services:</w:t>
            </w:r>
            <w:r w:rsidRPr="00A4603B">
              <w:t xml:space="preserve"> In the United Kingdom, learning disability teams are widely available for people with intellectual impairment. These teams provide specialist treatment where general services are unable to meet needs, support primary care services to identify and meet health needs, facilitate access to general services, and provide education and advice to individuals, families, and other professionals</w:t>
            </w:r>
          </w:p>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The Healthcare Travel Costs Scheme:</w:t>
            </w:r>
            <w:r w:rsidRPr="00A4603B">
              <w:t xml:space="preserve"> part of the National Health Service (NHS) Low Income Scheme, and was set up to provide financial assistance to those patients who do not have a medical need for ambulance transport, but who require assistance with their travel costs.</w:t>
            </w:r>
          </w:p>
        </w:tc>
      </w:tr>
      <w:tr w:rsidR="00893821" w:rsidRPr="00A4603B" w:rsidTr="00FE1FA4">
        <w:trPr>
          <w:trHeight w:val="386"/>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Australia</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Disability Care and Support Report – Productivity Commission: </w:t>
            </w:r>
            <w:r w:rsidRPr="00A4603B">
              <w:t xml:space="preserve">The </w:t>
            </w:r>
            <w:r w:rsidRPr="00A4603B">
              <w:lastRenderedPageBreak/>
              <w:t>bottom line of this report is that a new national scheme for disability — like Medicare — is feasible, that it would produce very large benefits for Australians, and that a realistic and clear implementation pathway is available.</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Financial Assistance for Carers: </w:t>
            </w:r>
            <w:r w:rsidRPr="00A4603B">
              <w:t>Financial assistance and services are available if one provides care to someone who has a disability, illness or is frail aged. Carer Payment and Carer Allowance can provide financial assistance if one provides care every day to someone with a disability, illness, or who is frail aged.</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Financial Assistance for People Needing Care: </w:t>
            </w:r>
            <w:r w:rsidRPr="00A4603B">
              <w:t>There are payments to help with the cost of medical equipment need due to your disability or illness.</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National Disability Insurance Scheme (NDIS): </w:t>
            </w:r>
            <w:r w:rsidRPr="00A4603B">
              <w:t>The NDIS supports people with a permanent and significant disability that affects their ability to take part in everyday activities.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Egypt</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b/>
                <w:bCs/>
                <w:lang w:val="en-US"/>
              </w:rPr>
            </w:pPr>
            <w:r w:rsidRPr="00A4603B">
              <w:rPr>
                <w:b/>
                <w:bCs/>
              </w:rPr>
              <w:t xml:space="preserve">National Council on Disability Affairs (NCDA): </w:t>
            </w:r>
            <w:r w:rsidRPr="00A4603B">
              <w:t xml:space="preserve">The council initiated a protocol with the Ministry of Health. The Ministry of Health protocol, implemented on 10 November 2011, offers health insurance to children below the age of six along with children withdrawn from schools, and raises the insurance coverage on cochlear implants operations from EGP60, 000 to EGP100, 000. </w:t>
            </w:r>
          </w:p>
        </w:tc>
      </w:tr>
      <w:tr w:rsidR="00893821" w:rsidRPr="00A4603B" w:rsidTr="00FE1FA4">
        <w:trPr>
          <w:trHeight w:val="1250"/>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Israel</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The Long Term Care Insurance Benefits Law: </w:t>
            </w:r>
            <w:r w:rsidRPr="00A4603B">
              <w:t xml:space="preserve">In June 1998, more than 80,000 senior citizens were receiving long term care benefits.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Emergency Assistance to a Person with a Mobility Handicap who uses a Power Wheelchair:</w:t>
            </w:r>
            <w:r w:rsidRPr="00A4603B">
              <w:t xml:space="preserve"> The Ministry of Health operates an emergency assistance service for situations in which a handicapped person in a power wheelchair is unable to move with the wheelchair from where he is as the result of a defect in the power wheelchair.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Assistance Funding Rehabilitation and Ambulatory Assistance Devices: </w:t>
            </w:r>
            <w:r w:rsidRPr="00A4603B">
              <w:t>According to the third addendum to the national health law, and subject to the Procedure for Approval of rehabilitation and ambulatory assistance devices, the Ministry of Health participates in the funding of rehabilitation and mobility devices. The service is provided to the public via the district health bureaus (i.e. the departments of Chronic Illness and Rehabilitation.)</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The Rehabilitation Division: </w:t>
            </w:r>
            <w:r w:rsidRPr="00A4603B">
              <w:t xml:space="preserve">The Rehabilitation Division was established in 2014, pursuant to a decision of the administration of the Ministry. The Division includes the following departments: the Medical Committees Department; the Rehabilitation Continuum, Prostheses and Orthoses Department; and the National Unit for Rehabilitation and Mobility Devices. Part of the division’s objectives is to deal with coordination among different </w:t>
            </w:r>
            <w:r w:rsidRPr="00A4603B">
              <w:lastRenderedPageBreak/>
              <w:t xml:space="preserve">government divisions and programs, to ensure proper monitoring and transition.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rPr>
              <w:t xml:space="preserve">Mobility Committees: </w:t>
            </w:r>
            <w:r w:rsidRPr="00A4603B">
              <w:t>Provision of a professional resource for mobility committees held in the district health bureaus, monitoring of mobility committees held in the district bureaus and operation of a national appeals committee. Assistance to and monitoring of committees for adapting vehicles - provision of a professional resource for committees held at the Road Safety Medical Institute (MARVAD), and monitoring of these committees.</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hideMark/>
          </w:tcPr>
          <w:p w:rsidR="00893821" w:rsidRPr="00A4603B" w:rsidRDefault="00893821" w:rsidP="005A3CF1">
            <w:pPr>
              <w:rPr>
                <w:b w:val="0"/>
                <w:bCs w:val="0"/>
                <w:lang w:val="en-US"/>
              </w:rPr>
            </w:pPr>
            <w:r w:rsidRPr="00A4603B">
              <w:rPr>
                <w:b w:val="0"/>
                <w:bCs w:val="0"/>
                <w:lang w:val="en-US"/>
              </w:rPr>
              <w:lastRenderedPageBreak/>
              <w:t>Jordan</w:t>
            </w:r>
          </w:p>
        </w:tc>
        <w:tc>
          <w:tcPr>
            <w:tcW w:w="4486" w:type="pct"/>
            <w:tcBorders>
              <w:top w:val="none" w:sz="0" w:space="0" w:color="auto"/>
              <w:bottom w:val="none" w:sz="0" w:space="0" w:color="auto"/>
              <w:right w:val="none" w:sz="0" w:space="0" w:color="auto"/>
            </w:tcBorders>
            <w:hideMark/>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rPr>
                <w:lang w:val="en-US"/>
              </w:rPr>
            </w:pPr>
            <w:r w:rsidRPr="00A4603B">
              <w:t>Unable to find information through the approved methodology.</w:t>
            </w:r>
          </w:p>
        </w:tc>
      </w:tr>
      <w:tr w:rsidR="00893821" w:rsidRPr="00A4603B" w:rsidTr="00FE1FA4">
        <w:trPr>
          <w:trHeight w:val="701"/>
        </w:trPr>
        <w:tc>
          <w:tcPr>
            <w:cnfStyle w:val="001000000000" w:firstRow="0" w:lastRow="0" w:firstColumn="1" w:lastColumn="0" w:oddVBand="0" w:evenVBand="0" w:oddHBand="0" w:evenHBand="0" w:firstRowFirstColumn="0" w:firstRowLastColumn="0" w:lastRowFirstColumn="0" w:lastRowLastColumn="0"/>
            <w:tcW w:w="514" w:type="pct"/>
            <w:hideMark/>
          </w:tcPr>
          <w:p w:rsidR="00893821" w:rsidRPr="00A4603B" w:rsidRDefault="00893821" w:rsidP="005A3CF1">
            <w:pPr>
              <w:rPr>
                <w:b w:val="0"/>
                <w:bCs w:val="0"/>
                <w:lang w:val="en-US"/>
              </w:rPr>
            </w:pPr>
            <w:r w:rsidRPr="00A4603B">
              <w:rPr>
                <w:b w:val="0"/>
                <w:bCs w:val="0"/>
                <w:lang w:val="en-US"/>
              </w:rPr>
              <w:t>Germany</w:t>
            </w:r>
          </w:p>
        </w:tc>
        <w:tc>
          <w:tcPr>
            <w:tcW w:w="4486" w:type="pct"/>
            <w:hideMark/>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rPr>
                <w:b/>
                <w:bCs/>
                <w:lang w:val="en-US"/>
              </w:rPr>
            </w:pPr>
            <w:r w:rsidRPr="00A4603B">
              <w:rPr>
                <w:b/>
                <w:bCs/>
              </w:rPr>
              <w:t xml:space="preserve">InWEnt – Capacity Building International GmbH: </w:t>
            </w:r>
            <w:r w:rsidRPr="00A4603B">
              <w:t>To improve the situation of people with disabilities, InWEnt primarily carries out programmes in the health sector, focusing on in- service training and continuing education of specialists. The main purpose of this work is to foster the social and economic (re-)integration of people with physical disabilities and to make specialist medical care available for traumatized people.</w:t>
            </w:r>
          </w:p>
        </w:tc>
      </w:tr>
      <w:tr w:rsidR="00893821" w:rsidRPr="00A4603B" w:rsidTr="00FE1FA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514" w:type="pct"/>
            <w:tcBorders>
              <w:top w:val="none" w:sz="0" w:space="0" w:color="auto"/>
              <w:left w:val="none" w:sz="0" w:space="0" w:color="auto"/>
              <w:bottom w:val="none" w:sz="0" w:space="0" w:color="auto"/>
            </w:tcBorders>
          </w:tcPr>
          <w:p w:rsidR="00893821" w:rsidRPr="00A4603B" w:rsidRDefault="00893821" w:rsidP="005A3CF1">
            <w:pPr>
              <w:rPr>
                <w:b w:val="0"/>
                <w:bCs w:val="0"/>
                <w:lang w:val="en-US"/>
              </w:rPr>
            </w:pPr>
            <w:r w:rsidRPr="00A4603B">
              <w:rPr>
                <w:b w:val="0"/>
                <w:bCs w:val="0"/>
                <w:lang w:val="en-US"/>
              </w:rPr>
              <w:t>Singapore</w:t>
            </w:r>
          </w:p>
        </w:tc>
        <w:tc>
          <w:tcPr>
            <w:tcW w:w="4486" w:type="pct"/>
            <w:tcBorders>
              <w:top w:val="none" w:sz="0" w:space="0" w:color="auto"/>
              <w:bottom w:val="none" w:sz="0" w:space="0" w:color="auto"/>
              <w:right w:val="none" w:sz="0" w:space="0" w:color="auto"/>
            </w:tcBorders>
          </w:tcPr>
          <w:p w:rsidR="00893821" w:rsidRPr="00A4603B" w:rsidRDefault="00893821" w:rsidP="005A3CF1">
            <w:pPr>
              <w:cnfStyle w:val="000000100000" w:firstRow="0" w:lastRow="0" w:firstColumn="0" w:lastColumn="0" w:oddVBand="0" w:evenVBand="0" w:oddHBand="1" w:evenHBand="0" w:firstRowFirstColumn="0" w:firstRowLastColumn="0" w:lastRowFirstColumn="0" w:lastRowLastColumn="0"/>
            </w:pPr>
            <w:r w:rsidRPr="00A4603B">
              <w:t>Unable to find information through the approved methodology.</w:t>
            </w:r>
          </w:p>
        </w:tc>
      </w:tr>
      <w:tr w:rsidR="00893821" w:rsidRPr="00A4603B" w:rsidTr="00FE1FA4">
        <w:trPr>
          <w:trHeight w:val="1970"/>
        </w:trPr>
        <w:tc>
          <w:tcPr>
            <w:cnfStyle w:val="001000000000" w:firstRow="0" w:lastRow="0" w:firstColumn="1" w:lastColumn="0" w:oddVBand="0" w:evenVBand="0" w:oddHBand="0" w:evenHBand="0" w:firstRowFirstColumn="0" w:firstRowLastColumn="0" w:lastRowFirstColumn="0" w:lastRowLastColumn="0"/>
            <w:tcW w:w="514" w:type="pct"/>
          </w:tcPr>
          <w:p w:rsidR="00893821" w:rsidRPr="00A4603B" w:rsidRDefault="00893821" w:rsidP="005A3CF1">
            <w:pPr>
              <w:rPr>
                <w:b w:val="0"/>
                <w:bCs w:val="0"/>
                <w:lang w:val="en-US"/>
              </w:rPr>
            </w:pPr>
            <w:r w:rsidRPr="00A4603B">
              <w:rPr>
                <w:b w:val="0"/>
                <w:bCs w:val="0"/>
                <w:lang w:val="en-US"/>
              </w:rPr>
              <w:t>New Zealand</w:t>
            </w:r>
          </w:p>
        </w:tc>
        <w:tc>
          <w:tcPr>
            <w:tcW w:w="4486" w:type="pct"/>
          </w:tcPr>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Choice in Community Living: </w:t>
            </w:r>
            <w:r w:rsidRPr="00A4603B">
              <w:t xml:space="preserve">Choice in Community Living is an alternative to residential services, and is about opening up opportunities for disabled people and their family to have more choice and control about their living circumstances - where they live, who they live with and how they are supported. The Ministry of Health is working on a project to demonstrate Choice in Community Living in the Auckland and Waikato regions. </w:t>
            </w:r>
          </w:p>
          <w:p w:rsidR="00893821" w:rsidRPr="00A4603B" w:rsidRDefault="00893821" w:rsidP="005A3CF1">
            <w:pPr>
              <w:cnfStyle w:val="000000000000" w:firstRow="0" w:lastRow="0" w:firstColumn="0" w:lastColumn="0" w:oddVBand="0" w:evenVBand="0" w:oddHBand="0" w:evenHBand="0" w:firstRowFirstColumn="0" w:firstRowLastColumn="0" w:lastRowFirstColumn="0" w:lastRowLastColumn="0"/>
            </w:pPr>
            <w:r w:rsidRPr="00A4603B">
              <w:rPr>
                <w:b/>
                <w:bCs/>
              </w:rPr>
              <w:t xml:space="preserve">Child and Youth Disability Projects: </w:t>
            </w:r>
            <w:r w:rsidRPr="00A4603B">
              <w:t xml:space="preserve">A recent service development includes a trial project in Auckland to give providers funding to establish "wrap around" services for families so that children and young people with significantly complex needs can be supported to remain in the community and a home environment with flexible packages of care. </w:t>
            </w:r>
          </w:p>
          <w:p w:rsidR="00893821" w:rsidRPr="00A4603B" w:rsidRDefault="0055176D" w:rsidP="005A3CF1">
            <w:pPr>
              <w:cnfStyle w:val="000000000000" w:firstRow="0" w:lastRow="0" w:firstColumn="0" w:lastColumn="0" w:oddVBand="0" w:evenVBand="0" w:oddHBand="0" w:evenHBand="0" w:firstRowFirstColumn="0" w:firstRowLastColumn="0" w:lastRowFirstColumn="0" w:lastRowLastColumn="0"/>
            </w:pPr>
            <w:hyperlink r:id="rId13" w:history="1">
              <w:r w:rsidR="00893821" w:rsidRPr="00A4603B">
                <w:rPr>
                  <w:rStyle w:val="Hyperlink"/>
                  <w:rFonts w:asciiTheme="minorHAnsi" w:hAnsiTheme="minorHAnsi"/>
                  <w:b/>
                  <w:sz w:val="24"/>
                </w:rPr>
                <w:t>Equipment and Modification Services – Evaluation of the Prioritisation Tool Pilot</w:t>
              </w:r>
            </w:hyperlink>
            <w:r w:rsidR="00893821" w:rsidRPr="00A4603B">
              <w:rPr>
                <w:b/>
              </w:rPr>
              <w:t>:</w:t>
            </w:r>
            <w:r w:rsidR="00893821" w:rsidRPr="00A4603B">
              <w:t xml:space="preserve"> The Prioritisation Tool Pilot tested an alternative approach to assessment for access to support based on prioritisation of the disabled person’s need, risk and ability to benefit from equipment or modifications. </w:t>
            </w:r>
          </w:p>
        </w:tc>
      </w:tr>
    </w:tbl>
    <w:p w:rsidR="00893821" w:rsidRPr="00A4603B" w:rsidRDefault="00893821" w:rsidP="00893821">
      <w:pPr>
        <w:rPr>
          <w:lang w:val="en-US"/>
        </w:rPr>
      </w:pPr>
    </w:p>
    <w:p w:rsidR="00893821" w:rsidRPr="00A4603B" w:rsidRDefault="00893821" w:rsidP="00893821">
      <w:pPr>
        <w:rPr>
          <w:b/>
        </w:rPr>
        <w:sectPr w:rsidR="00893821" w:rsidRPr="00A4603B" w:rsidSect="005D44FF">
          <w:type w:val="continuous"/>
          <w:pgSz w:w="12240" w:h="15840" w:code="1"/>
          <w:pgMar w:top="1440" w:right="1440" w:bottom="1440" w:left="1440" w:header="720" w:footer="562" w:gutter="0"/>
          <w:cols w:space="720"/>
          <w:docGrid w:linePitch="360"/>
        </w:sectPr>
      </w:pPr>
    </w:p>
    <w:p w:rsidR="00893821" w:rsidRPr="00A4603B" w:rsidRDefault="0092747F" w:rsidP="0092747F">
      <w:pPr>
        <w:pStyle w:val="Heading2"/>
      </w:pPr>
      <w:bookmarkStart w:id="33" w:name="_Toc424669250"/>
      <w:bookmarkStart w:id="34" w:name="_Toc457553258"/>
      <w:r>
        <w:lastRenderedPageBreak/>
        <w:t xml:space="preserve">3.2 </w:t>
      </w:r>
      <w:r w:rsidR="00893821" w:rsidRPr="00A4603B">
        <w:t>Ontario’s Relative Position</w:t>
      </w:r>
      <w:bookmarkEnd w:id="33"/>
      <w:bookmarkEnd w:id="34"/>
    </w:p>
    <w:p w:rsidR="00893821" w:rsidRPr="00A4603B" w:rsidRDefault="00893821" w:rsidP="00893821">
      <w:pPr>
        <w:rPr>
          <w:lang w:val="en-US"/>
        </w:rPr>
      </w:pPr>
      <w:r w:rsidRPr="00A4603B">
        <w:rPr>
          <w:lang w:val="en-US"/>
        </w:rPr>
        <w:t xml:space="preserve">This section provides a background on accessibility in Ontario as it relates to the healthcare sector and compares the Province to the other jurisdictions examined. </w:t>
      </w:r>
    </w:p>
    <w:p w:rsidR="00893821" w:rsidRPr="00A4603B" w:rsidRDefault="0092747F" w:rsidP="0092747F">
      <w:pPr>
        <w:pStyle w:val="Heading3"/>
      </w:pPr>
      <w:bookmarkStart w:id="35" w:name="_Toc424669251"/>
      <w:r>
        <w:lastRenderedPageBreak/>
        <w:t xml:space="preserve">3.2.1 </w:t>
      </w:r>
      <w:r w:rsidR="00893821" w:rsidRPr="00A4603B">
        <w:t>Background on Accessibility in Ontario</w:t>
      </w:r>
      <w:bookmarkEnd w:id="35"/>
      <w:r w:rsidR="00893821" w:rsidRPr="00A4603B">
        <w:t xml:space="preserve"> </w:t>
      </w:r>
    </w:p>
    <w:p w:rsidR="00893821" w:rsidRPr="00A4603B" w:rsidRDefault="00893821" w:rsidP="0092747F">
      <w:pPr>
        <w:pStyle w:val="Heading4"/>
      </w:pPr>
      <w:r w:rsidRPr="00A4603B">
        <w:t>Regulatory Requirements and Standards</w:t>
      </w:r>
    </w:p>
    <w:p w:rsidR="00893821" w:rsidRPr="00A4603B" w:rsidRDefault="00893821" w:rsidP="00893821">
      <w:pPr>
        <w:rPr>
          <w:lang w:val="en-US"/>
        </w:rPr>
      </w:pPr>
      <w:r w:rsidRPr="00A4603B">
        <w:rPr>
          <w:lang w:val="en-US"/>
        </w:rPr>
        <w:t xml:space="preserve">As described in the Introduction section of this report, Ontario’s Accessibility for Ontarians with Disabilities Act, 2005 (AODA) provides accessibility standards for both private and public sectors, with a goal to make Ontario accessible by 2025. The accessibility standards in Ontario include Customer Service, Information and Communications, Employment, Transportation, and Design of Public Spaces. </w:t>
      </w:r>
    </w:p>
    <w:p w:rsidR="00893821" w:rsidRPr="00A4603B" w:rsidRDefault="00893821" w:rsidP="00893821">
      <w:pPr>
        <w:rPr>
          <w:lang w:val="en-US"/>
        </w:rPr>
      </w:pPr>
      <w:r w:rsidRPr="00A4603B">
        <w:rPr>
          <w:lang w:val="en-US"/>
        </w:rPr>
        <w:t xml:space="preserve">These </w:t>
      </w:r>
      <w:r w:rsidRPr="00A4603B">
        <w:t>five standards apply to all healthcare sector organizations that have at least one employee, including hospitals, long-term care homes, retirement homes, supportive housing, group homes, clinics, and specialized services and professional offices (e.g. doctors’ offices, dental offices, laboratories, private practices and specialty practices).</w:t>
      </w:r>
      <w:r w:rsidRPr="00A4603B">
        <w:rPr>
          <w:vertAlign w:val="superscript"/>
        </w:rPr>
        <w:footnoteReference w:id="3"/>
      </w:r>
    </w:p>
    <w:p w:rsidR="00893821" w:rsidRPr="00A4603B" w:rsidRDefault="00893821" w:rsidP="00893821">
      <w:pPr>
        <w:rPr>
          <w:bCs/>
        </w:rPr>
      </w:pPr>
      <w:r w:rsidRPr="00A4603B">
        <w:rPr>
          <w:bCs/>
        </w:rPr>
        <w:t>The ADO has noted that application of these standards include, but are not necessarily limited to:</w:t>
      </w:r>
      <w:r w:rsidRPr="00A4603B">
        <w:rPr>
          <w:bCs/>
          <w:vertAlign w:val="superscript"/>
        </w:rPr>
        <w:footnoteReference w:id="4"/>
      </w:r>
    </w:p>
    <w:p w:rsidR="00893821" w:rsidRPr="00A4603B" w:rsidRDefault="00893821" w:rsidP="00BC5BD4">
      <w:pPr>
        <w:pStyle w:val="ListParagraph"/>
        <w:numPr>
          <w:ilvl w:val="0"/>
          <w:numId w:val="34"/>
        </w:numPr>
      </w:pPr>
      <w:r w:rsidRPr="00994FF3">
        <w:rPr>
          <w:bCs/>
        </w:rPr>
        <w:t xml:space="preserve">Requiring organizations to provide </w:t>
      </w:r>
      <w:r w:rsidRPr="00A4603B">
        <w:t xml:space="preserve">training to staff on how to provide accessible customer service (e.g. how to interact with a patient who uses a support person). </w:t>
      </w:r>
    </w:p>
    <w:p w:rsidR="00893821" w:rsidRPr="00A4603B" w:rsidRDefault="00893821" w:rsidP="00BC5BD4">
      <w:pPr>
        <w:pStyle w:val="ListParagraph"/>
        <w:numPr>
          <w:ilvl w:val="0"/>
          <w:numId w:val="34"/>
        </w:numPr>
      </w:pPr>
      <w:r w:rsidRPr="00A4603B">
        <w:t>Requiring organizations to provide information in accessible formats, upon request (e.g. providing large print instructions on how to take medication safely for someone with vision loss).</w:t>
      </w:r>
    </w:p>
    <w:p w:rsidR="00893821" w:rsidRPr="00A4603B" w:rsidRDefault="00893821" w:rsidP="00BC5BD4">
      <w:pPr>
        <w:pStyle w:val="ListParagraph"/>
        <w:numPr>
          <w:ilvl w:val="0"/>
          <w:numId w:val="34"/>
        </w:numPr>
      </w:pPr>
      <w:r w:rsidRPr="00A4603B">
        <w:t>Requiring organizations to make their websites accessible (e.g. websites on disease management that can be navigated by someone who uses a screen reader).</w:t>
      </w:r>
    </w:p>
    <w:p w:rsidR="00893821" w:rsidRPr="00A4603B" w:rsidRDefault="00893821" w:rsidP="00BC5BD4">
      <w:pPr>
        <w:pStyle w:val="ListParagraph"/>
        <w:numPr>
          <w:ilvl w:val="0"/>
          <w:numId w:val="34"/>
        </w:numPr>
      </w:pPr>
      <w:r w:rsidRPr="00A4603B">
        <w:t>Requiring organizations to incorporate accessibility criteria and features into their procurement practices (e.g. height-adjustable mammogram equipment that can be used by someone who uses a wheelchair).</w:t>
      </w:r>
    </w:p>
    <w:p w:rsidR="00893821" w:rsidRPr="00A4603B" w:rsidRDefault="00893821" w:rsidP="00BC5BD4">
      <w:pPr>
        <w:pStyle w:val="ListParagraph"/>
        <w:numPr>
          <w:ilvl w:val="0"/>
          <w:numId w:val="34"/>
        </w:numPr>
      </w:pPr>
      <w:r w:rsidRPr="00A4603B">
        <w:t>Public sector healthcare organizations (e.g. hospitals) that provide transportation services are required to provide accessible vehicles or equivalent services upon request.</w:t>
      </w:r>
    </w:p>
    <w:p w:rsidR="00893821" w:rsidRPr="00A4603B" w:rsidRDefault="00893821" w:rsidP="00893821">
      <w:pPr>
        <w:rPr>
          <w:lang w:val="en-US"/>
        </w:rPr>
      </w:pPr>
      <w:r w:rsidRPr="00A4603B">
        <w:t xml:space="preserve">In Ontario, </w:t>
      </w:r>
      <w:r w:rsidRPr="00A4603B">
        <w:rPr>
          <w:lang w:val="en-US"/>
        </w:rPr>
        <w:t xml:space="preserve">hospitals must establish, implement, maintain, and document a multi-year accessibility plan, which outlines the hospitals strategy to prevent and remove barriers and meet AODA requirements. As part of this, hospitals must consult with persons with disabilities, post the accessibility plan and provide the plan in an accessible format upon request. In addition, hospitals are required to prepare annual public status updates on the progress of the measures they have taken to implement the strategies referred to in </w:t>
      </w:r>
      <w:r w:rsidRPr="00A4603B">
        <w:rPr>
          <w:lang w:val="en-US"/>
        </w:rPr>
        <w:lastRenderedPageBreak/>
        <w:t>their accessibility plans. Finally, the plan must be reviewed and updated at least once every five years.</w:t>
      </w:r>
    </w:p>
    <w:p w:rsidR="00893821" w:rsidRPr="00A4603B" w:rsidRDefault="00893821" w:rsidP="00893821">
      <w:r w:rsidRPr="00A4603B">
        <w:t>In addition to the AODA and the five standards, other regulation and standards that apply to making healthcare more accessible to persons with disabilities include:</w:t>
      </w:r>
    </w:p>
    <w:p w:rsidR="00893821" w:rsidRPr="00A4603B" w:rsidRDefault="00893821" w:rsidP="00BC5BD4">
      <w:pPr>
        <w:pStyle w:val="ListParagraph"/>
        <w:numPr>
          <w:ilvl w:val="0"/>
          <w:numId w:val="35"/>
        </w:numPr>
      </w:pPr>
      <w:r w:rsidRPr="00994FF3">
        <w:rPr>
          <w:b/>
        </w:rPr>
        <w:t>Ontario Human Rights Code:</w:t>
      </w:r>
      <w:r w:rsidRPr="00A4603B">
        <w:t xml:space="preserve"> The Code prohibits actions that discriminate against people based on a protected ground in a protected social area. Protected grounds include those with disabilities. Protected social areas include accommodation (housing), contracts, employment, goods, services and facilities and membership in unions, trade or professional associations.</w:t>
      </w:r>
      <w:r w:rsidRPr="00A4603B">
        <w:rPr>
          <w:vertAlign w:val="superscript"/>
        </w:rPr>
        <w:footnoteReference w:id="5"/>
      </w:r>
      <w:r w:rsidRPr="00A4603B">
        <w:t xml:space="preserve"> </w:t>
      </w:r>
    </w:p>
    <w:p w:rsidR="00893821" w:rsidRPr="00A4603B" w:rsidRDefault="00893821" w:rsidP="00BC5BD4">
      <w:pPr>
        <w:pStyle w:val="ListParagraph"/>
        <w:numPr>
          <w:ilvl w:val="0"/>
          <w:numId w:val="35"/>
        </w:numPr>
      </w:pPr>
      <w:r w:rsidRPr="00994FF3">
        <w:rPr>
          <w:b/>
        </w:rPr>
        <w:t>Excellent Care for All Act:</w:t>
      </w:r>
      <w:r w:rsidRPr="00A4603B">
        <w:t xml:space="preserve"> Came into law in June of 2010, puts Ontario patients first by strengthening the health care sector's organizational focus and accountability to deliver high quality patient care. Legislative requirements of particular significance in the context of accessibility include patient satisfaction surveys and patient relations process to address and improve the patient experience.</w:t>
      </w:r>
      <w:r w:rsidRPr="00A4603B">
        <w:rPr>
          <w:vertAlign w:val="superscript"/>
        </w:rPr>
        <w:footnoteReference w:id="6"/>
      </w:r>
      <w:r w:rsidRPr="00A4603B">
        <w:t xml:space="preserve"> </w:t>
      </w:r>
    </w:p>
    <w:p w:rsidR="00893821" w:rsidRPr="00A4603B" w:rsidRDefault="00893821" w:rsidP="00BC5BD4">
      <w:pPr>
        <w:pStyle w:val="ListParagraph"/>
        <w:numPr>
          <w:ilvl w:val="0"/>
          <w:numId w:val="35"/>
        </w:numPr>
      </w:pPr>
      <w:r w:rsidRPr="00994FF3">
        <w:rPr>
          <w:b/>
        </w:rPr>
        <w:t>Services and Supports to Promote the Social Inclusion of Persons with Developmental Disabilities Act</w:t>
      </w:r>
      <w:r w:rsidRPr="00A4603B">
        <w:t>: Gives adults with a developmental disability more independence and choice.</w:t>
      </w:r>
      <w:r w:rsidRPr="00A4603B">
        <w:rPr>
          <w:vertAlign w:val="superscript"/>
        </w:rPr>
        <w:footnoteReference w:id="7"/>
      </w:r>
      <w:r w:rsidRPr="00A4603B">
        <w:t xml:space="preserve"> </w:t>
      </w:r>
    </w:p>
    <w:p w:rsidR="00893821" w:rsidRPr="00994FF3" w:rsidRDefault="00893821" w:rsidP="00BC5BD4">
      <w:pPr>
        <w:pStyle w:val="ListParagraph"/>
        <w:numPr>
          <w:ilvl w:val="0"/>
          <w:numId w:val="35"/>
        </w:numPr>
        <w:rPr>
          <w:b/>
        </w:rPr>
      </w:pPr>
      <w:r w:rsidRPr="00994FF3">
        <w:rPr>
          <w:b/>
        </w:rPr>
        <w:t xml:space="preserve">Ontario Mental Health Act: </w:t>
      </w:r>
      <w:r w:rsidRPr="00A4603B">
        <w:t>Sets out the criteria for voluntary, informal and involuntary admissions to specially designated psychiatric facilities, as well as for the management of psychiatric out-patients under Community Treatment Orders.</w:t>
      </w:r>
      <w:r w:rsidRPr="00A4603B">
        <w:rPr>
          <w:vertAlign w:val="superscript"/>
        </w:rPr>
        <w:footnoteReference w:id="8"/>
      </w:r>
      <w:r w:rsidRPr="00A4603B">
        <w:t xml:space="preserve"> </w:t>
      </w:r>
    </w:p>
    <w:p w:rsidR="00893821" w:rsidRPr="00994FF3" w:rsidRDefault="00893821" w:rsidP="00BC5BD4">
      <w:pPr>
        <w:pStyle w:val="ListParagraph"/>
        <w:numPr>
          <w:ilvl w:val="0"/>
          <w:numId w:val="35"/>
        </w:numPr>
        <w:rPr>
          <w:b/>
        </w:rPr>
      </w:pPr>
      <w:r w:rsidRPr="00994FF3">
        <w:rPr>
          <w:b/>
        </w:rPr>
        <w:t xml:space="preserve">Health Care Consent Act: </w:t>
      </w:r>
      <w:r w:rsidRPr="00A4603B">
        <w:t>Sets out rules for determining capacity in three key areas: treatment decisions; admission to care facilities; and personal assistance services.</w:t>
      </w:r>
      <w:r w:rsidRPr="00A4603B">
        <w:rPr>
          <w:vertAlign w:val="superscript"/>
        </w:rPr>
        <w:footnoteReference w:id="9"/>
      </w:r>
    </w:p>
    <w:p w:rsidR="00893821" w:rsidRPr="00A4603B" w:rsidRDefault="00893821" w:rsidP="00994FF3">
      <w:pPr>
        <w:pStyle w:val="Heading4"/>
      </w:pPr>
      <w:r w:rsidRPr="00A4603B">
        <w:t>Policies and Strategic Plans</w:t>
      </w:r>
    </w:p>
    <w:p w:rsidR="00893821" w:rsidRPr="00A4603B" w:rsidRDefault="00893821" w:rsidP="00893821">
      <w:r w:rsidRPr="00A4603B">
        <w:t xml:space="preserve">There are a number of policies and strategies in Ontario to support accessibility in the healthcare sector for those living with disabilities. </w:t>
      </w:r>
    </w:p>
    <w:p w:rsidR="00893821" w:rsidRPr="00A4603B" w:rsidRDefault="00893821" w:rsidP="00893821">
      <w:r w:rsidRPr="00A4603B">
        <w:t xml:space="preserve">The Ontario Human Rights Commission (OHRC) has a </w:t>
      </w:r>
      <w:r w:rsidRPr="00A4603B">
        <w:rPr>
          <w:i/>
        </w:rPr>
        <w:t>Policy and guidelines on disability and duty to accommodate</w:t>
      </w:r>
      <w:r w:rsidRPr="00A4603B">
        <w:t xml:space="preserve">. Under the Code, everyone has the right to be free </w:t>
      </w:r>
      <w:r w:rsidRPr="00A4603B">
        <w:lastRenderedPageBreak/>
        <w:t xml:space="preserve">from discrimination because of disability or perceived disability in the social areas of employment, services, goods, facilities, housing, contracts and membership in trade and vocational associations. This right means that persons with disabilities have the right to equal treatment, which includes the right to accessible workplaces, public transit, </w:t>
      </w:r>
      <w:r w:rsidRPr="00A4603B">
        <w:rPr>
          <w:u w:val="single"/>
        </w:rPr>
        <w:t>health services</w:t>
      </w:r>
      <w:r w:rsidRPr="00A4603B">
        <w:t xml:space="preserve">, restaurants, shops, and housing. As well, the OHRC has a </w:t>
      </w:r>
      <w:r w:rsidRPr="00A4603B">
        <w:rPr>
          <w:i/>
        </w:rPr>
        <w:t>Policy on preventing discrimination based on mental health disabilities and addictions</w:t>
      </w:r>
      <w:r w:rsidRPr="00A4603B">
        <w:t>. This provides guidance on how to assess, handle and resolve human rights matters related to mental health and/or addictions with the message that all of society benefits when people with mental health or addiction disabilities are given equal opportunity to take part at all levels.</w:t>
      </w:r>
      <w:r w:rsidRPr="00A4603B">
        <w:rPr>
          <w:vertAlign w:val="superscript"/>
        </w:rPr>
        <w:footnoteReference w:id="10"/>
      </w:r>
    </w:p>
    <w:p w:rsidR="00893821" w:rsidRPr="00A4603B" w:rsidRDefault="00893821" w:rsidP="00893821">
      <w:r w:rsidRPr="00A4603B">
        <w:t xml:space="preserve">In 2011, Ontario launched </w:t>
      </w:r>
      <w:r w:rsidRPr="00A4603B">
        <w:rPr>
          <w:i/>
        </w:rPr>
        <w:t xml:space="preserve">Open Minds, Healthy Minds: Ontario’s Comprehensive Mental Health and Addictions Strategy, </w:t>
      </w:r>
      <w:r w:rsidRPr="00A4603B">
        <w:t>a 10-year strategy to deliver mental health and addictions services to Ontarians in an integrated, coordinated and effective way.</w:t>
      </w:r>
      <w:r w:rsidRPr="00A4603B">
        <w:rPr>
          <w:vertAlign w:val="superscript"/>
        </w:rPr>
        <w:footnoteReference w:id="11"/>
      </w:r>
      <w:r w:rsidRPr="00A4603B">
        <w:t xml:space="preserve"> The first three years included a $93 million investment focusing on children and youth, resulting in over 770 new mental health workers in schools, communities and courts. In 2012, </w:t>
      </w:r>
      <w:r w:rsidRPr="00A4603B">
        <w:rPr>
          <w:i/>
        </w:rPr>
        <w:t>Moving on Mental Health</w:t>
      </w:r>
      <w:r w:rsidRPr="00A4603B">
        <w:t xml:space="preserve"> was launched in 2012 with the focus of providing children and youth information on mental health services. </w:t>
      </w:r>
    </w:p>
    <w:p w:rsidR="00893821" w:rsidRPr="00A4603B" w:rsidRDefault="00893821" w:rsidP="00893821">
      <w:r w:rsidRPr="00A4603B">
        <w:t xml:space="preserve">The next phase of </w:t>
      </w:r>
      <w:r w:rsidRPr="00A4603B">
        <w:rPr>
          <w:i/>
        </w:rPr>
        <w:t>Open Minds, Health Minds</w:t>
      </w:r>
      <w:r w:rsidRPr="00A4603B">
        <w:t xml:space="preserve"> is aimed at improving transitions of services between youth and adults, and providing improved services to Canadians of all ages (increasing investments of $65 million in 2014-2015 and $83 million in 2016-17). Strategies are focused on:</w:t>
      </w:r>
    </w:p>
    <w:p w:rsidR="00893821" w:rsidRPr="00A4603B" w:rsidRDefault="00893821" w:rsidP="00BC5BD4">
      <w:pPr>
        <w:pStyle w:val="ListParagraph"/>
        <w:numPr>
          <w:ilvl w:val="0"/>
          <w:numId w:val="36"/>
        </w:numPr>
      </w:pPr>
      <w:r w:rsidRPr="00A4603B">
        <w:t>Promoting mental health and well-being</w:t>
      </w:r>
    </w:p>
    <w:p w:rsidR="00893821" w:rsidRPr="00A4603B" w:rsidRDefault="00893821" w:rsidP="00BC5BD4">
      <w:pPr>
        <w:pStyle w:val="ListParagraph"/>
        <w:numPr>
          <w:ilvl w:val="0"/>
          <w:numId w:val="36"/>
        </w:numPr>
      </w:pPr>
      <w:r w:rsidRPr="00A4603B">
        <w:t>Ensuring early identification and intervention</w:t>
      </w:r>
    </w:p>
    <w:p w:rsidR="00893821" w:rsidRPr="00A4603B" w:rsidRDefault="00893821" w:rsidP="00BC5BD4">
      <w:pPr>
        <w:pStyle w:val="ListParagraph"/>
        <w:numPr>
          <w:ilvl w:val="0"/>
          <w:numId w:val="36"/>
        </w:numPr>
      </w:pPr>
      <w:r w:rsidRPr="00A4603B">
        <w:t>Expanding housing, employment supports and diversion and transitions from the justice system</w:t>
      </w:r>
    </w:p>
    <w:p w:rsidR="00893821" w:rsidRPr="00A4603B" w:rsidRDefault="00893821" w:rsidP="00BC5BD4">
      <w:pPr>
        <w:pStyle w:val="ListParagraph"/>
        <w:numPr>
          <w:ilvl w:val="0"/>
          <w:numId w:val="36"/>
        </w:numPr>
      </w:pPr>
      <w:r w:rsidRPr="00A4603B">
        <w:t>Providing the Right Care, at the Right Time, in the Right Place, and</w:t>
      </w:r>
    </w:p>
    <w:p w:rsidR="00893821" w:rsidRPr="00A4603B" w:rsidRDefault="00893821" w:rsidP="00BC5BD4">
      <w:pPr>
        <w:pStyle w:val="ListParagraph"/>
        <w:numPr>
          <w:ilvl w:val="0"/>
          <w:numId w:val="36"/>
        </w:numPr>
      </w:pPr>
      <w:r w:rsidRPr="00A4603B">
        <w:t>Funding based on need and quality.</w:t>
      </w:r>
    </w:p>
    <w:p w:rsidR="00893821" w:rsidRPr="00A4603B" w:rsidRDefault="00893821" w:rsidP="00893821">
      <w:r w:rsidRPr="00A4603B">
        <w:t xml:space="preserve">In 2015, Ontario released the next phase of its Action Plan for Health Care, called </w:t>
      </w:r>
      <w:r w:rsidRPr="00A4603B">
        <w:rPr>
          <w:i/>
        </w:rPr>
        <w:t>Patients First</w:t>
      </w:r>
      <w:r w:rsidRPr="00A4603B">
        <w:t xml:space="preserve"> designed to put people and patients first by improving their health care experience and outcomes. The plan focuses on four key objectives: access, connect, </w:t>
      </w:r>
      <w:r w:rsidRPr="00A4603B">
        <w:lastRenderedPageBreak/>
        <w:t>inform, and protect, which include commitments to improving and expanding mental health services.</w:t>
      </w:r>
      <w:r w:rsidRPr="00A4603B">
        <w:rPr>
          <w:vertAlign w:val="superscript"/>
        </w:rPr>
        <w:footnoteReference w:id="12"/>
      </w:r>
      <w:r w:rsidRPr="00A4603B">
        <w:t xml:space="preserve">  </w:t>
      </w:r>
    </w:p>
    <w:p w:rsidR="00893821" w:rsidRPr="00A4603B" w:rsidRDefault="00893821" w:rsidP="00893821">
      <w:r w:rsidRPr="00A4603B">
        <w:t xml:space="preserve">Finally, the Law Commission of Ontario’s </w:t>
      </w:r>
      <w:r w:rsidRPr="00A4603B">
        <w:rPr>
          <w:i/>
        </w:rPr>
        <w:t>Framework for the Law as it Affects Persons with Disabilities</w:t>
      </w:r>
      <w:r w:rsidRPr="00A4603B">
        <w:t xml:space="preserve"> was established in 2012 to help evaluate new or existing laws, policies and practices and understand their impact on persons with disabilities. It can be used to assist anyone who develops, interprets, implements or assesses laws, policies or practices that may affect persons with disabilities.</w:t>
      </w:r>
      <w:r w:rsidRPr="00A4603B">
        <w:rPr>
          <w:vertAlign w:val="superscript"/>
        </w:rPr>
        <w:footnoteReference w:id="13"/>
      </w:r>
    </w:p>
    <w:p w:rsidR="00893821" w:rsidRPr="00A4603B" w:rsidRDefault="00893821" w:rsidP="00994FF3">
      <w:pPr>
        <w:pStyle w:val="Heading4"/>
      </w:pPr>
      <w:r w:rsidRPr="00A4603B">
        <w:t>Programs</w:t>
      </w:r>
    </w:p>
    <w:p w:rsidR="00893821" w:rsidRPr="00A4603B" w:rsidRDefault="00893821" w:rsidP="00893821">
      <w:r w:rsidRPr="00A4603B">
        <w:t>There are variety of programs in place in Ontario to support access and equity in the healthcare system. These include:</w:t>
      </w:r>
    </w:p>
    <w:p w:rsidR="00893821" w:rsidRPr="00A4603B" w:rsidRDefault="00893821" w:rsidP="00BC5BD4">
      <w:pPr>
        <w:pStyle w:val="ListParagraph"/>
        <w:numPr>
          <w:ilvl w:val="0"/>
          <w:numId w:val="37"/>
        </w:numPr>
      </w:pPr>
      <w:r w:rsidRPr="00A4603B">
        <w:t>Ontario Disability Support Program (ODSP) and Dental Care</w:t>
      </w:r>
    </w:p>
    <w:p w:rsidR="00893821" w:rsidRPr="00A4603B" w:rsidRDefault="00893821" w:rsidP="00BC5BD4">
      <w:pPr>
        <w:pStyle w:val="ListParagraph"/>
        <w:numPr>
          <w:ilvl w:val="0"/>
          <w:numId w:val="37"/>
        </w:numPr>
      </w:pPr>
      <w:r w:rsidRPr="00A4603B">
        <w:t>Assistive Devices Programs</w:t>
      </w:r>
    </w:p>
    <w:p w:rsidR="00893821" w:rsidRPr="00A4603B" w:rsidRDefault="00893821" w:rsidP="00BC5BD4">
      <w:pPr>
        <w:pStyle w:val="ListParagraph"/>
        <w:numPr>
          <w:ilvl w:val="0"/>
          <w:numId w:val="37"/>
        </w:numPr>
      </w:pPr>
      <w:r w:rsidRPr="00A4603B">
        <w:t>Manual Wheelchair Recycling Programs</w:t>
      </w:r>
    </w:p>
    <w:p w:rsidR="00893821" w:rsidRPr="00A4603B" w:rsidRDefault="00893821" w:rsidP="00BC5BD4">
      <w:pPr>
        <w:pStyle w:val="ListParagraph"/>
        <w:numPr>
          <w:ilvl w:val="0"/>
          <w:numId w:val="37"/>
        </w:numPr>
      </w:pPr>
      <w:r w:rsidRPr="00A4603B">
        <w:t>Community Services for the Deaf of Deafblind</w:t>
      </w:r>
    </w:p>
    <w:p w:rsidR="00893821" w:rsidRPr="00A4603B" w:rsidRDefault="00893821" w:rsidP="00BC5BD4">
      <w:pPr>
        <w:pStyle w:val="ListParagraph"/>
        <w:numPr>
          <w:ilvl w:val="0"/>
          <w:numId w:val="37"/>
        </w:numPr>
      </w:pPr>
      <w:r w:rsidRPr="00A4603B">
        <w:t>Developmental services</w:t>
      </w:r>
    </w:p>
    <w:p w:rsidR="00893821" w:rsidRPr="00A4603B" w:rsidRDefault="00893821" w:rsidP="00BC5BD4">
      <w:pPr>
        <w:pStyle w:val="ListParagraph"/>
        <w:numPr>
          <w:ilvl w:val="0"/>
          <w:numId w:val="37"/>
        </w:numPr>
      </w:pPr>
      <w:r w:rsidRPr="00A4603B">
        <w:t>Special Services at Home, and</w:t>
      </w:r>
    </w:p>
    <w:p w:rsidR="00893821" w:rsidRPr="00A4603B" w:rsidRDefault="00893821" w:rsidP="00BC5BD4">
      <w:pPr>
        <w:pStyle w:val="ListParagraph"/>
        <w:numPr>
          <w:ilvl w:val="0"/>
          <w:numId w:val="37"/>
        </w:numPr>
      </w:pPr>
      <w:r w:rsidRPr="00A4603B">
        <w:t>Tax credits and benefits, including Assistance for children with severe disabilities, Healthy homes renovation tax credits, Home and vehicle modification program and Drug benefit programs.</w:t>
      </w:r>
    </w:p>
    <w:p w:rsidR="00893821" w:rsidRPr="00A4603B" w:rsidRDefault="00994FF3" w:rsidP="00994FF3">
      <w:pPr>
        <w:pStyle w:val="Heading3"/>
      </w:pPr>
      <w:bookmarkStart w:id="36" w:name="_Toc424669252"/>
      <w:r>
        <w:t xml:space="preserve">3.2.2 </w:t>
      </w:r>
      <w:r w:rsidR="00893821" w:rsidRPr="00A4603B">
        <w:t>Comparison to other Jurisdictions</w:t>
      </w:r>
      <w:bookmarkEnd w:id="36"/>
    </w:p>
    <w:p w:rsidR="00893821" w:rsidRPr="00A4603B" w:rsidRDefault="00893821" w:rsidP="00994FF3">
      <w:pPr>
        <w:pStyle w:val="Heading4"/>
      </w:pPr>
      <w:r w:rsidRPr="00A4603B">
        <w:t>Regulations and Standards</w:t>
      </w:r>
    </w:p>
    <w:p w:rsidR="00893821" w:rsidRPr="00A4603B" w:rsidRDefault="00893821" w:rsidP="00893821">
      <w:r w:rsidRPr="00A4603B">
        <w:t>Overall, Ontario appears to be comparable or better than other jurisdictions as it relates to regulatory requirements and standards to help make healthcare more accessible to persons with disabilities. No jurisdiction in scope had specific healthcare accessibility regulations or standards in place. Rather, regulation focused on equality, human rights, physical access (e.g. accommodation, building codes, design of public spaces, etc.) or mental health, which have applicability to the healthcare sector. Other standards in place concentrated on the traditional areas of accessibility as it relates to customer service and information and communications.</w:t>
      </w:r>
    </w:p>
    <w:p w:rsidR="00994FF3" w:rsidRDefault="00994FF3" w:rsidP="00994FF3">
      <w:pPr>
        <w:pStyle w:val="Heading5"/>
      </w:pPr>
      <w:r>
        <w:t>Notable Practices</w:t>
      </w:r>
    </w:p>
    <w:p w:rsidR="00893821" w:rsidRPr="00A4603B" w:rsidRDefault="00893821" w:rsidP="00893821">
      <w:r w:rsidRPr="00A4603B">
        <w:lastRenderedPageBreak/>
        <w:t xml:space="preserve">Our analysis of Ontario relative to the publicly available research conducted on other jurisdictions identified the following gaps or different approaches have been organized into themes that could warrant further investigation by the ADO. For each theme, we have indicated the level (e.g. federal, provincial/state, municipal) at which the regulations or standards are applied. </w:t>
      </w:r>
    </w:p>
    <w:tbl>
      <w:tblPr>
        <w:tblStyle w:val="LightList"/>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gulations and standards"/>
        <w:tblDescription w:val="Gaps or different approaches by theme that could warrant further investigation by the ADO. For each theme, we have indicated the level (e.g. federal, provincial/state, municipal) at which the regulations or standards are applied. "/>
      </w:tblPr>
      <w:tblGrid>
        <w:gridCol w:w="1728"/>
        <w:gridCol w:w="5382"/>
        <w:gridCol w:w="2062"/>
      </w:tblGrid>
      <w:tr w:rsidR="00893821" w:rsidRPr="00A4603B" w:rsidTr="00D04B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28" w:type="dxa"/>
          </w:tcPr>
          <w:p w:rsidR="00893821" w:rsidRPr="00A4603B" w:rsidRDefault="00893821" w:rsidP="005A3CF1">
            <w:pPr>
              <w:spacing w:after="200" w:line="276" w:lineRule="auto"/>
              <w:rPr>
                <w:b w:val="0"/>
                <w:color w:val="auto"/>
              </w:rPr>
            </w:pPr>
            <w:r w:rsidRPr="00A4603B">
              <w:rPr>
                <w:b w:val="0"/>
                <w:color w:val="auto"/>
              </w:rPr>
              <w:t>Theme</w:t>
            </w:r>
          </w:p>
        </w:tc>
        <w:tc>
          <w:tcPr>
            <w:tcW w:w="5382" w:type="dxa"/>
          </w:tcPr>
          <w:p w:rsidR="00893821" w:rsidRPr="00A4603B" w:rsidRDefault="00893821" w:rsidP="005A3CF1">
            <w:pPr>
              <w:spacing w:after="200"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A4603B">
              <w:rPr>
                <w:b w:val="0"/>
                <w:color w:val="auto"/>
              </w:rPr>
              <w:t>Description</w:t>
            </w:r>
          </w:p>
        </w:tc>
        <w:tc>
          <w:tcPr>
            <w:tcW w:w="2062" w:type="dxa"/>
          </w:tcPr>
          <w:p w:rsidR="00893821" w:rsidRPr="00A4603B" w:rsidRDefault="00893821" w:rsidP="005A3CF1">
            <w:pPr>
              <w:spacing w:after="200"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A4603B">
              <w:rPr>
                <w:b w:val="0"/>
                <w:color w:val="auto"/>
              </w:rPr>
              <w:t xml:space="preserve">Applicability </w:t>
            </w:r>
          </w:p>
        </w:tc>
      </w:tr>
      <w:tr w:rsidR="00893821" w:rsidRPr="00A4603B" w:rsidTr="00994FF3">
        <w:trPr>
          <w:cnfStyle w:val="000000100000" w:firstRow="0" w:lastRow="0" w:firstColumn="0" w:lastColumn="0" w:oddVBand="0" w:evenVBand="0" w:oddHBand="1" w:evenHBand="0" w:firstRowFirstColumn="0" w:firstRowLastColumn="0" w:lastRowFirstColumn="0" w:lastRowLastColumn="0"/>
          <w:trHeight w:val="2304"/>
        </w:trPr>
        <w:tc>
          <w:tcPr>
            <w:cnfStyle w:val="001000000000" w:firstRow="0" w:lastRow="0" w:firstColumn="1" w:lastColumn="0" w:oddVBand="0" w:evenVBand="0" w:oddHBand="0" w:evenHBand="0" w:firstRowFirstColumn="0" w:firstRowLastColumn="0" w:lastRowFirstColumn="0" w:lastRowLastColumn="0"/>
            <w:tcW w:w="1728"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b w:val="0"/>
              </w:rPr>
            </w:pPr>
            <w:r w:rsidRPr="00A4603B">
              <w:rPr>
                <w:b w:val="0"/>
              </w:rPr>
              <w:t>Healthcare Building Code and Design Standards</w:t>
            </w:r>
          </w:p>
          <w:p w:rsidR="00893821" w:rsidRPr="00A4603B" w:rsidRDefault="00893821" w:rsidP="005A3CF1">
            <w:pPr>
              <w:spacing w:after="200" w:line="276" w:lineRule="auto"/>
              <w:rPr>
                <w:b w:val="0"/>
              </w:rPr>
            </w:pPr>
          </w:p>
        </w:tc>
        <w:tc>
          <w:tcPr>
            <w:tcW w:w="5382" w:type="dxa"/>
            <w:tcBorders>
              <w:top w:val="none" w:sz="0" w:space="0" w:color="auto"/>
              <w:bottom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b/>
              </w:rPr>
            </w:pPr>
            <w:r w:rsidRPr="00A4603B">
              <w:rPr>
                <w:b/>
              </w:rPr>
              <w:t xml:space="preserve">Most jurisdictions have building codes and/or design standards in place to ensure accessibility for people with disabilities. However, some jurisdictions also have standards specific to healthcare infrastructure. For example New Brunswick has </w:t>
            </w:r>
            <w:r w:rsidRPr="00A4603B">
              <w:rPr>
                <w:b/>
                <w:i/>
              </w:rPr>
              <w:t>Design Standards for Nursing Homes</w:t>
            </w:r>
            <w:r w:rsidRPr="00A4603B">
              <w:rPr>
                <w:b/>
              </w:rPr>
              <w:t xml:space="preserve"> (provincial) and P.E.I has </w:t>
            </w:r>
            <w:r w:rsidRPr="00A4603B">
              <w:rPr>
                <w:b/>
                <w:i/>
              </w:rPr>
              <w:t xml:space="preserve">Operational and Care Service Standards for Private Nursing Homes </w:t>
            </w:r>
            <w:r w:rsidRPr="00A4603B">
              <w:rPr>
                <w:b/>
              </w:rPr>
              <w:t xml:space="preserve">(provincial), which ensures complete accessibility for patients with disabilities. In Ontario, the Long Term Care Act does speak to design as it relates to room type, locks and lighting, but does not explicitly focus on accessibility.  </w:t>
            </w:r>
          </w:p>
        </w:tc>
        <w:tc>
          <w:tcPr>
            <w:tcW w:w="2062"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b/>
                <w:i/>
              </w:rPr>
            </w:pPr>
            <w:r w:rsidRPr="00A4603B">
              <w:rPr>
                <w:b/>
                <w:i/>
              </w:rPr>
              <w:t>Provincial regulatory requirements for private institutions</w:t>
            </w:r>
          </w:p>
        </w:tc>
      </w:tr>
      <w:tr w:rsidR="00893821" w:rsidRPr="00A4603B" w:rsidTr="00994FF3">
        <w:trPr>
          <w:trHeight w:val="3563"/>
        </w:trPr>
        <w:tc>
          <w:tcPr>
            <w:cnfStyle w:val="001000000000" w:firstRow="0" w:lastRow="0" w:firstColumn="1" w:lastColumn="0" w:oddVBand="0" w:evenVBand="0" w:oddHBand="0" w:evenHBand="0" w:firstRowFirstColumn="0" w:firstRowLastColumn="0" w:lastRowFirstColumn="0" w:lastRowLastColumn="0"/>
            <w:tcW w:w="1728" w:type="dxa"/>
          </w:tcPr>
          <w:p w:rsidR="00893821" w:rsidRPr="00A4603B" w:rsidRDefault="00893821" w:rsidP="005A3CF1">
            <w:pPr>
              <w:spacing w:after="200" w:line="276" w:lineRule="auto"/>
              <w:rPr>
                <w:b w:val="0"/>
              </w:rPr>
            </w:pPr>
            <w:r w:rsidRPr="00A4603B">
              <w:rPr>
                <w:b w:val="0"/>
              </w:rPr>
              <w:t>Protection for Guide Dog or Service Animals</w:t>
            </w:r>
          </w:p>
        </w:tc>
        <w:tc>
          <w:tcPr>
            <w:tcW w:w="5382"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b/>
              </w:rPr>
            </w:pPr>
            <w:r w:rsidRPr="00A4603B">
              <w:rPr>
                <w:b/>
              </w:rPr>
              <w:t xml:space="preserve">In Ontario, the </w:t>
            </w:r>
            <w:r w:rsidRPr="00A4603B">
              <w:rPr>
                <w:b/>
                <w:i/>
              </w:rPr>
              <w:t>Blind Persons’ Rights Act</w:t>
            </w:r>
            <w:r w:rsidRPr="00A4603B">
              <w:rPr>
                <w:b/>
              </w:rPr>
              <w:t xml:space="preserve"> protects a blind person accompanied by a guide dog from the denial of, or discrimination in the provision of, accommodation, services or facilities available in any place to which the public is customarily admitted. However, as part of its Accessibility 2024 plan, British Columbia has recently developed the </w:t>
            </w:r>
            <w:r w:rsidRPr="00A4603B">
              <w:rPr>
                <w:b/>
                <w:i/>
              </w:rPr>
              <w:t>Guide Dog and Service Dog Act</w:t>
            </w:r>
            <w:r w:rsidRPr="00A4603B">
              <w:rPr>
                <w:b/>
              </w:rPr>
              <w:t xml:space="preserve">, 2015. If passed, the Act will ensure that: individuals accompanied by a certified guide or service dog are guaranteed the same rights and privileges as anyone else; dogs or puppies-in-training, when accompanied by a certified trainer, will be allowed to go into any public place where a </w:t>
            </w:r>
            <w:r w:rsidRPr="00A4603B">
              <w:rPr>
                <w:b/>
              </w:rPr>
              <w:lastRenderedPageBreak/>
              <w:t>fully certified dog can go; high and consistent training standards are established.</w:t>
            </w:r>
          </w:p>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b/>
              </w:rPr>
            </w:pPr>
            <w:r w:rsidRPr="00A4603B">
              <w:rPr>
                <w:b/>
              </w:rPr>
              <w:t>Other jurisdictions with specific regulation for guide dogs and service animals included Alberta and the United States (federally), California (state level) and New York (state level).</w:t>
            </w:r>
          </w:p>
        </w:tc>
        <w:tc>
          <w:tcPr>
            <w:tcW w:w="2062"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b/>
                <w:i/>
              </w:rPr>
            </w:pPr>
            <w:r w:rsidRPr="00A4603B">
              <w:rPr>
                <w:b/>
                <w:i/>
              </w:rPr>
              <w:lastRenderedPageBreak/>
              <w:t>Federal or provincial regulatory requirements for individuals</w:t>
            </w:r>
          </w:p>
        </w:tc>
      </w:tr>
      <w:tr w:rsidR="00893821" w:rsidRPr="00A4603B" w:rsidTr="00994FF3">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728"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b w:val="0"/>
              </w:rPr>
            </w:pPr>
            <w:r w:rsidRPr="00A4603B">
              <w:rPr>
                <w:b w:val="0"/>
              </w:rPr>
              <w:lastRenderedPageBreak/>
              <w:t>Medical Diagnostic Equipment</w:t>
            </w:r>
          </w:p>
        </w:tc>
        <w:tc>
          <w:tcPr>
            <w:tcW w:w="5382" w:type="dxa"/>
            <w:tcBorders>
              <w:top w:val="none" w:sz="0" w:space="0" w:color="auto"/>
              <w:bottom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b/>
              </w:rPr>
            </w:pPr>
            <w:r w:rsidRPr="00A4603B">
              <w:rPr>
                <w:b/>
                <w:lang w:val="en-US"/>
              </w:rPr>
              <w:t xml:space="preserve">Under the </w:t>
            </w:r>
            <w:r w:rsidRPr="00A4603B">
              <w:rPr>
                <w:b/>
                <w:i/>
                <w:lang w:val="en-US"/>
              </w:rPr>
              <w:t xml:space="preserve">Patient Protection and Affordable Care Act </w:t>
            </w:r>
            <w:r w:rsidRPr="00A4603B">
              <w:rPr>
                <w:b/>
                <w:lang w:val="en-US"/>
              </w:rPr>
              <w:t>(US federal)</w:t>
            </w:r>
            <w:r w:rsidRPr="00A4603B">
              <w:rPr>
                <w:b/>
                <w:i/>
                <w:lang w:val="en-US"/>
              </w:rPr>
              <w:t xml:space="preserve">, </w:t>
            </w:r>
            <w:r w:rsidRPr="00A4603B">
              <w:rPr>
                <w:b/>
                <w:lang w:val="en-US"/>
              </w:rPr>
              <w:t xml:space="preserve">the United States Access Board is developing accessibility standards for medical diagnostic equipment, including examination tables and chairs, weight scales, radiological equipment, and mammography equipment </w:t>
            </w:r>
          </w:p>
        </w:tc>
        <w:tc>
          <w:tcPr>
            <w:tcW w:w="2062"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b/>
                <w:i/>
                <w:lang w:val="en-US"/>
              </w:rPr>
            </w:pPr>
            <w:r w:rsidRPr="00A4603B">
              <w:rPr>
                <w:b/>
                <w:i/>
                <w:lang w:val="en-US"/>
              </w:rPr>
              <w:t>Federal regulatory requirements</w:t>
            </w:r>
          </w:p>
        </w:tc>
      </w:tr>
      <w:tr w:rsidR="00893821" w:rsidRPr="00A4603B" w:rsidTr="00994FF3">
        <w:trPr>
          <w:trHeight w:val="3167"/>
        </w:trPr>
        <w:tc>
          <w:tcPr>
            <w:cnfStyle w:val="001000000000" w:firstRow="0" w:lastRow="0" w:firstColumn="1" w:lastColumn="0" w:oddVBand="0" w:evenVBand="0" w:oddHBand="0" w:evenHBand="0" w:firstRowFirstColumn="0" w:firstRowLastColumn="0" w:lastRowFirstColumn="0" w:lastRowLastColumn="0"/>
            <w:tcW w:w="1728" w:type="dxa"/>
          </w:tcPr>
          <w:p w:rsidR="00893821" w:rsidRPr="00A4603B" w:rsidRDefault="00893821" w:rsidP="005A3CF1">
            <w:pPr>
              <w:spacing w:after="200" w:line="276" w:lineRule="auto"/>
              <w:rPr>
                <w:b w:val="0"/>
              </w:rPr>
            </w:pPr>
            <w:r w:rsidRPr="00A4603B">
              <w:rPr>
                <w:b w:val="0"/>
              </w:rPr>
              <w:t>Prescription Drug Labelling</w:t>
            </w:r>
          </w:p>
        </w:tc>
        <w:tc>
          <w:tcPr>
            <w:tcW w:w="5382"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b/>
              </w:rPr>
            </w:pPr>
            <w:r w:rsidRPr="00A4603B">
              <w:rPr>
                <w:b/>
              </w:rPr>
              <w:t>In July 2014, the Canadian Pharmacists Journal reported that labels on prescription medications dispensed by pharmacies do not consistently follow professionally recommended guidelines for legibility. According to Waterloo’s School of Optometry and Vision Science, regulations in Ontario only exist for the content of prescription labels rather than their appearance.</w:t>
            </w:r>
            <w:r w:rsidRPr="00A4603B">
              <w:rPr>
                <w:b/>
                <w:vertAlign w:val="superscript"/>
              </w:rPr>
              <w:footnoteReference w:id="14"/>
            </w:r>
          </w:p>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b/>
                <w:lang w:val="en-US"/>
              </w:rPr>
            </w:pPr>
            <w:r w:rsidRPr="00A4603B">
              <w:rPr>
                <w:b/>
                <w:lang w:val="en-US"/>
              </w:rPr>
              <w:t xml:space="preserve">Authorized by the </w:t>
            </w:r>
            <w:r w:rsidRPr="00A4603B">
              <w:rPr>
                <w:b/>
                <w:i/>
                <w:lang w:val="en-US"/>
              </w:rPr>
              <w:t>Food and Drug Administration Safety and Innovation Act</w:t>
            </w:r>
            <w:r w:rsidRPr="00A4603B">
              <w:rPr>
                <w:b/>
                <w:lang w:val="en-US"/>
              </w:rPr>
              <w:t xml:space="preserve"> (US federal)</w:t>
            </w:r>
            <w:r w:rsidRPr="00A4603B">
              <w:rPr>
                <w:b/>
                <w:i/>
                <w:lang w:val="en-US"/>
              </w:rPr>
              <w:t xml:space="preserve">, </w:t>
            </w:r>
            <w:r w:rsidRPr="00A4603B">
              <w:rPr>
                <w:b/>
                <w:lang w:val="en-US"/>
              </w:rPr>
              <w:t xml:space="preserve">the United States Access Board is leading an effort to develop advisory guidance on making prescription-drug </w:t>
            </w:r>
            <w:r w:rsidRPr="00A4603B">
              <w:rPr>
                <w:b/>
                <w:lang w:val="en-US"/>
              </w:rPr>
              <w:lastRenderedPageBreak/>
              <w:t>container labels accessible to people who are blind or visually impaired or who are elderly. The Act includes provisions that establish national best practices for retail and other pharmacies to use in providing accessible prescription drug labeling to customers with vision loss.</w:t>
            </w:r>
          </w:p>
        </w:tc>
        <w:tc>
          <w:tcPr>
            <w:tcW w:w="2062"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b/>
                <w:i/>
              </w:rPr>
            </w:pPr>
            <w:r w:rsidRPr="00A4603B">
              <w:rPr>
                <w:b/>
                <w:i/>
              </w:rPr>
              <w:lastRenderedPageBreak/>
              <w:t>Federal regulatory requirements</w:t>
            </w:r>
          </w:p>
        </w:tc>
      </w:tr>
    </w:tbl>
    <w:p w:rsidR="00893821" w:rsidRPr="00A4603B" w:rsidRDefault="00893821" w:rsidP="00994FF3">
      <w:pPr>
        <w:pStyle w:val="Heading4"/>
      </w:pPr>
      <w:r w:rsidRPr="00A4603B">
        <w:lastRenderedPageBreak/>
        <w:t xml:space="preserve">Policies and Strategies </w:t>
      </w:r>
    </w:p>
    <w:p w:rsidR="00893821" w:rsidRPr="00A4603B" w:rsidRDefault="00893821" w:rsidP="00893821">
      <w:r w:rsidRPr="00A4603B">
        <w:t xml:space="preserve">Again, Ontario appears to be comparable or better than other jurisdictions as it relates to policies and strategic initiatives to help make healthcare more accessible to persons with disabilities. Similar to Ontario, other jurisdictions had accessibility plans, disability strategies and action plans and equal access policies in place. Most policies and strategies related to certain aspects of the healthcare system or types of disabilities rather than all-encompassing guidance. </w:t>
      </w:r>
    </w:p>
    <w:p w:rsidR="00994FF3" w:rsidRDefault="00994FF3" w:rsidP="00994FF3">
      <w:pPr>
        <w:pStyle w:val="Heading5"/>
      </w:pPr>
      <w:r>
        <w:t>Notable Practices</w:t>
      </w:r>
    </w:p>
    <w:p w:rsidR="00893821" w:rsidRPr="00A4603B" w:rsidRDefault="00893821" w:rsidP="00893821">
      <w:r w:rsidRPr="00A4603B">
        <w:t xml:space="preserve">However, select jurisdictions had unique policies and/or strategies in place that Ontario may wish to consider. Given the focus of the research for many of the jurisdictions outside Canada was at the national level, the policies and strategies included below are driven from the federal level but have applicability to the sub-national level. </w:t>
      </w:r>
    </w:p>
    <w:tbl>
      <w:tblPr>
        <w:tblStyle w:val="LightList"/>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Policies and strategies"/>
        <w:tblDescription w:val="Select jurisdictions had unique policies and/or strategies in place that Ontario may wish to consider. The policies and strategies included are driven from the federal level but have applicability to the sub-national level. "/>
      </w:tblPr>
      <w:tblGrid>
        <w:gridCol w:w="2268"/>
        <w:gridCol w:w="6804"/>
      </w:tblGrid>
      <w:tr w:rsidR="00893821" w:rsidRPr="00A4603B" w:rsidTr="00D04B3A">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2268" w:type="dxa"/>
          </w:tcPr>
          <w:p w:rsidR="00893821" w:rsidRPr="00A4603B" w:rsidRDefault="00893821" w:rsidP="005A3CF1">
            <w:pPr>
              <w:spacing w:after="200" w:line="276" w:lineRule="auto"/>
              <w:rPr>
                <w:b w:val="0"/>
                <w:color w:val="auto"/>
              </w:rPr>
            </w:pPr>
            <w:r w:rsidRPr="00A4603B">
              <w:rPr>
                <w:b w:val="0"/>
                <w:color w:val="auto"/>
              </w:rPr>
              <w:t>Policies/Strategies</w:t>
            </w:r>
          </w:p>
        </w:tc>
        <w:tc>
          <w:tcPr>
            <w:tcW w:w="6804" w:type="dxa"/>
          </w:tcPr>
          <w:p w:rsidR="00893821" w:rsidRPr="00A4603B" w:rsidRDefault="00893821" w:rsidP="005A3CF1">
            <w:pPr>
              <w:spacing w:after="200" w:line="276" w:lineRule="auto"/>
              <w:cnfStyle w:val="100000000000" w:firstRow="1" w:lastRow="0" w:firstColumn="0" w:lastColumn="0" w:oddVBand="0" w:evenVBand="0" w:oddHBand="0" w:evenHBand="0" w:firstRowFirstColumn="0" w:firstRowLastColumn="0" w:lastRowFirstColumn="0" w:lastRowLastColumn="0"/>
              <w:rPr>
                <w:b w:val="0"/>
                <w:color w:val="auto"/>
              </w:rPr>
            </w:pPr>
            <w:r w:rsidRPr="00A4603B">
              <w:rPr>
                <w:b w:val="0"/>
                <w:color w:val="auto"/>
              </w:rPr>
              <w:t>Description</w:t>
            </w:r>
          </w:p>
        </w:tc>
      </w:tr>
      <w:tr w:rsidR="00893821" w:rsidRPr="00A4603B" w:rsidTr="00994FF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tcBorders>
          </w:tcPr>
          <w:p w:rsidR="00893821" w:rsidRPr="001F0911" w:rsidRDefault="00893821" w:rsidP="005A3CF1">
            <w:pPr>
              <w:spacing w:after="200" w:line="276" w:lineRule="auto"/>
            </w:pPr>
            <w:r w:rsidRPr="001F0911">
              <w:t>Clinical Centres of Excellence</w:t>
            </w:r>
          </w:p>
          <w:p w:rsidR="00893821" w:rsidRPr="001F0911" w:rsidRDefault="00893821" w:rsidP="005A3CF1">
            <w:pPr>
              <w:spacing w:after="200" w:line="276" w:lineRule="auto"/>
            </w:pPr>
          </w:p>
        </w:tc>
        <w:tc>
          <w:tcPr>
            <w:tcW w:w="6804" w:type="dxa"/>
            <w:tcBorders>
              <w:top w:val="none" w:sz="0" w:space="0" w:color="auto"/>
              <w:bottom w:val="none" w:sz="0" w:space="0" w:color="auto"/>
              <w:right w:val="none" w:sz="0" w:space="0" w:color="auto"/>
            </w:tcBorders>
          </w:tcPr>
          <w:p w:rsidR="00893821" w:rsidRPr="001F0911"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pPr>
            <w:r w:rsidRPr="001F0911">
              <w:t>Australia has developed a Service Framework to Improve Health Care of People with Intellectual Disability. The goal is to reduce health inequalities for children, adolescents, and adults with intellectual disability through a number of initiatives including creating a centre for clinical leadership, education and training.</w:t>
            </w:r>
          </w:p>
        </w:tc>
      </w:tr>
      <w:tr w:rsidR="00893821" w:rsidRPr="00A4603B" w:rsidTr="00994FF3">
        <w:trPr>
          <w:trHeight w:val="144"/>
        </w:trPr>
        <w:tc>
          <w:tcPr>
            <w:cnfStyle w:val="001000000000" w:firstRow="0" w:lastRow="0" w:firstColumn="1" w:lastColumn="0" w:oddVBand="0" w:evenVBand="0" w:oddHBand="0" w:evenHBand="0" w:firstRowFirstColumn="0" w:firstRowLastColumn="0" w:lastRowFirstColumn="0" w:lastRowLastColumn="0"/>
            <w:tcW w:w="2268" w:type="dxa"/>
          </w:tcPr>
          <w:p w:rsidR="00893821" w:rsidRPr="001F0911" w:rsidRDefault="00893821" w:rsidP="005A3CF1">
            <w:pPr>
              <w:spacing w:after="200" w:line="276" w:lineRule="auto"/>
            </w:pPr>
            <w:r w:rsidRPr="001F0911">
              <w:t>Care Continuum</w:t>
            </w:r>
          </w:p>
        </w:tc>
        <w:tc>
          <w:tcPr>
            <w:tcW w:w="6804" w:type="dxa"/>
          </w:tcPr>
          <w:p w:rsidR="00893821" w:rsidRPr="001F0911"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pPr>
            <w:r w:rsidRPr="001F0911">
              <w:t xml:space="preserve">In Israel, through its Rehabilitation Division, there is a focus on full continuum of care from treatment of the acute event (if any) and ending with being able to optimally utilize the person’s remaining functional capabilities. The Division’s vision is to offer the person undergoing rehabilitation efficient </w:t>
            </w:r>
            <w:r w:rsidRPr="001F0911">
              <w:lastRenderedPageBreak/>
              <w:t>rehabilitation pathways, and a rehabilitative outlook adapted to their needs, in order to achieve optimal function. Although the main thrust of rehabilitation is at the functional level, full realization of capabilities occasionally also necessitates psychosocial support which is part of the rehabilitation program.</w:t>
            </w:r>
          </w:p>
        </w:tc>
      </w:tr>
      <w:tr w:rsidR="00893821" w:rsidRPr="00A4603B" w:rsidTr="00994FF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tcBorders>
          </w:tcPr>
          <w:p w:rsidR="00893821" w:rsidRPr="001F0911" w:rsidRDefault="00893821" w:rsidP="005A3CF1">
            <w:pPr>
              <w:spacing w:after="200" w:line="276" w:lineRule="auto"/>
            </w:pPr>
            <w:r w:rsidRPr="001F0911">
              <w:lastRenderedPageBreak/>
              <w:t>Funding Models</w:t>
            </w:r>
          </w:p>
        </w:tc>
        <w:tc>
          <w:tcPr>
            <w:tcW w:w="6804" w:type="dxa"/>
            <w:tcBorders>
              <w:top w:val="none" w:sz="0" w:space="0" w:color="auto"/>
              <w:bottom w:val="none" w:sz="0" w:space="0" w:color="auto"/>
              <w:right w:val="none" w:sz="0" w:space="0" w:color="auto"/>
            </w:tcBorders>
          </w:tcPr>
          <w:p w:rsidR="00893821" w:rsidRPr="001F0911"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pPr>
            <w:r w:rsidRPr="001F0911">
              <w:rPr>
                <w:bCs/>
              </w:rPr>
              <w:t>In Australia,</w:t>
            </w:r>
            <w:r w:rsidRPr="001F0911">
              <w:t xml:space="preserve"> the Disability Investment Group was established to explore innovative funding ideas from the private sector that will help people with disability and their families to access greater support and plan for the future. Recommendations included a feasibility study into a national disability insurance scheme, special disability trusts, savings and investment incentives, private investment in housing, better employment opportunities, building best practices, and research.</w:t>
            </w:r>
          </w:p>
        </w:tc>
      </w:tr>
      <w:tr w:rsidR="00893821" w:rsidRPr="00A4603B" w:rsidTr="00994FF3">
        <w:trPr>
          <w:trHeight w:val="144"/>
        </w:trPr>
        <w:tc>
          <w:tcPr>
            <w:cnfStyle w:val="001000000000" w:firstRow="0" w:lastRow="0" w:firstColumn="1" w:lastColumn="0" w:oddVBand="0" w:evenVBand="0" w:oddHBand="0" w:evenHBand="0" w:firstRowFirstColumn="0" w:firstRowLastColumn="0" w:lastRowFirstColumn="0" w:lastRowLastColumn="0"/>
            <w:tcW w:w="2268" w:type="dxa"/>
          </w:tcPr>
          <w:p w:rsidR="00893821" w:rsidRPr="001F0911" w:rsidRDefault="00893821" w:rsidP="005A3CF1">
            <w:pPr>
              <w:spacing w:after="200" w:line="276" w:lineRule="auto"/>
            </w:pPr>
            <w:r w:rsidRPr="001F0911">
              <w:t>Medical Diagnostic Equipment Accessibility Standards Advisory Committee</w:t>
            </w:r>
          </w:p>
        </w:tc>
        <w:tc>
          <w:tcPr>
            <w:tcW w:w="6804" w:type="dxa"/>
          </w:tcPr>
          <w:p w:rsidR="00893821" w:rsidRPr="001F0911"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pPr>
            <w:r w:rsidRPr="001F0911">
              <w:t xml:space="preserve">As described above, the United States Access Board is developing accessibility standards for medical diagnostic equipment (MDE). This includes examination tables and chairs, weight scales, radiological equipment, and mammography equipment. The proposed standards were published for public comment and an MDE Accessibility Standards Advisory Committee reviewed the comments and prepared recommendations. </w:t>
            </w:r>
          </w:p>
        </w:tc>
      </w:tr>
      <w:tr w:rsidR="00893821" w:rsidRPr="00A4603B" w:rsidTr="00994FF3">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2268" w:type="dxa"/>
            <w:tcBorders>
              <w:top w:val="none" w:sz="0" w:space="0" w:color="auto"/>
              <w:left w:val="none" w:sz="0" w:space="0" w:color="auto"/>
              <w:bottom w:val="none" w:sz="0" w:space="0" w:color="auto"/>
            </w:tcBorders>
          </w:tcPr>
          <w:p w:rsidR="00893821" w:rsidRPr="001F0911" w:rsidRDefault="00893821" w:rsidP="005A3CF1">
            <w:pPr>
              <w:spacing w:after="200" w:line="276" w:lineRule="auto"/>
            </w:pPr>
            <w:r w:rsidRPr="001F0911">
              <w:t>Aging Demographics</w:t>
            </w:r>
          </w:p>
        </w:tc>
        <w:tc>
          <w:tcPr>
            <w:tcW w:w="6804" w:type="dxa"/>
            <w:tcBorders>
              <w:top w:val="none" w:sz="0" w:space="0" w:color="auto"/>
              <w:bottom w:val="none" w:sz="0" w:space="0" w:color="auto"/>
              <w:right w:val="none" w:sz="0" w:space="0" w:color="auto"/>
            </w:tcBorders>
          </w:tcPr>
          <w:p w:rsidR="00893821" w:rsidRPr="001F0911"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pPr>
            <w:r w:rsidRPr="001F0911">
              <w:rPr>
                <w:bCs/>
                <w:lang w:val="en-US"/>
              </w:rPr>
              <w:t>A key priority of Singapore’s Master Plan 2012-2016 is ensuring there are</w:t>
            </w:r>
            <w:r w:rsidRPr="001F0911">
              <w:t xml:space="preserve"> sufficient services and options for adults who need care, recognizing that the profile of caregivers will follow the trend of a rapidly aging population.</w:t>
            </w:r>
          </w:p>
        </w:tc>
      </w:tr>
    </w:tbl>
    <w:p w:rsidR="00893821" w:rsidRPr="00A4603B" w:rsidRDefault="00893821" w:rsidP="00893821"/>
    <w:p w:rsidR="00893821" w:rsidRPr="00A4603B" w:rsidRDefault="00893821" w:rsidP="00994FF3">
      <w:pPr>
        <w:pStyle w:val="Heading4"/>
      </w:pPr>
      <w:r w:rsidRPr="00A4603B">
        <w:t>Programs</w:t>
      </w:r>
    </w:p>
    <w:p w:rsidR="00893821" w:rsidRPr="00A4603B" w:rsidRDefault="00893821" w:rsidP="00893821">
      <w:r w:rsidRPr="00A4603B">
        <w:t>Similar to Ontario, all jurisdictions examined had programs in place for improving accessibility in the healthcare sector. We have grouped the types of programming into eight common themes.</w:t>
      </w:r>
    </w:p>
    <w:p w:rsidR="00994FF3" w:rsidRPr="00994FF3" w:rsidRDefault="00994FF3" w:rsidP="00BC5BD4">
      <w:pPr>
        <w:pStyle w:val="ListParagraph"/>
        <w:numPr>
          <w:ilvl w:val="0"/>
          <w:numId w:val="38"/>
        </w:numPr>
      </w:pPr>
      <w:r w:rsidRPr="00994FF3">
        <w:t>Independent / Assisted Living / Home Care Programs</w:t>
      </w:r>
    </w:p>
    <w:p w:rsidR="00994FF3" w:rsidRPr="00994FF3" w:rsidRDefault="00994FF3" w:rsidP="00BC5BD4">
      <w:pPr>
        <w:pStyle w:val="ListParagraph"/>
        <w:numPr>
          <w:ilvl w:val="0"/>
          <w:numId w:val="38"/>
        </w:numPr>
      </w:pPr>
      <w:r w:rsidRPr="00994FF3">
        <w:t>Assistive Equipment and Devices</w:t>
      </w:r>
    </w:p>
    <w:p w:rsidR="00994FF3" w:rsidRPr="00994FF3" w:rsidRDefault="00994FF3" w:rsidP="00BC5BD4">
      <w:pPr>
        <w:pStyle w:val="ListParagraph"/>
        <w:numPr>
          <w:ilvl w:val="0"/>
          <w:numId w:val="38"/>
        </w:numPr>
      </w:pPr>
      <w:r w:rsidRPr="00994FF3">
        <w:lastRenderedPageBreak/>
        <w:t>Palliative Care</w:t>
      </w:r>
    </w:p>
    <w:p w:rsidR="00994FF3" w:rsidRPr="00994FF3" w:rsidRDefault="00994FF3" w:rsidP="00BC5BD4">
      <w:pPr>
        <w:pStyle w:val="ListParagraph"/>
        <w:numPr>
          <w:ilvl w:val="0"/>
          <w:numId w:val="38"/>
        </w:numPr>
      </w:pPr>
      <w:r w:rsidRPr="00994FF3">
        <w:t>Accessibility Awareness</w:t>
      </w:r>
    </w:p>
    <w:p w:rsidR="00994FF3" w:rsidRPr="00994FF3" w:rsidRDefault="00994FF3" w:rsidP="00BC5BD4">
      <w:pPr>
        <w:pStyle w:val="ListParagraph"/>
        <w:numPr>
          <w:ilvl w:val="0"/>
          <w:numId w:val="38"/>
        </w:numPr>
      </w:pPr>
      <w:r w:rsidRPr="00994FF3">
        <w:t>Wheelchair Recycling Program</w:t>
      </w:r>
    </w:p>
    <w:p w:rsidR="00994FF3" w:rsidRPr="00994FF3" w:rsidRDefault="00994FF3" w:rsidP="00BC5BD4">
      <w:pPr>
        <w:pStyle w:val="ListParagraph"/>
        <w:numPr>
          <w:ilvl w:val="0"/>
          <w:numId w:val="38"/>
        </w:numPr>
      </w:pPr>
      <w:r w:rsidRPr="00994FF3">
        <w:t>Community Programs and Services</w:t>
      </w:r>
    </w:p>
    <w:p w:rsidR="00994FF3" w:rsidRPr="00994FF3" w:rsidRDefault="00994FF3" w:rsidP="00BC5BD4">
      <w:pPr>
        <w:pStyle w:val="ListParagraph"/>
        <w:numPr>
          <w:ilvl w:val="0"/>
          <w:numId w:val="38"/>
        </w:numPr>
      </w:pPr>
      <w:r w:rsidRPr="00994FF3">
        <w:t>Mental Health Programs and Services</w:t>
      </w:r>
    </w:p>
    <w:p w:rsidR="00893821" w:rsidRPr="00A4603B" w:rsidRDefault="00994FF3" w:rsidP="00BC5BD4">
      <w:pPr>
        <w:pStyle w:val="ListParagraph"/>
        <w:numPr>
          <w:ilvl w:val="0"/>
          <w:numId w:val="38"/>
        </w:numPr>
      </w:pPr>
      <w:r w:rsidRPr="00994FF3">
        <w:t>Tax Relief and Benefits</w:t>
      </w:r>
    </w:p>
    <w:p w:rsidR="00994FF3" w:rsidRDefault="00994FF3" w:rsidP="00994FF3">
      <w:pPr>
        <w:pStyle w:val="Heading5"/>
      </w:pPr>
      <w:r>
        <w:t>Notable Practices</w:t>
      </w:r>
    </w:p>
    <w:p w:rsidR="00893821" w:rsidRPr="00A4603B" w:rsidRDefault="00893821" w:rsidP="00893821">
      <w:r w:rsidRPr="00A4603B">
        <w:t xml:space="preserve">A number of programs and services geared towards access and equity in healthcare were especially noteworthy and relevant to the Ontario context. For example, New York has three programs (at the state level) that focus on (1) early intervention for those with disabilities, (2) parent supports for information, referrals and training and (3) a resource center dedicated the transition of children with special health care needs from pediatric to adult health care. Recognizing the importance of caregivers for people with disabilities, Australia has a financial assistance program for those providing care, including a carer payment and carer allowance. </w:t>
      </w:r>
    </w:p>
    <w:p w:rsidR="00893821" w:rsidRPr="00A4603B" w:rsidRDefault="00893821" w:rsidP="00893821">
      <w:r w:rsidRPr="00A4603B">
        <w:t>As it relates to medical equipment, devices and mobility, Israel provides emergency assistance through its Ministry of Health for situations where a power wheelchair is unable to move and becomes defective. In New Zealand, a Prioritisation Tool Pilot was implemented to test an alternative approach to assessment for access to support based need, risk and ability to benefit from equipment or modifications.</w:t>
      </w:r>
    </w:p>
    <w:p w:rsidR="00893821" w:rsidRPr="00A4603B" w:rsidRDefault="00893821" w:rsidP="00E04386">
      <w:pPr>
        <w:pStyle w:val="Heading4"/>
      </w:pPr>
      <w:r w:rsidRPr="00A4603B">
        <w:t>Medical Transportation</w:t>
      </w:r>
    </w:p>
    <w:p w:rsidR="00893821" w:rsidRPr="00A4603B" w:rsidRDefault="00893821" w:rsidP="00893821">
      <w:r w:rsidRPr="00A4603B">
        <w:t>Transportation to and from medical appointments was identified as an area for additional research by the ADO and MOHLTC during the submission of the Interim Report. In Ontario, there are many private companies that serve different regions of the GTA providing transportation of seniors and those with disabilities to medical appointments or other errands. The level of accessibility varies by company and type of vehicle. Hours of operation also vary from a typical 9 am to 5 pm to 24/7 accessible service. Fares vary depending on the company providing service, however, subsidies can usually be attained.</w:t>
      </w:r>
      <w:r w:rsidRPr="00A4603B">
        <w:rPr>
          <w:vertAlign w:val="superscript"/>
        </w:rPr>
        <w:footnoteReference w:id="15"/>
      </w:r>
      <w:r w:rsidRPr="00A4603B">
        <w:t xml:space="preserve"> </w:t>
      </w:r>
    </w:p>
    <w:p w:rsidR="00893821" w:rsidRPr="00A4603B" w:rsidRDefault="00893821" w:rsidP="00893821">
      <w:r w:rsidRPr="00A4603B">
        <w:t xml:space="preserve">A number of trends emerged from research on medical appointment transportation. Firstly, patients using transportation services often require more than just a ride. Appointment reminders and support with getting dressed may be needed, however, most transportation companies are unwilling or unable to offer these services or require additional compensation. This can lead to missed or canceled trips and therefore missed appointments. Secondly, transportation services for people with disabilities is </w:t>
      </w:r>
      <w:r w:rsidRPr="00A4603B">
        <w:lastRenderedPageBreak/>
        <w:t>expensive because it is challenging to group trips together for efficiency. Otherwise passengers may ride or wait too long, again leading to missed appointments.</w:t>
      </w:r>
      <w:r w:rsidRPr="00A4603B">
        <w:rPr>
          <w:vertAlign w:val="superscript"/>
        </w:rPr>
        <w:footnoteReference w:id="16"/>
      </w:r>
      <w:r w:rsidRPr="00A4603B">
        <w:rPr>
          <w:vertAlign w:val="superscript"/>
        </w:rPr>
        <w:t xml:space="preserve"> </w:t>
      </w:r>
    </w:p>
    <w:p w:rsidR="001F0911" w:rsidRDefault="001F0911" w:rsidP="001F0911">
      <w:pPr>
        <w:pStyle w:val="Heading5"/>
      </w:pPr>
      <w:r>
        <w:t>Notable Practices</w:t>
      </w:r>
    </w:p>
    <w:p w:rsidR="00893821" w:rsidRPr="00A4603B" w:rsidRDefault="00893821" w:rsidP="00893821">
      <w:r w:rsidRPr="00A4603B">
        <w:t>In Washington State, the Medicaid agency has established thirteen medical transportation service districts and contracted with a network of regional transportation brokers to cover the entire state.  Brokers receive an administrative fee to coordinate the program as well as reimbursement for direct costs. When a client needs a ride to a medical provider, they call the broker, who verifies Medicaid eligibility (low-income families/individuals), determines the necessity of each trip and assigns the appropriate provider. The services are funded by the state, to fulfill its Medicaid obligations to the federal Social Security Act, and depending on the client’s needs, the broker can use a variety of resources, such as volunteers, transit buses, mileage reimbursement and shared-ride taxis to deliver the service. Providers are reimbursed for each ride based upon a pre-arranged fee.</w:t>
      </w:r>
      <w:r w:rsidRPr="00A4603B">
        <w:rPr>
          <w:vertAlign w:val="superscript"/>
        </w:rPr>
        <w:footnoteReference w:id="17"/>
      </w:r>
    </w:p>
    <w:p w:rsidR="00893821" w:rsidRPr="00A4603B" w:rsidRDefault="00893821" w:rsidP="00893821">
      <w:r w:rsidRPr="00A4603B">
        <w:t>In Australia, there is currently a largely unmet demand for transport for carers or support people to accompany older people to and from all types of health service. Other carers face a range of transport and non-transport related barriers to accompanying the older people for whom they are responsible. In many cases younger relatives and friends who are carers and support people do not have access to private means of transport that is affordable or appropriate for assisting older people to attend medical and other health appointments.</w:t>
      </w:r>
    </w:p>
    <w:p w:rsidR="00893821" w:rsidRPr="00A4603B" w:rsidRDefault="00893821" w:rsidP="00893821">
      <w:r w:rsidRPr="00A4603B">
        <w:t xml:space="preserve">In October 2014, a report was released entitled </w:t>
      </w:r>
      <w:r w:rsidRPr="00A4603B">
        <w:rPr>
          <w:i/>
        </w:rPr>
        <w:t>Sick of Waiting: A Report into Patient Transport in London</w:t>
      </w:r>
      <w:r w:rsidRPr="00A4603B">
        <w:t>.</w:t>
      </w:r>
      <w:r w:rsidRPr="00A4603B">
        <w:rPr>
          <w:vertAlign w:val="superscript"/>
        </w:rPr>
        <w:footnoteReference w:id="18"/>
      </w:r>
      <w:r w:rsidRPr="00A4603B">
        <w:t xml:space="preserve"> One of the key drivers behind this research report was based on anecdotes from people with disabilities and older patients about problems with patient transport. A survey of 200 patients was conducted on transportation to appointments. Key findings have been included in the table below.</w:t>
      </w:r>
    </w:p>
    <w:p w:rsidR="00E04386" w:rsidRPr="00A4603B" w:rsidRDefault="00E04386" w:rsidP="00E04386">
      <w:pPr>
        <w:pStyle w:val="Heading4"/>
        <w:rPr>
          <w:rFonts w:cstheme="minorBidi"/>
        </w:rPr>
      </w:pPr>
      <w:r w:rsidRPr="00A4603B">
        <w:t>Patient Survey on Medical Transportation (n=200)</w:t>
      </w:r>
    </w:p>
    <w:p w:rsidR="00E04386" w:rsidRPr="00E04386" w:rsidRDefault="00E04386" w:rsidP="00BC5BD4">
      <w:pPr>
        <w:pStyle w:val="ListParagraph"/>
        <w:numPr>
          <w:ilvl w:val="0"/>
          <w:numId w:val="39"/>
        </w:numPr>
      </w:pPr>
      <w:r w:rsidRPr="00E04386">
        <w:lastRenderedPageBreak/>
        <w:t>90% of patients were not informed of the National Health Service (NHS) Healthcare Travel Costs Scheme which refunds the cost of transport for eligible low-income patients.</w:t>
      </w:r>
    </w:p>
    <w:p w:rsidR="00E04386" w:rsidRPr="00E04386" w:rsidRDefault="00E04386" w:rsidP="00BC5BD4">
      <w:pPr>
        <w:pStyle w:val="ListParagraph"/>
        <w:numPr>
          <w:ilvl w:val="0"/>
          <w:numId w:val="39"/>
        </w:numPr>
      </w:pPr>
      <w:r w:rsidRPr="00E04386">
        <w:t>57% of patients were not informed about patient transport when they booked their appointment.</w:t>
      </w:r>
    </w:p>
    <w:p w:rsidR="00E04386" w:rsidRPr="00E04386" w:rsidRDefault="00E04386" w:rsidP="00BC5BD4">
      <w:pPr>
        <w:pStyle w:val="ListParagraph"/>
        <w:numPr>
          <w:ilvl w:val="0"/>
          <w:numId w:val="39"/>
        </w:numPr>
      </w:pPr>
      <w:r w:rsidRPr="00E04386">
        <w:t>37% of patients had missed an appointment due to patient transport in the last two years.</w:t>
      </w:r>
    </w:p>
    <w:p w:rsidR="00E04386" w:rsidRPr="00E04386" w:rsidRDefault="00E04386" w:rsidP="00BC5BD4">
      <w:pPr>
        <w:pStyle w:val="ListParagraph"/>
        <w:numPr>
          <w:ilvl w:val="0"/>
          <w:numId w:val="39"/>
        </w:numPr>
      </w:pPr>
      <w:r w:rsidRPr="00E04386">
        <w:t>47% of patients had been late for a hospital appointment due to patient transport in the last two years.</w:t>
      </w:r>
    </w:p>
    <w:p w:rsidR="00E04386" w:rsidRPr="00E04386" w:rsidRDefault="00E04386" w:rsidP="00BC5BD4">
      <w:pPr>
        <w:pStyle w:val="ListParagraph"/>
        <w:numPr>
          <w:ilvl w:val="0"/>
          <w:numId w:val="39"/>
        </w:numPr>
      </w:pPr>
      <w:r w:rsidRPr="00E04386">
        <w:t>49% of patients had had to wait over two hours to be taken home after their appointment in the last two years, and one in three had had to wait over three hours.</w:t>
      </w:r>
    </w:p>
    <w:p w:rsidR="00893821" w:rsidRPr="00A4603B" w:rsidRDefault="00893821" w:rsidP="00893821">
      <w:r w:rsidRPr="00A4603B">
        <w:t>Hospital trusts, which are part of the United Kingdom’s NHS providing secondary health services, deliver patient transport through private company contracts. Overall, hospital trusts were found to lack accountability over these patient transport providers. Of the hospital trusts examined in London:</w:t>
      </w:r>
    </w:p>
    <w:p w:rsidR="00893821" w:rsidRPr="00A4603B" w:rsidRDefault="00893821" w:rsidP="00BC5BD4">
      <w:pPr>
        <w:pStyle w:val="ListParagraph"/>
        <w:numPr>
          <w:ilvl w:val="0"/>
          <w:numId w:val="40"/>
        </w:numPr>
      </w:pPr>
      <w:r w:rsidRPr="00A4603B">
        <w:t>19% had no financial penalties when patient transport providers breached the minimum standards of their contract.</w:t>
      </w:r>
    </w:p>
    <w:p w:rsidR="00893821" w:rsidRPr="00A4603B" w:rsidRDefault="00893821" w:rsidP="00BC5BD4">
      <w:pPr>
        <w:pStyle w:val="ListParagraph"/>
        <w:numPr>
          <w:ilvl w:val="0"/>
          <w:numId w:val="40"/>
        </w:numPr>
      </w:pPr>
      <w:r w:rsidRPr="00A4603B">
        <w:t>82% had no patient transport user group.</w:t>
      </w:r>
    </w:p>
    <w:p w:rsidR="00893821" w:rsidRPr="00A4603B" w:rsidRDefault="00893821" w:rsidP="00BC5BD4">
      <w:pPr>
        <w:pStyle w:val="ListParagraph"/>
        <w:numPr>
          <w:ilvl w:val="0"/>
          <w:numId w:val="40"/>
        </w:numPr>
      </w:pPr>
      <w:r w:rsidRPr="00A4603B">
        <w:t>69% were not able or willing to provide data on how often patients had waits of over an hour after an appointment.</w:t>
      </w:r>
    </w:p>
    <w:p w:rsidR="00893821" w:rsidRPr="00A4603B" w:rsidRDefault="00893821" w:rsidP="00893821">
      <w:r w:rsidRPr="00A4603B">
        <w:t>In the Leading Practices section of the report, we describe a select number of hospitals and hospital trusts that have implemented practices and processes to address some of the concerns noted above.</w:t>
      </w:r>
    </w:p>
    <w:p w:rsidR="00893821" w:rsidRPr="00A4603B" w:rsidRDefault="00893821" w:rsidP="00E04386">
      <w:pPr>
        <w:pStyle w:val="Heading4"/>
      </w:pPr>
      <w:r w:rsidRPr="00A4603B">
        <w:t>Summary</w:t>
      </w:r>
    </w:p>
    <w:p w:rsidR="00893821" w:rsidRPr="00A4603B" w:rsidRDefault="00893821" w:rsidP="00893821">
      <w:r w:rsidRPr="00A4603B">
        <w:t xml:space="preserve">As described in this section, Ontario appears to be comparable or better than other jurisdictions examined as it relates to regulatory requirements, standards, policies, strategies, and programs to help make healthcare more accessible to persons with disabilities. The following sections of the report discuss barriers to accessibility in healthcare from literature, emerging trends and issues and leading practices that can support the ADO in identifying areas of focus for the potential development of a healthcare standard in the future.  </w:t>
      </w:r>
    </w:p>
    <w:p w:rsidR="00893821" w:rsidRPr="00A4603B" w:rsidRDefault="00E04386" w:rsidP="00E04386">
      <w:pPr>
        <w:pStyle w:val="Heading1"/>
      </w:pPr>
      <w:bookmarkStart w:id="37" w:name="_Toc424669253"/>
      <w:bookmarkStart w:id="38" w:name="_Toc457553259"/>
      <w:r>
        <w:lastRenderedPageBreak/>
        <w:t xml:space="preserve">4. </w:t>
      </w:r>
      <w:r w:rsidR="00893821" w:rsidRPr="00A4603B">
        <w:t>Literature Review</w:t>
      </w:r>
      <w:bookmarkEnd w:id="37"/>
      <w:bookmarkEnd w:id="38"/>
    </w:p>
    <w:p w:rsidR="00893821" w:rsidRPr="00A4603B" w:rsidRDefault="00893821" w:rsidP="00893821">
      <w:bookmarkStart w:id="39" w:name="_Toc418101256"/>
      <w:r w:rsidRPr="00A4603B">
        <w:t>In 2011, The World Health Organization (WHO) and the World Bank published new estimates on the numbers of people with disabilities internationally. Previously, estimates of these numbers were in the hundreds of millions. The WHO has increased that estimate to over a billion people worldwide.</w:t>
      </w:r>
      <w:r w:rsidRPr="00A4603B">
        <w:rPr>
          <w:vertAlign w:val="superscript"/>
        </w:rPr>
        <w:footnoteReference w:id="19"/>
      </w:r>
    </w:p>
    <w:p w:rsidR="00893821" w:rsidRPr="00A4603B" w:rsidRDefault="00893821" w:rsidP="00893821">
      <w:r w:rsidRPr="00A4603B">
        <w:t>In this report, the WHO asserts that there are few countries with adequate policies to support the needs of people with disabilities.</w:t>
      </w:r>
      <w:r w:rsidRPr="00A4603B">
        <w:rPr>
          <w:vertAlign w:val="superscript"/>
        </w:rPr>
        <w:footnoteReference w:id="20"/>
      </w:r>
      <w:r w:rsidRPr="00A4603B">
        <w:t xml:space="preserve"> Issues continue, including access to healthcare. This report details the barriers encountered by people with disabilities to healthcare, including accessibility and equity of service barriers. In healthcare, seven overarching healthcare barriers were found. These barriers result in difficulties navigating the healthcare system, distrust in healthcare providers, and ultimately create safety risks and poorer healthcare for the patient. The review included exploring sources from academic literature, as well as a range of organizations including advocacy groups, policy institutes, government committees and panels, industry organizations, and human rights and disability organizations. This report is meant to be a literature review of materials published since 2008, rather than all material published on accessibility barriers. Priority has been given to materials published since 2008, however, earlier publications have been included, based off of their importance to the subject as a whole. The barriers identified are meant to be mutually exclusive and exhaustive from the material reviewed. KPMG has not independently verified the accuracy or completeness of the information. The research and opinions presented in the literature review are attributed to the organizations, entities, authors and stakeholders cited and not the opinions of KPMG. </w:t>
      </w:r>
    </w:p>
    <w:p w:rsidR="00893821" w:rsidRPr="00A4603B" w:rsidRDefault="00893821" w:rsidP="00893821">
      <w:r w:rsidRPr="00A4603B">
        <w:t>Persons with disabilities are more likely to experience illness more frequently, as well as have shorter life expectancies. Life expectancy is the lowest for people with the most extensive support needs and the most complex conditions. One of the works reviewed shows that early death in the learning disabilities group was significantly associated with cerebral palsy, incontinence, problems with mobility and residence in hospital.</w:t>
      </w:r>
      <w:r w:rsidRPr="00A4603B">
        <w:rPr>
          <w:vertAlign w:val="superscript"/>
        </w:rPr>
        <w:footnoteReference w:id="21"/>
      </w:r>
      <w:r w:rsidRPr="00A4603B">
        <w:t xml:space="preserve"> The literature argues that there are unmet health needs for people with disabilities. Significant issues in access to healthcare continue, negatively impacting health while leaving room for additional health risks. This section will look at the barriers to receiving healthcare that people with disabilities face, including access and equity of service. The </w:t>
      </w:r>
      <w:r w:rsidRPr="00A4603B">
        <w:lastRenderedPageBreak/>
        <w:t>literature below highlights concerns from patients, families, medical professionals, advocates, and academics seeking to find solutions.</w:t>
      </w:r>
    </w:p>
    <w:p w:rsidR="00893821" w:rsidRPr="00A4603B" w:rsidRDefault="00893821" w:rsidP="00893821"/>
    <w:p w:rsidR="00893821" w:rsidRPr="00A4603B" w:rsidRDefault="00893821" w:rsidP="00E04386">
      <w:pPr>
        <w:pStyle w:val="Heading2"/>
      </w:pPr>
      <w:bookmarkStart w:id="40" w:name="_Toc457553260"/>
      <w:r w:rsidRPr="00A4603B">
        <w:t>Transitioning between providers</w:t>
      </w:r>
      <w:bookmarkEnd w:id="40"/>
    </w:p>
    <w:p w:rsidR="00893821" w:rsidRPr="00A4603B" w:rsidRDefault="00893821" w:rsidP="00E04386">
      <w:pPr>
        <w:pStyle w:val="Heading3"/>
      </w:pPr>
      <w:r w:rsidRPr="00A4603B">
        <w:t>What are the barriers?</w:t>
      </w:r>
    </w:p>
    <w:p w:rsidR="00893821" w:rsidRPr="00A4603B" w:rsidRDefault="00893821" w:rsidP="00893821">
      <w:r w:rsidRPr="00A4603B">
        <w:t>The literature reveals there are barriers to transitioning between health care providers effectively and through different life stages that provide different support systems. There are further issues with administrative coordination, sharing of information, and planning. In the UK, transitions between primary and secondary care, health and social care, home and hospital, and adults’ and senior services found to be challenging.</w:t>
      </w:r>
      <w:r w:rsidRPr="00A4603B">
        <w:rPr>
          <w:vertAlign w:val="superscript"/>
        </w:rPr>
        <w:footnoteReference w:id="22"/>
      </w:r>
      <w:r w:rsidRPr="00A4603B">
        <w:t xml:space="preserve"> When a person with disabilities reaches adulthood, their support systems virtually disappear. Records are not transferred and there is not information sharing between staff. A UK report showed that care givers see little coordination and ongoing supports in health care transitions. Children’s medical history and information is often not passed on when the child moves from pediatric to adult services. In transitioning, there is a lack of continuity of care and information sharing, negatively impacting the quality of care and equity of service for patients with disabilities.</w:t>
      </w:r>
    </w:p>
    <w:p w:rsidR="00893821" w:rsidRPr="00A4603B" w:rsidRDefault="00893821" w:rsidP="00E04386">
      <w:pPr>
        <w:pStyle w:val="Heading3"/>
      </w:pPr>
      <w:r w:rsidRPr="00A4603B">
        <w:t>What are the implications?</w:t>
      </w:r>
    </w:p>
    <w:p w:rsidR="00893821" w:rsidRPr="00A4603B" w:rsidRDefault="00893821" w:rsidP="00893821">
      <w:r w:rsidRPr="00A4603B">
        <w:t xml:space="preserve">The literature finds that failure to transfer information and provide continuity through transitions results in setbacks in treatment progression. Not providing information results in patient needs slipping through the system. Failure to pass information also increases health and safety risks, particularly in medications and treatment. For example, the risks in relation to monitoring epilepsy medication. Complications in the transitioning process can have long term impacts on a person’s wellbeing, quality of life, and opportunities for success. </w:t>
      </w:r>
    </w:p>
    <w:p w:rsidR="00893821" w:rsidRPr="00A4603B" w:rsidRDefault="00893821" w:rsidP="00E04386">
      <w:pPr>
        <w:pStyle w:val="Heading2"/>
      </w:pPr>
      <w:bookmarkStart w:id="41" w:name="_Toc457553261"/>
      <w:r w:rsidRPr="00A4603B">
        <w:t>Trust barriers, insensitivities, negative experiences, and discrimination</w:t>
      </w:r>
      <w:bookmarkEnd w:id="41"/>
    </w:p>
    <w:p w:rsidR="00893821" w:rsidRPr="00A4603B" w:rsidRDefault="00893821" w:rsidP="00E04386">
      <w:pPr>
        <w:pStyle w:val="Heading3"/>
      </w:pPr>
      <w:r w:rsidRPr="00A4603B">
        <w:t>What are the barriers?</w:t>
      </w:r>
    </w:p>
    <w:p w:rsidR="00893821" w:rsidRPr="00A4603B" w:rsidRDefault="00893821" w:rsidP="00893821">
      <w:r w:rsidRPr="00A4603B">
        <w:t xml:space="preserve">Barriers in healthcare arise when patients with disabilities experience insensitivities and discrimination. A UK report, Healthcare for All: Report of the Independent Inquiry into Access to Healthcare for People with Learning Disabilities details that UK healthcare </w:t>
      </w:r>
      <w:r w:rsidRPr="00A4603B">
        <w:lastRenderedPageBreak/>
        <w:t>providers did not view or understand that children with disabilities, no matter how extensive, were also loved, equal valued, and participating members of their families. Families interviewed in the study cited how healthcare providers told families that the child with disabilities should “be allowed to ‘slip away’ rather than be resuscitated or treated.”</w:t>
      </w:r>
      <w:r w:rsidRPr="00A4603B">
        <w:rPr>
          <w:vertAlign w:val="superscript"/>
        </w:rPr>
        <w:footnoteReference w:id="23"/>
      </w:r>
      <w:r w:rsidRPr="00A4603B">
        <w:t xml:space="preserve"> The suggestions to families about options for treatment were also considered to be unsatisfactory. Overall, the study suggests that some UK healthcare providers did not value the lives of children with disabilities at the same level as other lives, resulting in inequity of care and service. </w:t>
      </w:r>
    </w:p>
    <w:p w:rsidR="00893821" w:rsidRPr="00A4603B" w:rsidRDefault="00893821" w:rsidP="00893821">
      <w:r w:rsidRPr="00A4603B">
        <w:t>Other families interviewed in the Healthcare for All report described negativity and insensitive behaviour from healthcare providers in how they are told their child has a disabilities. The families described how they are told of the disability is a crucial first step to relationship building with healthcare providers, as they move forward to options and treatment. Interviewees pointed to the Every Disabled Child Matters campaign, which promotes access to the same level of services that other receive. Families also highlighted the teaching program at St. George’s Hospital Medical School, for the training the give to healthcare providers for supporting patients with disabilities.</w:t>
      </w:r>
      <w:r w:rsidRPr="00A4603B">
        <w:rPr>
          <w:vertAlign w:val="superscript"/>
        </w:rPr>
        <w:footnoteReference w:id="24"/>
      </w:r>
      <w:r w:rsidRPr="00A4603B">
        <w:t xml:space="preserve"> The literature suggests that from the first diagnosis, negative experiences build mistrust between patients, their families, and healthcare providers. </w:t>
      </w:r>
    </w:p>
    <w:p w:rsidR="00893821" w:rsidRPr="00A4603B" w:rsidRDefault="00893821" w:rsidP="00893821">
      <w:r w:rsidRPr="00A4603B">
        <w:t>The 2011 WHO report on disability shows that people with disabilities are more than two times as likely to be in the care of healthcare providers whose skill level is not adequate to meet their healthcare needs. People with disabilities are three times more likely to be denied necessary healthcare services.</w:t>
      </w:r>
      <w:r w:rsidRPr="00A4603B">
        <w:rPr>
          <w:vertAlign w:val="superscript"/>
        </w:rPr>
        <w:footnoteReference w:id="25"/>
      </w:r>
      <w:r w:rsidRPr="00A4603B">
        <w:rPr>
          <w:vertAlign w:val="superscript"/>
        </w:rPr>
        <w:t xml:space="preserve"> </w:t>
      </w:r>
      <w:r w:rsidRPr="00A4603B">
        <w:t>These statistics suggest that discrimination toward people with disabilities continues in healthcare, and again, contributes to breeding mistrust between patients and their healthcare professionals.</w:t>
      </w:r>
    </w:p>
    <w:p w:rsidR="00893821" w:rsidRPr="00A4603B" w:rsidRDefault="00893821" w:rsidP="00E04386">
      <w:pPr>
        <w:pStyle w:val="Heading3"/>
      </w:pPr>
      <w:r w:rsidRPr="00A4603B">
        <w:t>What are the implications?</w:t>
      </w:r>
    </w:p>
    <w:p w:rsidR="00893821" w:rsidRPr="00A4603B" w:rsidRDefault="00893821" w:rsidP="00893821">
      <w:r w:rsidRPr="00A4603B">
        <w:t>Due to this mistrust, patients may be less likely to seek out healthcare in order to avoid discrimination and negative experiences, ultimately resulting in poorer health and creating risks for conditions going untreated. The literature argues that failure to seek out care will result in higher reliance on self-diagnosis.</w:t>
      </w:r>
      <w:r w:rsidRPr="00A4603B">
        <w:rPr>
          <w:vertAlign w:val="superscript"/>
        </w:rPr>
        <w:footnoteReference w:id="26"/>
      </w:r>
      <w:r w:rsidRPr="00A4603B">
        <w:t xml:space="preserve"> If a patient does seek out healthcare and the options provided are subpar to the options for treatment given to patients without disabilities, again there are increased risks to their health and wellbeing. </w:t>
      </w:r>
      <w:r w:rsidRPr="00A4603B">
        <w:lastRenderedPageBreak/>
        <w:t xml:space="preserve">Stakeholders interviewed in the literature call for increased training for healthcare providers to combat the discrimination against people with disabilities. </w:t>
      </w:r>
    </w:p>
    <w:p w:rsidR="00893821" w:rsidRPr="00A4603B" w:rsidRDefault="00893821" w:rsidP="00E04386">
      <w:pPr>
        <w:pStyle w:val="Heading2"/>
      </w:pPr>
      <w:bookmarkStart w:id="42" w:name="_Toc457553262"/>
      <w:r w:rsidRPr="00A4603B">
        <w:t>Communication issues</w:t>
      </w:r>
      <w:bookmarkEnd w:id="42"/>
      <w:r w:rsidRPr="00A4603B">
        <w:t xml:space="preserve"> </w:t>
      </w:r>
    </w:p>
    <w:p w:rsidR="00893821" w:rsidRPr="00A4603B" w:rsidRDefault="00893821" w:rsidP="00893821">
      <w:r w:rsidRPr="00A4603B">
        <w:t xml:space="preserve">Two sub-themes emerged in the literature related to barriers in communication in healthcare accessibility: i) communication and proper diagnosis and ii) confidentiality and consent. </w:t>
      </w:r>
    </w:p>
    <w:p w:rsidR="00893821" w:rsidRPr="00A4603B" w:rsidRDefault="00893821" w:rsidP="00893821"/>
    <w:p w:rsidR="00893821" w:rsidRPr="00A4603B" w:rsidRDefault="00893821" w:rsidP="00E04386">
      <w:pPr>
        <w:pStyle w:val="Heading3"/>
      </w:pPr>
      <w:r w:rsidRPr="00A4603B">
        <w:t>Communication and proper diagnosis</w:t>
      </w:r>
    </w:p>
    <w:p w:rsidR="00893821" w:rsidRPr="00A4603B" w:rsidRDefault="00893821" w:rsidP="00E04386">
      <w:pPr>
        <w:pStyle w:val="Heading4"/>
      </w:pPr>
      <w:r w:rsidRPr="00A4603B">
        <w:t>What are the barriers?</w:t>
      </w:r>
    </w:p>
    <w:p w:rsidR="00893821" w:rsidRPr="00A4603B" w:rsidRDefault="00893821" w:rsidP="00893821">
      <w:r w:rsidRPr="00A4603B">
        <w:t>The literature finds that people with disabilities, particularly learning disabilities, face challenges in identifying and describing their symptoms. In turn, healthcare providers have difficulty providing effective treatment.</w:t>
      </w:r>
      <w:r w:rsidRPr="00A4603B">
        <w:rPr>
          <w:vertAlign w:val="superscript"/>
        </w:rPr>
        <w:footnoteReference w:id="27"/>
      </w:r>
      <w:r w:rsidRPr="00A4603B">
        <w:t xml:space="preserve"> The report </w:t>
      </w:r>
      <w:r w:rsidRPr="00A4603B">
        <w:rPr>
          <w:i/>
        </w:rPr>
        <w:t>Healthcare for All</w:t>
      </w:r>
      <w:r w:rsidRPr="00A4603B">
        <w:t xml:space="preserve"> terms overlooking illness and symptoms, instead attributing them to a disability, as </w:t>
      </w:r>
      <w:r w:rsidRPr="00A4603B">
        <w:rPr>
          <w:i/>
        </w:rPr>
        <w:t>diagnostic overshadowing.</w:t>
      </w:r>
      <w:r w:rsidRPr="00A4603B">
        <w:rPr>
          <w:vertAlign w:val="superscript"/>
        </w:rPr>
        <w:footnoteReference w:id="28"/>
      </w:r>
      <w:r w:rsidRPr="00A4603B">
        <w:rPr>
          <w:i/>
        </w:rPr>
        <w:t xml:space="preserve"> </w:t>
      </w:r>
      <w:r w:rsidRPr="00A4603B">
        <w:t xml:space="preserve">The literature claims issues with diagnostic overshadowing is widespread among healthcare providers. In the UK report </w:t>
      </w:r>
      <w:r w:rsidRPr="00A4603B">
        <w:rPr>
          <w:i/>
        </w:rPr>
        <w:t>Death by Indifference</w:t>
      </w:r>
      <w:r w:rsidRPr="00A4603B">
        <w:t>, families spoke of their disabled children suffering severe pain, due to failures by medical practitioners in recognizing pain symptoms and providing relief options. One mother said pain relief was denied to her child because the medical staff thought her symptoms of pain were behaviour from her learning disability.</w:t>
      </w:r>
      <w:r w:rsidRPr="00A4603B">
        <w:rPr>
          <w:vertAlign w:val="superscript"/>
        </w:rPr>
        <w:footnoteReference w:id="29"/>
      </w:r>
      <w:r w:rsidRPr="00A4603B">
        <w:t xml:space="preserve"> Communicating symptoms are especially challenging in palliative care or when someone with a learning disability is in pain and they must depend on distress to communicate their pain, for example through biting or screaming.</w:t>
      </w:r>
      <w:r w:rsidRPr="00A4603B">
        <w:rPr>
          <w:vertAlign w:val="superscript"/>
        </w:rPr>
        <w:footnoteReference w:id="30"/>
      </w:r>
      <w:r w:rsidRPr="00A4603B">
        <w:t xml:space="preserve"> Attributing behaviour to a learning disability rather than recognizing them as symptoms results in ineffective care. </w:t>
      </w:r>
    </w:p>
    <w:p w:rsidR="00893821" w:rsidRPr="00A4603B" w:rsidRDefault="00893821" w:rsidP="00893821">
      <w:r w:rsidRPr="00A4603B">
        <w:t>Studies also find that there are gaps in available sign language interpreters in emergency rooms. These gaps are significant barriers to communication between a doctor and patient, and are pose safety risks in emergency situations.</w:t>
      </w:r>
      <w:r w:rsidRPr="00A4603B">
        <w:rPr>
          <w:vertAlign w:val="superscript"/>
        </w:rPr>
        <w:footnoteReference w:id="31"/>
      </w:r>
      <w:r w:rsidRPr="00A4603B">
        <w:t xml:space="preserve"> Shortcomings in </w:t>
      </w:r>
      <w:r w:rsidRPr="00A4603B">
        <w:lastRenderedPageBreak/>
        <w:t>communication between patients and their healthcare providers ultimately results in inefficient care.</w:t>
      </w:r>
    </w:p>
    <w:p w:rsidR="00893821" w:rsidRPr="00A4603B" w:rsidRDefault="00893821" w:rsidP="00E04386">
      <w:pPr>
        <w:pStyle w:val="Heading4"/>
      </w:pPr>
      <w:r w:rsidRPr="00A4603B">
        <w:t>What are the implications?</w:t>
      </w:r>
    </w:p>
    <w:p w:rsidR="00893821" w:rsidRPr="00A4603B" w:rsidRDefault="00893821" w:rsidP="00893821">
      <w:r w:rsidRPr="00A4603B">
        <w:t>The overarching implication of barriers in communication between healthcare providers and a patient with disabilities is incorrect diagnosis, which include serious health risks. Further issues stem from the risks of incorrect diagnosis, including distrust of medical practitioners and a breakdown of the person’s independence. These communication barriers result in confusion on health conditions, increased likelihood for medical errors, and decreased confidentiality if a patient must rely on family for interpretation. The literature finds that these factors all lead to people with disabilities avoiding the healthcare system, and again relying on self-diagnosis.</w:t>
      </w:r>
      <w:r w:rsidRPr="00A4603B">
        <w:rPr>
          <w:vertAlign w:val="superscript"/>
        </w:rPr>
        <w:footnoteReference w:id="32"/>
      </w:r>
      <w:r w:rsidRPr="00A4603B">
        <w:rPr>
          <w:vertAlign w:val="superscript"/>
        </w:rPr>
        <w:t xml:space="preserve">  </w:t>
      </w:r>
    </w:p>
    <w:p w:rsidR="00893821" w:rsidRPr="00A4603B" w:rsidRDefault="00893821" w:rsidP="00E04386">
      <w:pPr>
        <w:pStyle w:val="Heading3"/>
      </w:pPr>
      <w:r w:rsidRPr="00A4603B">
        <w:t>Confidentiality and Consent</w:t>
      </w:r>
    </w:p>
    <w:p w:rsidR="00893821" w:rsidRPr="00A4603B" w:rsidRDefault="00893821" w:rsidP="00E04386">
      <w:pPr>
        <w:pStyle w:val="Heading4"/>
      </w:pPr>
      <w:r w:rsidRPr="00A4603B">
        <w:t>What are the barriers?</w:t>
      </w:r>
    </w:p>
    <w:p w:rsidR="00893821" w:rsidRPr="00A4603B" w:rsidRDefault="00893821" w:rsidP="00893821">
      <w:r w:rsidRPr="00A4603B">
        <w:t>Communication difficulties also bring infringements on a patient’s confidentiality and consent with their healthcare providers. The issues described under communication and proper diagnosis can mean that family members must be present for appointments to ensure their symptoms and directions from their doctor are being communicated clearly. Needing a family member to be involved in appointments, however, infringes on a patients confidentiality and ability to provide consent.</w:t>
      </w:r>
    </w:p>
    <w:p w:rsidR="00893821" w:rsidRPr="00A4603B" w:rsidRDefault="00893821" w:rsidP="00893821">
      <w:r w:rsidRPr="00A4603B">
        <w:t>The World Health Organization’s 2011 report on people with disabilities found that healthcare providers can lack proper training in communicating with people with disabilities and be uncomfortable with their patients. For example, a US inquiry into healthcare access for the hearing impaired found that a Deaf patient’s healthcare providers would look with when speaking, preventing the patient from reading their lips and understanding their conversation.</w:t>
      </w:r>
      <w:r w:rsidRPr="00A4603B">
        <w:rPr>
          <w:vertAlign w:val="superscript"/>
        </w:rPr>
        <w:footnoteReference w:id="33"/>
      </w:r>
      <w:r w:rsidRPr="00A4603B">
        <w:t xml:space="preserve"> A 2009 study by the Royal National Institute of Blind People (United Kingdom) contrasted the experience of blind and partially sighted people with views of health professionals. The study surveyed 600 blind and partially sighted people and 500 health professionals in primary and secondary care. The study found that only 1 percent of people with vision disabilities want information through a care giver or relative.</w:t>
      </w:r>
      <w:r w:rsidRPr="00A4603B">
        <w:rPr>
          <w:vertAlign w:val="superscript"/>
        </w:rPr>
        <w:footnoteReference w:id="34"/>
      </w:r>
      <w:r w:rsidRPr="00A4603B">
        <w:t xml:space="preserve"> In contrast, 28 per cent of healthcare professionals thought all </w:t>
      </w:r>
      <w:r w:rsidRPr="00A4603B">
        <w:lastRenderedPageBreak/>
        <w:t>blind and partially sighted patients wanted information through a secondary person.</w:t>
      </w:r>
      <w:r w:rsidRPr="00A4603B">
        <w:rPr>
          <w:vertAlign w:val="superscript"/>
        </w:rPr>
        <w:footnoteReference w:id="35"/>
      </w:r>
      <w:r w:rsidRPr="00A4603B">
        <w:t xml:space="preserve"> For people with learning disabilities, the literature found that doctors can tend to focus communication on the family members or care givers in appointments. A patient with a learning disability is in </w:t>
      </w:r>
      <w:r w:rsidRPr="00A4603B">
        <w:rPr>
          <w:i/>
        </w:rPr>
        <w:t>Healthcare for All</w:t>
      </w:r>
      <w:r w:rsidRPr="00A4603B">
        <w:t xml:space="preserve"> describes a meeting with a doctor where, “the doctor wouldn’t look at me. Just talked to my carer”</w:t>
      </w:r>
      <w:r w:rsidRPr="00A4603B">
        <w:rPr>
          <w:vertAlign w:val="superscript"/>
        </w:rPr>
        <w:footnoteReference w:id="36"/>
      </w:r>
      <w:r w:rsidRPr="00A4603B">
        <w:t xml:space="preserve"> Breakdowns in direct communication with a healthcare provider and a patient lead to issues of confidentiality and consent, where a secondary person is taking the lead in communicating with a person’s service provider. </w:t>
      </w:r>
    </w:p>
    <w:p w:rsidR="00893821" w:rsidRPr="00A4603B" w:rsidRDefault="00893821" w:rsidP="00E04386">
      <w:pPr>
        <w:pStyle w:val="Heading4"/>
      </w:pPr>
      <w:r w:rsidRPr="00A4603B">
        <w:t>What are the implications?</w:t>
      </w:r>
    </w:p>
    <w:p w:rsidR="00893821" w:rsidRPr="00A4603B" w:rsidRDefault="00893821" w:rsidP="00893821">
      <w:r w:rsidRPr="00A4603B">
        <w:t>Reliable communication, consent, and confidentiality are foundations of health standards to provide personalized, trustworthy care. The literature argues, any person with or without disabilities has the expectation to receive high quality, personalized care. The experiences of people with disabilities, however, are not as positive as the experiences of those without disabilities.</w:t>
      </w:r>
      <w:r w:rsidRPr="00A4603B">
        <w:rPr>
          <w:vertAlign w:val="superscript"/>
        </w:rPr>
        <w:footnoteReference w:id="37"/>
      </w:r>
      <w:r w:rsidRPr="00A4603B">
        <w:t xml:space="preserve"> Breakdowns in consent and confidentiality lead to a loss of privacy and independence. These communication gaps ultimately impact the quality and integrity of care a person receives. </w:t>
      </w:r>
    </w:p>
    <w:p w:rsidR="00893821" w:rsidRPr="00A4603B" w:rsidRDefault="00893821" w:rsidP="00FC4E7A">
      <w:pPr>
        <w:pStyle w:val="Heading2"/>
      </w:pPr>
      <w:bookmarkStart w:id="43" w:name="_Toc457553263"/>
      <w:r w:rsidRPr="00A4603B">
        <w:t>Missed appointments due to accessibility barriers</w:t>
      </w:r>
      <w:bookmarkEnd w:id="43"/>
    </w:p>
    <w:p w:rsidR="00893821" w:rsidRPr="00A4603B" w:rsidRDefault="00893821" w:rsidP="00FC4E7A">
      <w:pPr>
        <w:pStyle w:val="Heading3"/>
      </w:pPr>
      <w:r w:rsidRPr="00A4603B">
        <w:t>What are the barriers?</w:t>
      </w:r>
    </w:p>
    <w:p w:rsidR="00893821" w:rsidRPr="00A4603B" w:rsidRDefault="00893821" w:rsidP="00893821">
      <w:r w:rsidRPr="00A4603B">
        <w:t>The literature finds that many clinics still continue to lack accessibility practices that create difficulties for people with disabilities to navigate the healthcare system and access care. For people with hearing disabilities, making appointments over the phone is challenging and usually requires the help from a secondary person. Furthermore, the literature describes patients with hearing impairments missing appointments because they do not hear their names called out in noisy clinics.</w:t>
      </w:r>
      <w:r w:rsidRPr="00A4603B">
        <w:rPr>
          <w:vertAlign w:val="superscript"/>
        </w:rPr>
        <w:footnoteReference w:id="38"/>
      </w:r>
      <w:r w:rsidRPr="00A4603B">
        <w:t xml:space="preserve"> For blind and partially sighted people, there are also communication issues that lead to missed appointments. The 2009 study by the Royal National Institute of Blind People found that 20 percent of blind and partially sighted people received letters from their doctors that were not in an accessible format, resulting in missed appointments.</w:t>
      </w:r>
      <w:r w:rsidRPr="00A4603B">
        <w:rPr>
          <w:vertAlign w:val="superscript"/>
        </w:rPr>
        <w:footnoteReference w:id="39"/>
      </w:r>
      <w:r w:rsidRPr="00A4603B">
        <w:t xml:space="preserve"> Procedural issues at healthcare facilities continue to create barriers in accessing healthcare. </w:t>
      </w:r>
    </w:p>
    <w:p w:rsidR="00893821" w:rsidRPr="00A4603B" w:rsidRDefault="00893821" w:rsidP="00FC4E7A">
      <w:pPr>
        <w:pStyle w:val="Heading3"/>
      </w:pPr>
      <w:r w:rsidRPr="00A4603B">
        <w:lastRenderedPageBreak/>
        <w:t>What are the implications?</w:t>
      </w:r>
    </w:p>
    <w:p w:rsidR="00893821" w:rsidRPr="00A4603B" w:rsidRDefault="00893821" w:rsidP="00893821">
      <w:pPr>
        <w:rPr>
          <w:b/>
          <w:u w:val="single"/>
        </w:rPr>
      </w:pPr>
      <w:r w:rsidRPr="00A4603B">
        <w:t xml:space="preserve">Failing to provide accommodations to people with disabilities, which lead to missed appointments ultimately results in lower quality healthcare and risks to wellbeing. Missed appointments due to in accessible letters and clinic practices is frustrating for patients with disabilities, creating additional difficulties in navigating the healthcare system. These barriers bring a loss of independence, forcing people with disabilities to rely on others to make appointments, read their mail, and accompany them to appointments. </w:t>
      </w:r>
    </w:p>
    <w:p w:rsidR="00893821" w:rsidRPr="00A4603B" w:rsidRDefault="00893821" w:rsidP="00FC4E7A">
      <w:pPr>
        <w:pStyle w:val="Heading2"/>
      </w:pPr>
      <w:bookmarkStart w:id="44" w:name="_Toc457553264"/>
      <w:r w:rsidRPr="00A4603B">
        <w:t>Risks of improper use of medication</w:t>
      </w:r>
      <w:bookmarkEnd w:id="44"/>
    </w:p>
    <w:p w:rsidR="00893821" w:rsidRPr="00A4603B" w:rsidRDefault="00893821" w:rsidP="00FC4E7A">
      <w:pPr>
        <w:pStyle w:val="Heading3"/>
      </w:pPr>
      <w:r w:rsidRPr="00A4603B">
        <w:t>What are the barriers?</w:t>
      </w:r>
    </w:p>
    <w:p w:rsidR="00893821" w:rsidRPr="00A4603B" w:rsidRDefault="00893821" w:rsidP="00893821">
      <w:r w:rsidRPr="00A4603B">
        <w:t>The literature’s research found that there are ongoing issues with receiving correct directions for medication. The first issue is labelling of medication. Labels can be difficult to read for people who are blind or partially sighted. Although some action has been taking to make labels more accessible, inaccessible label formats remain an issue. The Royal National Institute of Blind People’s 2009 study found that 95 percent of blind and partially sighted people believe it is important for medical information to be in a format they can read. However, 80 percent of blind and partially sighted people said they do not receive medicines with labels in formats they can read.</w:t>
      </w:r>
      <w:r w:rsidRPr="00A4603B">
        <w:rPr>
          <w:vertAlign w:val="superscript"/>
        </w:rPr>
        <w:t xml:space="preserve"> </w:t>
      </w:r>
      <w:r w:rsidRPr="00A4603B">
        <w:rPr>
          <w:vertAlign w:val="superscript"/>
        </w:rPr>
        <w:footnoteReference w:id="40"/>
      </w:r>
      <w:r w:rsidRPr="00A4603B">
        <w:t xml:space="preserve"> Inaccessible medical labels increases the chances of misuse of medication and poses serious safety risks. For people with hearing impairments, instructions about medication from doctors and pharmacists can be challenging. The literature says that people with hearing disabilities face confusion in the verbal instructions for medication they receive.</w:t>
      </w:r>
      <w:r w:rsidRPr="00A4603B">
        <w:rPr>
          <w:vertAlign w:val="superscript"/>
        </w:rPr>
        <w:footnoteReference w:id="41"/>
      </w:r>
      <w:r w:rsidRPr="00A4603B">
        <w:t xml:space="preserve"> A further barrier to receiving quality healthcare is receiving clear instructions on the use of medication. </w:t>
      </w:r>
    </w:p>
    <w:p w:rsidR="00893821" w:rsidRPr="00A4603B" w:rsidRDefault="00893821" w:rsidP="00FC4E7A">
      <w:pPr>
        <w:pStyle w:val="Heading3"/>
      </w:pPr>
      <w:r w:rsidRPr="00A4603B">
        <w:t>What are the implications?</w:t>
      </w:r>
    </w:p>
    <w:p w:rsidR="00893821" w:rsidRPr="00A4603B" w:rsidRDefault="00893821" w:rsidP="00893821">
      <w:r w:rsidRPr="00A4603B">
        <w:t xml:space="preserve">Uncertainties about the instructions for medication increases the chances of misuse of medication and poses serious safety risks. These risks further increase the challenges for a person with disabilities to independently navigate the healthcare system. In order to ensure they are following medication instructions, a person will have to again rely on a family member or care giver. These barriers lead to a loss of privacy and loss of independence. </w:t>
      </w:r>
    </w:p>
    <w:p w:rsidR="00893821" w:rsidRPr="00A4603B" w:rsidRDefault="00893821" w:rsidP="00FC4E7A">
      <w:pPr>
        <w:pStyle w:val="Heading2"/>
      </w:pPr>
      <w:bookmarkStart w:id="45" w:name="_Toc457553265"/>
      <w:r w:rsidRPr="00A4603B">
        <w:lastRenderedPageBreak/>
        <w:t>Physical activity and fitness</w:t>
      </w:r>
      <w:bookmarkEnd w:id="45"/>
    </w:p>
    <w:p w:rsidR="00893821" w:rsidRPr="00A4603B" w:rsidRDefault="00893821" w:rsidP="00FC4E7A">
      <w:pPr>
        <w:pStyle w:val="Heading3"/>
      </w:pPr>
      <w:r w:rsidRPr="00A4603B">
        <w:t>What are the barriers?</w:t>
      </w:r>
    </w:p>
    <w:p w:rsidR="00893821" w:rsidRPr="00A4603B" w:rsidRDefault="00893821" w:rsidP="00893821">
      <w:r w:rsidRPr="00A4603B">
        <w:t>The literature presents research that shows people with disabilities typically have lower fitness levels, due to struggles accessing physical activity opportunities. The US Department of Health and Human Services states that all children should obtain at minimum 30 to 60 minutes of physical activity almost daily. This activity should include 10 to 15 minutes of uninterrupted intense cardio.</w:t>
      </w:r>
      <w:r w:rsidRPr="00A4603B">
        <w:rPr>
          <w:vertAlign w:val="superscript"/>
        </w:rPr>
        <w:footnoteReference w:id="42"/>
      </w:r>
      <w:r w:rsidRPr="00A4603B">
        <w:t xml:space="preserve"> The literature’s research finds that youth with disabilities, particularly physical disabilities and autism are less physically active and fit, due to a lack opportunities for physical activities.</w:t>
      </w:r>
      <w:r w:rsidRPr="00A4603B">
        <w:rPr>
          <w:vertAlign w:val="superscript"/>
        </w:rPr>
        <w:t xml:space="preserve"> </w:t>
      </w:r>
      <w:r w:rsidRPr="00A4603B">
        <w:rPr>
          <w:vertAlign w:val="superscript"/>
        </w:rPr>
        <w:footnoteReference w:id="43"/>
      </w:r>
      <w:r w:rsidRPr="00A4603B">
        <w:t xml:space="preserve"> The literature further finds that adults with Down syndrome have lower fitness levels than the rest of the average population, as well as higher rates of obesity. Adults with Down syndrome in general have more sedentary lives.</w:t>
      </w:r>
      <w:r w:rsidRPr="00A4603B">
        <w:rPr>
          <w:vertAlign w:val="superscript"/>
        </w:rPr>
        <w:footnoteReference w:id="44"/>
      </w:r>
      <w:r w:rsidRPr="00A4603B">
        <w:t xml:space="preserve"> The literature cites a report from the US Office of the Surgeon General that highlights the low health status for persons with disabilities. The report particularly focuses on the need for programs to raise physical activity and lower obesity rates among this population.</w:t>
      </w:r>
      <w:r w:rsidRPr="00A4603B">
        <w:rPr>
          <w:vertAlign w:val="superscript"/>
        </w:rPr>
        <w:footnoteReference w:id="45"/>
      </w:r>
      <w:r w:rsidRPr="00A4603B">
        <w:t xml:space="preserve"> On average, youth and adults with physical disabilities have less access to opportunities for physical activity, leading to higher rates of obesity and negatively impacting their health.</w:t>
      </w:r>
    </w:p>
    <w:p w:rsidR="00893821" w:rsidRPr="00A4603B" w:rsidRDefault="00893821" w:rsidP="00893821">
      <w:pPr>
        <w:rPr>
          <w:lang w:val="en"/>
        </w:rPr>
      </w:pPr>
      <w:r w:rsidRPr="00A4603B">
        <w:t xml:space="preserve">In addition to fewer opportunities to engage in physical activity, the literature finds that people with disabilities have high emotional barriers and negativity toward exercise. The report </w:t>
      </w:r>
      <w:r w:rsidRPr="00A4603B">
        <w:rPr>
          <w:i/>
          <w:lang w:val="en"/>
        </w:rPr>
        <w:t>Attitudinal and Psychosocial Outcomes of a Fitness and Health Education Program on Adults with Down Syndrome</w:t>
      </w:r>
      <w:r w:rsidRPr="00A4603B">
        <w:rPr>
          <w:lang w:val="en"/>
        </w:rPr>
        <w:t xml:space="preserve"> found that the most common emotional barrier to exercising is feeling a lack of energy (45 percent of the participants in the study). Forty percent of participants said that exercising is boring, 36 percent said they are too lazy to exercise, and 33 percent said they had health concerns related to exercising. Fifty-three percent of the study’s participants said they did not have enough confidence to use exercise equipment and machines and 52 percent said they lacked confidence to stretch their muscles.</w:t>
      </w:r>
      <w:r w:rsidRPr="00A4603B">
        <w:rPr>
          <w:vertAlign w:val="superscript"/>
        </w:rPr>
        <w:footnoteReference w:id="46"/>
      </w:r>
      <w:r w:rsidRPr="00A4603B">
        <w:rPr>
          <w:lang w:val="en"/>
        </w:rPr>
        <w:t xml:space="preserve"> The study further looked at the effects of implementing a structured health and fitness program into the routines of adults with Down syndrome. The study found that a health and fitness routine had positive psychosocial effects on </w:t>
      </w:r>
      <w:r w:rsidRPr="00A4603B">
        <w:rPr>
          <w:lang w:val="en"/>
        </w:rPr>
        <w:lastRenderedPageBreak/>
        <w:t>participants, including increased life satisfaction and lower risks of depression.</w:t>
      </w:r>
      <w:r w:rsidRPr="00A4603B">
        <w:rPr>
          <w:vertAlign w:val="superscript"/>
        </w:rPr>
        <w:t xml:space="preserve"> </w:t>
      </w:r>
      <w:r w:rsidRPr="00A4603B">
        <w:rPr>
          <w:vertAlign w:val="superscript"/>
        </w:rPr>
        <w:footnoteReference w:id="47"/>
      </w:r>
      <w:r w:rsidRPr="00A4603B">
        <w:rPr>
          <w:lang w:val="en"/>
        </w:rPr>
        <w:t xml:space="preserve"> In addition to combating obesity, increased fitness levels may result improved psychosocial well-being for people with Down syndrome. </w:t>
      </w:r>
    </w:p>
    <w:p w:rsidR="00893821" w:rsidRPr="00A4603B" w:rsidRDefault="00893821" w:rsidP="00FC4E7A">
      <w:pPr>
        <w:pStyle w:val="Heading3"/>
        <w:rPr>
          <w:lang w:val="en"/>
        </w:rPr>
      </w:pPr>
      <w:r w:rsidRPr="00A4603B">
        <w:rPr>
          <w:lang w:val="en"/>
        </w:rPr>
        <w:t>What are the implications?</w:t>
      </w:r>
    </w:p>
    <w:p w:rsidR="00893821" w:rsidRPr="00A4603B" w:rsidRDefault="00893821" w:rsidP="00893821">
      <w:pPr>
        <w:rPr>
          <w:lang w:val="en"/>
        </w:rPr>
      </w:pPr>
      <w:r w:rsidRPr="00A4603B">
        <w:rPr>
          <w:lang w:val="en"/>
        </w:rPr>
        <w:t>As said, lower levels of physical activity will result in high rates of obesity and may result in higher risks of depression. People with disabilities find it harder to access opportunities for physical activity, including low confidence, negative attitudes and uncertainty on what the impacts exercising will have on their health. The literature shows that supportive, structured physical activity programs helped participants improve their fitness levels, lowered levels of obesity, and improved some psychosocial outcomes.</w:t>
      </w:r>
    </w:p>
    <w:p w:rsidR="00893821" w:rsidRPr="00A4603B" w:rsidRDefault="00893821" w:rsidP="00FC4E7A">
      <w:pPr>
        <w:pStyle w:val="Heading2"/>
        <w:rPr>
          <w:lang w:val="en"/>
        </w:rPr>
      </w:pPr>
      <w:bookmarkStart w:id="46" w:name="_Toc457553266"/>
      <w:r w:rsidRPr="00A4603B">
        <w:rPr>
          <w:lang w:val="en"/>
        </w:rPr>
        <w:t>Conclusion</w:t>
      </w:r>
      <w:bookmarkEnd w:id="46"/>
    </w:p>
    <w:p w:rsidR="00893821" w:rsidRPr="00A4603B" w:rsidRDefault="00893821" w:rsidP="00893821">
      <w:r w:rsidRPr="00A4603B">
        <w:rPr>
          <w:lang w:val="en"/>
        </w:rPr>
        <w:t xml:space="preserve">Communication, negative experiences, and difficulties navigating the healthcare system are central themes found in the literature that create barriers to healthcare. The literature shows that people with disabilities find that that these barriers ultimately lead to lower quality care with less dignity and respect. These barriers are more likely to cause people with disabilities to avoid seeking out healthcare, and instead rely on self-diagnosis. </w:t>
      </w:r>
      <w:r w:rsidRPr="00A4603B">
        <w:t xml:space="preserve">Reliable communication, consent, and confidentiality are foundations of health standards to provide personalized, trustworthy care. The literature argues, any person with or without disabilities has the expectation to receive high quality, personalized care. Despite planning to improve the accessibility and quality of healthcare for people with disabilities, the literature reviewed argues that more initiatives must be pursued to lower barriers to healthcare. </w:t>
      </w:r>
    </w:p>
    <w:p w:rsidR="00893821" w:rsidRPr="00A4603B" w:rsidRDefault="00893821" w:rsidP="00893821">
      <w:r w:rsidRPr="00A4603B">
        <w:br w:type="page"/>
      </w:r>
    </w:p>
    <w:p w:rsidR="00893821" w:rsidRPr="00A4603B" w:rsidRDefault="00FC4E7A" w:rsidP="00FC4E7A">
      <w:pPr>
        <w:pStyle w:val="Heading1"/>
      </w:pPr>
      <w:bookmarkStart w:id="47" w:name="_Toc424669254"/>
      <w:bookmarkStart w:id="48" w:name="_Toc457553267"/>
      <w:bookmarkEnd w:id="21"/>
      <w:bookmarkEnd w:id="39"/>
      <w:r>
        <w:lastRenderedPageBreak/>
        <w:t xml:space="preserve">5. </w:t>
      </w:r>
      <w:r w:rsidR="00893821" w:rsidRPr="00A4603B">
        <w:t>Emerging Trends and Issues</w:t>
      </w:r>
      <w:bookmarkEnd w:id="47"/>
      <w:bookmarkEnd w:id="48"/>
    </w:p>
    <w:p w:rsidR="00893821" w:rsidRPr="00A4603B" w:rsidRDefault="00893821" w:rsidP="00893821">
      <w:r w:rsidRPr="00A4603B">
        <w:t>Healthcare in Ontario aims to provide a patient-focused, results-driven, integrated, and sustainable system for all.</w:t>
      </w:r>
      <w:r w:rsidRPr="00A4603B">
        <w:rPr>
          <w:vertAlign w:val="superscript"/>
        </w:rPr>
        <w:footnoteReference w:id="48"/>
      </w:r>
      <w:r w:rsidRPr="00A4603B">
        <w:t xml:space="preserve"> Given that one in seven Ontarians have a disability and this number is expected to rise as the population continues to age, access and equity to the healthcare sector for persons with disabilities is critical.</w:t>
      </w:r>
      <w:r w:rsidRPr="00A4603B">
        <w:rPr>
          <w:vertAlign w:val="superscript"/>
        </w:rPr>
        <w:footnoteReference w:id="49"/>
      </w:r>
      <w:r w:rsidRPr="00A4603B">
        <w:t xml:space="preserve"> During Mayo Moran’s review of the AODA, the creation of new standards for the healthcare sector was suggested for further examination. </w:t>
      </w:r>
    </w:p>
    <w:p w:rsidR="00893821" w:rsidRPr="00A4603B" w:rsidRDefault="00893821" w:rsidP="00893821">
      <w:r w:rsidRPr="00A4603B">
        <w:t xml:space="preserve">This section summarizes trends and emerging issues in healthcare accessibility based on this report’s jurisdictional scan and literature review. In total, six trends or emerging issues have been identified. Most are rooted in the principles of inclusion and accommodation and aim to address barriers that impede system and individual success. Although identification is exhaustive of the material reviewed in this report, it does not represent a complete analysis of all available material published to date.  </w:t>
      </w:r>
    </w:p>
    <w:p w:rsidR="00893821" w:rsidRPr="00FC4E7A" w:rsidRDefault="00893821" w:rsidP="00893821">
      <w:pPr>
        <w:rPr>
          <w:b/>
          <w:lang w:val="en-US"/>
        </w:rPr>
      </w:pPr>
      <w:r w:rsidRPr="00FC4E7A">
        <w:rPr>
          <w:b/>
          <w:lang w:val="en-US"/>
        </w:rPr>
        <w:t xml:space="preserve">There continues to be a focus on built environment access to healthcare, yet more work to be done to address physical access issues. </w:t>
      </w:r>
    </w:p>
    <w:p w:rsidR="00893821" w:rsidRPr="00A4603B" w:rsidRDefault="00893821" w:rsidP="00893821">
      <w:pPr>
        <w:rPr>
          <w:lang w:val="en-US"/>
        </w:rPr>
      </w:pPr>
      <w:r w:rsidRPr="00A4603B">
        <w:rPr>
          <w:lang w:val="en-US"/>
        </w:rPr>
        <w:t xml:space="preserve">All jurisdictions examined have policies, regulations or standards in place for accessible design in public buildings. Some jurisdictions have requirements that are specific to access to buildings for people with disabilities, while others are based on requirements within building codes. These requirements are applicable to hospitals and other public healthcare buildings, but there was limited evidence of accessibility standards specific to the healthcare setting. For example, New Brunswick has established design standards for nursing homes and Prince Edward Island has a Community Care Facilities and Nursing Homes Act as well as Private Nursing Home Standards. The literature suggests that people with disabilities continue to encounter structural barriers in the healthcare setting, which can lead to wasted time and higher costs to the economy. </w:t>
      </w:r>
    </w:p>
    <w:p w:rsidR="00893821" w:rsidRPr="00A4603B" w:rsidRDefault="00893821" w:rsidP="00893821">
      <w:r w:rsidRPr="00A4603B">
        <w:rPr>
          <w:lang w:val="en-US"/>
        </w:rPr>
        <w:t xml:space="preserve">In addition to access to the built environment, there is recognition by some jurisdictions that access to examination or diagnostic equipment is another physical access barrier that needs to be addressed. Certain issues identified included lack of height-adjustable medical equipment or inaccessible examination tables, which can lead to poorer quality diagnosis and treatment. To address these barriers, the United States Access Board is </w:t>
      </w:r>
      <w:r w:rsidRPr="00A4603B">
        <w:rPr>
          <w:lang w:val="en-US"/>
        </w:rPr>
        <w:lastRenderedPageBreak/>
        <w:t>developing accessibility standards for medical diagnostic equipment, including examination tables and chairs, weight scales, radiological equipment, and mammography equipment, under the Patient Protection and Affordable Care Act.</w:t>
      </w:r>
    </w:p>
    <w:p w:rsidR="00893821" w:rsidRPr="00A4603B" w:rsidRDefault="00893821" w:rsidP="00893821">
      <w:r w:rsidRPr="00A4603B">
        <w:rPr>
          <w:lang w:val="en-US"/>
        </w:rPr>
        <w:t xml:space="preserve">Another approach that has been taken in the healthcare sector that can be viewed as an extension to physical access is the labelling of prescription drug containers. Literature suggests that people with disabilities, especially those who are blind or partially signed, struggle with receiving correct directions for medication. The United States Access is Board has developed guidance, under the authority of the Food and Drug Administration Safety and Innovation Act, to establish best practices for retail and other pharmacies to use in providing accessible prescription drug labeling, including proper dosage, the name of the medication and accompanying information about possible side effects. </w:t>
      </w:r>
      <w:r w:rsidRPr="00A4603B">
        <w:t>The British Standards Institute also has guidance on the application of braille to the labelling of medicines, aimed at supporting the implementation in the European Union and European Economic Area.</w:t>
      </w:r>
    </w:p>
    <w:p w:rsidR="00893821" w:rsidRPr="00FC4E7A" w:rsidRDefault="00893821" w:rsidP="00FC4E7A">
      <w:pPr>
        <w:pStyle w:val="Heading2"/>
        <w:rPr>
          <w:lang w:val="en-US"/>
        </w:rPr>
      </w:pPr>
      <w:bookmarkStart w:id="49" w:name="_Toc457553268"/>
      <w:r w:rsidRPr="00FC4E7A">
        <w:rPr>
          <w:lang w:val="en-US"/>
        </w:rPr>
        <w:t>Many programs in place to facilitate independent living and keep care in the community and homes.</w:t>
      </w:r>
      <w:bookmarkEnd w:id="49"/>
    </w:p>
    <w:p w:rsidR="00893821" w:rsidRPr="00A4603B" w:rsidRDefault="00893821" w:rsidP="00893821">
      <w:pPr>
        <w:rPr>
          <w:lang w:val="en"/>
        </w:rPr>
      </w:pPr>
      <w:r w:rsidRPr="00A4603B">
        <w:t>The majority of jurisdictions examined have programs that aim to maximizes independence and encourage the use of primary care and/or community-based supports to keep individuals out of the hospitals and at home. Health care systems around the world are looking for opportunities to reduce costs, increase quality and deliver care that is centred around the patient in order to improve health outcomes. Government funded or delivered programs</w:t>
      </w:r>
      <w:r w:rsidRPr="00A4603B">
        <w:rPr>
          <w:lang w:val="en"/>
        </w:rPr>
        <w:t xml:space="preserve"> in other jurisdictions that support independence include:</w:t>
      </w:r>
    </w:p>
    <w:p w:rsidR="00893821" w:rsidRPr="00A4603B" w:rsidRDefault="00893821" w:rsidP="00BC5BD4">
      <w:pPr>
        <w:pStyle w:val="ListParagraph"/>
        <w:numPr>
          <w:ilvl w:val="0"/>
          <w:numId w:val="41"/>
        </w:numPr>
      </w:pPr>
      <w:r w:rsidRPr="00A4603B">
        <w:t xml:space="preserve">British Columbia’s </w:t>
      </w:r>
      <w:r w:rsidRPr="00FC4E7A">
        <w:rPr>
          <w:i/>
        </w:rPr>
        <w:t>Independent Living BC Program</w:t>
      </w:r>
      <w:r w:rsidRPr="00A4603B">
        <w:t xml:space="preserve"> helps to bridge the gap between home care and residential care through developing affordable assisted living apartments. The </w:t>
      </w:r>
      <w:r w:rsidRPr="00FC4E7A">
        <w:rPr>
          <w:i/>
          <w:lang w:val="en-US"/>
        </w:rPr>
        <w:t>Palliative Benefits Program</w:t>
      </w:r>
      <w:r w:rsidRPr="00A4603B">
        <w:t xml:space="preserve"> provides support in order to enable individuals in the end stage of a life threatening disease to remain at home by covering the cost of medication, medical supplies and equipment. As well, the </w:t>
      </w:r>
      <w:r w:rsidRPr="00FC4E7A">
        <w:rPr>
          <w:i/>
        </w:rPr>
        <w:t>At Home Program for Children</w:t>
      </w:r>
      <w:r w:rsidRPr="00A4603B">
        <w:t>, assists parents with some of the disability-related costs of caring for a child with severe disabilities at home.</w:t>
      </w:r>
    </w:p>
    <w:p w:rsidR="00893821" w:rsidRPr="00A4603B" w:rsidRDefault="00893821" w:rsidP="00BC5BD4">
      <w:pPr>
        <w:pStyle w:val="ListParagraph"/>
        <w:numPr>
          <w:ilvl w:val="0"/>
          <w:numId w:val="41"/>
        </w:numPr>
      </w:pPr>
      <w:r w:rsidRPr="00A4603B">
        <w:t xml:space="preserve">Alberta’s </w:t>
      </w:r>
      <w:r w:rsidRPr="00FC4E7A">
        <w:rPr>
          <w:i/>
        </w:rPr>
        <w:t>Aids to Daily Living</w:t>
      </w:r>
      <w:r w:rsidRPr="00A4603B">
        <w:t>, delivered by Alberta Health, has programs to assist those with a long-term disability maintain their independence at home, in lodges or group homes by providing financial assistance to buy medical equipment and supplies.</w:t>
      </w:r>
    </w:p>
    <w:p w:rsidR="00893821" w:rsidRPr="00A4603B" w:rsidRDefault="00893821" w:rsidP="00BC5BD4">
      <w:pPr>
        <w:pStyle w:val="ListParagraph"/>
        <w:numPr>
          <w:ilvl w:val="0"/>
          <w:numId w:val="41"/>
        </w:numPr>
      </w:pPr>
      <w:r w:rsidRPr="00FC4E7A">
        <w:rPr>
          <w:lang w:val="en"/>
        </w:rPr>
        <w:t xml:space="preserve">Manitoba </w:t>
      </w:r>
      <w:r w:rsidRPr="00FC4E7A">
        <w:rPr>
          <w:i/>
          <w:lang w:val="en"/>
        </w:rPr>
        <w:t>Home Care</w:t>
      </w:r>
      <w:r w:rsidRPr="00FC4E7A">
        <w:rPr>
          <w:lang w:val="en"/>
        </w:rPr>
        <w:t xml:space="preserve"> is a province wide, universal homecare program, funded by the provincial government and delivered by Regional Health Authorities. </w:t>
      </w:r>
      <w:r w:rsidRPr="00FC4E7A">
        <w:rPr>
          <w:lang w:val="en"/>
        </w:rPr>
        <w:lastRenderedPageBreak/>
        <w:t xml:space="preserve">Manitoba Health, Healthy Living and Seniors does not license private Home Care companies or agencies. The program </w:t>
      </w:r>
      <w:r w:rsidRPr="00A4603B">
        <w:t>provides home support to individuals who require health services or assistance with activities of daily living and assistance to help them stay in their homes for as long as is safely possible.</w:t>
      </w:r>
    </w:p>
    <w:p w:rsidR="00893821" w:rsidRPr="00A4603B" w:rsidRDefault="00893821" w:rsidP="00BC5BD4">
      <w:pPr>
        <w:pStyle w:val="ListParagraph"/>
        <w:numPr>
          <w:ilvl w:val="0"/>
          <w:numId w:val="41"/>
        </w:numPr>
      </w:pPr>
      <w:r w:rsidRPr="00A4603B">
        <w:t xml:space="preserve">Saskatchewan’s </w:t>
      </w:r>
      <w:r w:rsidRPr="00FC4E7A">
        <w:rPr>
          <w:i/>
        </w:rPr>
        <w:t>Aids to Independent Living</w:t>
      </w:r>
      <w:r w:rsidRPr="00A4603B">
        <w:t xml:space="preserve"> program, assistance is provided to support those with physical disabilities live a more active and independent lifestyle. The program was established by the Ministry of Health in 1975 and consists of 14 sub-programs to support individual’s specific needs.</w:t>
      </w:r>
    </w:p>
    <w:p w:rsidR="00893821" w:rsidRPr="00A4603B" w:rsidRDefault="00893821" w:rsidP="00BC5BD4">
      <w:pPr>
        <w:pStyle w:val="ListParagraph"/>
        <w:numPr>
          <w:ilvl w:val="0"/>
          <w:numId w:val="41"/>
        </w:numPr>
      </w:pPr>
      <w:r w:rsidRPr="00FC4E7A">
        <w:rPr>
          <w:lang w:val="en-US"/>
        </w:rPr>
        <w:t xml:space="preserve">Yukon’s </w:t>
      </w:r>
      <w:r w:rsidRPr="00FC4E7A">
        <w:rPr>
          <w:i/>
          <w:lang w:val="en-US"/>
        </w:rPr>
        <w:t>Home Care Program</w:t>
      </w:r>
      <w:r w:rsidRPr="00FC4E7A">
        <w:rPr>
          <w:lang w:val="en-US"/>
        </w:rPr>
        <w:t xml:space="preserve"> </w:t>
      </w:r>
      <w:r w:rsidRPr="00A4603B">
        <w:t xml:space="preserve">delivers health-related services to individuals who have difficulty accessing services in the community with an objective to support individuals to live independently in their homes. As well Yukon’s </w:t>
      </w:r>
      <w:r w:rsidRPr="00FC4E7A">
        <w:rPr>
          <w:i/>
          <w:lang w:val="en-US"/>
        </w:rPr>
        <w:t>Community Day Program</w:t>
      </w:r>
      <w:r w:rsidRPr="00FC4E7A">
        <w:rPr>
          <w:lang w:val="en-US"/>
        </w:rPr>
        <w:t xml:space="preserve"> aims to </w:t>
      </w:r>
      <w:r w:rsidRPr="00A4603B">
        <w:t>maintain or increase independence, to prevent or delay the need of residential care in a facility, and to provide services that complement other community service providers.</w:t>
      </w:r>
    </w:p>
    <w:p w:rsidR="00893821" w:rsidRPr="00A4603B" w:rsidRDefault="00893821" w:rsidP="00BC5BD4">
      <w:pPr>
        <w:pStyle w:val="ListParagraph"/>
        <w:numPr>
          <w:ilvl w:val="0"/>
          <w:numId w:val="41"/>
        </w:numPr>
      </w:pPr>
      <w:r w:rsidRPr="00A4603B">
        <w:t>In the United Kingdom, the</w:t>
      </w:r>
      <w:r w:rsidRPr="00FC4E7A">
        <w:rPr>
          <w:lang w:val="en-US"/>
        </w:rPr>
        <w:t xml:space="preserve"> </w:t>
      </w:r>
      <w:r w:rsidRPr="00FC4E7A">
        <w:rPr>
          <w:i/>
          <w:lang w:val="en-US"/>
        </w:rPr>
        <w:t>Independent Living Fund</w:t>
      </w:r>
      <w:r w:rsidRPr="00FC4E7A">
        <w:rPr>
          <w:lang w:val="en-US"/>
        </w:rPr>
        <w:t xml:space="preserve"> </w:t>
      </w:r>
      <w:r w:rsidRPr="00FC4E7A">
        <w:rPr>
          <w:lang w:val="en"/>
        </w:rPr>
        <w:t xml:space="preserve">supports people to live independently rather than in residential care. </w:t>
      </w:r>
    </w:p>
    <w:p w:rsidR="00893821" w:rsidRPr="00A4603B" w:rsidRDefault="00893821" w:rsidP="00893821">
      <w:r w:rsidRPr="00A4603B">
        <w:t>Beyond independence, the literature notes that physical activity is especially important for people with disabilities. Lower</w:t>
      </w:r>
      <w:r w:rsidRPr="00A4603B">
        <w:rPr>
          <w:lang w:val="en"/>
        </w:rPr>
        <w:t xml:space="preserve"> fitness levels can result in high rates of obesity and may result in higher risk of depression. Programs geared to help people with disabilities improve their fitness can lead to lower costs and better outcomes. While some jurisdictions made reference to supporting an independent and active lifestyle, a greater focus on programming that links independence and fitness could be warranted. </w:t>
      </w:r>
    </w:p>
    <w:p w:rsidR="00893821" w:rsidRPr="00A4603B" w:rsidRDefault="00893821" w:rsidP="00FC4E7A">
      <w:pPr>
        <w:pStyle w:val="Heading2"/>
        <w:rPr>
          <w:lang w:val="en-US"/>
        </w:rPr>
      </w:pPr>
      <w:bookmarkStart w:id="50" w:name="_Toc457553269"/>
      <w:r w:rsidRPr="00A4603B">
        <w:rPr>
          <w:lang w:val="en-US"/>
        </w:rPr>
        <w:t>Increased coordination among healthcare providers, caregivers and families</w:t>
      </w:r>
      <w:bookmarkEnd w:id="50"/>
    </w:p>
    <w:p w:rsidR="00893821" w:rsidRPr="00A4603B" w:rsidRDefault="00893821" w:rsidP="00893821">
      <w:pPr>
        <w:rPr>
          <w:lang w:val="en-US"/>
        </w:rPr>
      </w:pPr>
      <w:r w:rsidRPr="00A4603B">
        <w:rPr>
          <w:lang w:val="en-US"/>
        </w:rPr>
        <w:t xml:space="preserve">Effective coordination, transitions and hand-offs is a challenge faced in all healthcare systems. This can especially impact people living with disabilities, both mental and/or physical. Literature suggests that poor communication between providers as well as with caregivers, families and patients reduces quality of care and can impact proper diagnosis and treatment. Moreover, these issues coupled with a lack of cultural and language competencies can lead to prolonged or untreated health problems.  </w:t>
      </w:r>
    </w:p>
    <w:p w:rsidR="00893821" w:rsidRPr="00A4603B" w:rsidRDefault="00893821" w:rsidP="00893821">
      <w:r w:rsidRPr="00A4603B">
        <w:rPr>
          <w:lang w:val="en-US"/>
        </w:rPr>
        <w:t xml:space="preserve">Research across jurisdictions identified different types of policies and programs to encourage coordination and transitions. For example, in the Unites States, a program called </w:t>
      </w:r>
      <w:r w:rsidRPr="00A4603B">
        <w:rPr>
          <w:i/>
          <w:lang w:val="en-US"/>
        </w:rPr>
        <w:t>Healthy and Ready to Work</w:t>
      </w:r>
      <w:r w:rsidRPr="00A4603B">
        <w:rPr>
          <w:lang w:val="en-US"/>
        </w:rPr>
        <w:t xml:space="preserve"> focused on facilitating the transition of children with special health care needs from pediatric to adult health. Premier HealthCare</w:t>
      </w:r>
      <w:r w:rsidRPr="00A4603B">
        <w:t xml:space="preserve">, an agency in the National Institute for People with Disabilities network, provides specialty health care practices for individuals with developmental, physical, and learning disabilities </w:t>
      </w:r>
      <w:r w:rsidRPr="00A4603B">
        <w:lastRenderedPageBreak/>
        <w:t xml:space="preserve">throughout New York City. This clinic practice provides for patients not only to be seen by a primary care physician but also to have immediate access to specialists offering a variety of services (e.g., dental, social work, and nutrition). Finally, New York’s </w:t>
      </w:r>
      <w:r w:rsidRPr="00A4603B">
        <w:rPr>
          <w:i/>
        </w:rPr>
        <w:t>Parent to Parent</w:t>
      </w:r>
      <w:r w:rsidRPr="00A4603B">
        <w:t xml:space="preserve"> provides supports to parents by providing information on healthcare, education and housing as well as referrals and family training. </w:t>
      </w:r>
    </w:p>
    <w:p w:rsidR="00893821" w:rsidRPr="00A4603B" w:rsidRDefault="00893821" w:rsidP="00893821">
      <w:r w:rsidRPr="00A4603B">
        <w:t>Transitions between health and social care, home and hospital, or adult and older adult services can be especially difficult. In the United Kingdom, transition planning is identified in statutory guidance for local authorities implementing the Autism Strategy under the Autism Act. This guidance speaks to the importance of personalized care for adults with autism that reflects their needs and supports caregivers as well as planning in relation to the provision of services to people with autism as they move from being children to adults. As well, the In</w:t>
      </w:r>
      <w:r w:rsidRPr="00A4603B">
        <w:rPr>
          <w:lang w:val="en-US"/>
        </w:rPr>
        <w:t xml:space="preserve">dependent Living Fund is a UK wide, government funded </w:t>
      </w:r>
      <w:r w:rsidRPr="00A4603B">
        <w:rPr>
          <w:lang w:val="en"/>
        </w:rPr>
        <w:t xml:space="preserve">support for people with disabilities as they transition into adulthood. Those helped under the scheme are able to receive a joint ILF/local authority funded care support package to help them live independently in the community rather than in residential care. Finally, the Community Based Services for those with </w:t>
      </w:r>
      <w:r w:rsidRPr="00A4603B">
        <w:t>intellectual impairment provides primary care services, facilitates access to general services, and provides education and advice to individuals, families, and other professionals.</w:t>
      </w:r>
    </w:p>
    <w:p w:rsidR="00893821" w:rsidRPr="00A4603B" w:rsidRDefault="00893821" w:rsidP="00893821">
      <w:r w:rsidRPr="00A4603B">
        <w:t xml:space="preserve">Another example of coordination across the continuum of care is demonstrated by the Westchester Institute for Human Development. The institute provides coordinated health care for people with disabilities, caregivers, family members, and health care professionals. Similarly, AXIS Healthcare in Minnesota combines physician, hospital, home care, nursing home care, home- and community-based services, and other care into one coordinated care system. In the Northwest Territories, specialized care is coordinated with regional therapists and non-governmental organizations through a Rehabilitation Services program. Germany has also developed programs in the health </w:t>
      </w:r>
      <w:r w:rsidRPr="00A4603B">
        <w:rPr>
          <w:lang w:val="en"/>
        </w:rPr>
        <w:t>sector that focus training and continuing education of specialists for international cooperation.</w:t>
      </w:r>
    </w:p>
    <w:p w:rsidR="00893821" w:rsidRPr="00A4603B" w:rsidRDefault="00893821" w:rsidP="00893821">
      <w:pPr>
        <w:rPr>
          <w:lang w:val="en-US"/>
        </w:rPr>
      </w:pPr>
      <w:r w:rsidRPr="00A4603B">
        <w:rPr>
          <w:lang w:val="en-US"/>
        </w:rPr>
        <w:t>Collaboration between government and the private sector is also an emerging trend in access and equity in the healthcare sector. As part of its Accessibility 2024 plan, British Columbia held consultations to share thoughts on what government, businesses and communities can do to reduce barriers and increase accessibility for people living with disabilities.</w:t>
      </w:r>
    </w:p>
    <w:p w:rsidR="00893821" w:rsidRPr="00A4603B" w:rsidRDefault="00893821" w:rsidP="00893821">
      <w:pPr>
        <w:rPr>
          <w:lang w:val="en-US"/>
        </w:rPr>
      </w:pPr>
    </w:p>
    <w:p w:rsidR="00893821" w:rsidRPr="00A4603B" w:rsidRDefault="00893821" w:rsidP="00FC4E7A">
      <w:pPr>
        <w:pStyle w:val="Heading2"/>
        <w:rPr>
          <w:lang w:val="en-US"/>
        </w:rPr>
      </w:pPr>
      <w:bookmarkStart w:id="51" w:name="_Toc457553270"/>
      <w:r w:rsidRPr="00A4603B">
        <w:rPr>
          <w:lang w:val="en-US"/>
        </w:rPr>
        <w:lastRenderedPageBreak/>
        <w:t>Enabling independence has led to an emerging focus on confidentiality and consent</w:t>
      </w:r>
      <w:bookmarkEnd w:id="51"/>
    </w:p>
    <w:p w:rsidR="00893821" w:rsidRPr="00A4603B" w:rsidRDefault="00893821" w:rsidP="00893821">
      <w:pPr>
        <w:rPr>
          <w:lang w:val="en-US"/>
        </w:rPr>
      </w:pPr>
      <w:r w:rsidRPr="00A4603B">
        <w:rPr>
          <w:lang w:val="en-US"/>
        </w:rPr>
        <w:t>As described in the literature, communication challenges between patients and healthcare providers can reduce quality of care and may lead to problems with proper diagnosis and treatment. Furthermore, communication issues can impact patient confidentiality and consent with healthcare providers. Family members often must be present for appointments to ensure symptoms and directions from doctors are being communicated clearly, however this infringes on patient confidentiality and ability to provide consent. While programs and services are in place to aid independence, these issues around confidentiality and consent can hinder progress.</w:t>
      </w:r>
    </w:p>
    <w:p w:rsidR="00893821" w:rsidRPr="00A4603B" w:rsidRDefault="00893821" w:rsidP="00893821">
      <w:pPr>
        <w:rPr>
          <w:lang w:val="en-US"/>
        </w:rPr>
      </w:pPr>
      <w:r w:rsidRPr="00A4603B">
        <w:rPr>
          <w:lang w:val="en-US"/>
        </w:rPr>
        <w:t>The Ontario Human Rights Commission has also recognized consent issues with people with mental health disabilities and developed guiding policies to prevent discrimination. The OHRC identifies principles related to “inclusive design, individualized assessment, respect for dignity, autonomy, confidentiality, opting for the least intrusive and restrictive options wherever possible, and integration and full participation wherever possible”. Moreover, the Ontario Court of Appeal recognizes that the right to personal autonomy, self-determination and dignity is “no less significant” for people with mental health disabilities, and “is entitled to no less protection, than that of competent persons suffering from physical ailments”.</w:t>
      </w:r>
      <w:r w:rsidRPr="00A4603B">
        <w:rPr>
          <w:vertAlign w:val="superscript"/>
          <w:lang w:val="en-US"/>
        </w:rPr>
        <w:footnoteReference w:id="50"/>
      </w:r>
    </w:p>
    <w:p w:rsidR="00893821" w:rsidRPr="00A4603B" w:rsidRDefault="00893821" w:rsidP="00893821">
      <w:r w:rsidRPr="00A4603B">
        <w:rPr>
          <w:lang w:val="en-US"/>
        </w:rPr>
        <w:t xml:space="preserve">Of the jurisdictions examined, there was limited evidence of addressing consent and confidentiality barriers in practice, however it is clear that this issue has been recognized on the part of certain governments. The United Kingdom has taken steps to conduct reviews and investigations to look into these issues in order to begin addressing them. As part of Australia’s National Disability Strategy, policy directions are included on “choice and control, social participation and relationships”. Disability Services Australia has a policy framework that </w:t>
      </w:r>
      <w:r w:rsidRPr="00A4603B">
        <w:t>the participation/involvement of family/significant others/ advocates/guardians in decision-making is dependent on the expressed wishes of the person receiving support and the assessed need for such advocacy, among others.</w:t>
      </w:r>
      <w:r w:rsidRPr="00A4603B">
        <w:rPr>
          <w:vertAlign w:val="superscript"/>
        </w:rPr>
        <w:footnoteReference w:id="51"/>
      </w:r>
    </w:p>
    <w:p w:rsidR="00893821" w:rsidRPr="00A4603B" w:rsidRDefault="00893821" w:rsidP="00893821">
      <w:pPr>
        <w:rPr>
          <w:lang w:val="en-US"/>
        </w:rPr>
      </w:pPr>
    </w:p>
    <w:p w:rsidR="00893821" w:rsidRPr="00A4603B" w:rsidRDefault="00893821" w:rsidP="00FC4E7A">
      <w:pPr>
        <w:pStyle w:val="Heading2"/>
        <w:rPr>
          <w:lang w:val="en-US"/>
        </w:rPr>
      </w:pPr>
      <w:bookmarkStart w:id="52" w:name="_Toc457553271"/>
      <w:r w:rsidRPr="00A4603B">
        <w:rPr>
          <w:lang w:val="en-US"/>
        </w:rPr>
        <w:lastRenderedPageBreak/>
        <w:t>Policies and programs to enhance training and education for healthcare professionals</w:t>
      </w:r>
      <w:bookmarkEnd w:id="52"/>
    </w:p>
    <w:p w:rsidR="00893821" w:rsidRPr="00A4603B" w:rsidRDefault="00893821" w:rsidP="00893821">
      <w:bookmarkStart w:id="53" w:name="_Toc418101259"/>
      <w:r w:rsidRPr="00A4603B">
        <w:t>Training and education for healthcare professionals is critical to providing equity and access to persons with disabilities. Research has found that a lack of competency and awareness among health care providers about disabilities can be an issue. Often inadequate training can lead to this – for example, a survey of Connecticut physicians found that 91 percent of primary care physicians revealed that they had received no training in intellectual and developmental disabilities, and 71 percent thought they would benefit from such training.</w:t>
      </w:r>
      <w:bookmarkEnd w:id="53"/>
      <w:r w:rsidRPr="00A4603B">
        <w:rPr>
          <w:vertAlign w:val="superscript"/>
        </w:rPr>
        <w:footnoteReference w:id="52"/>
      </w:r>
    </w:p>
    <w:p w:rsidR="00893821" w:rsidRPr="00A4603B" w:rsidRDefault="00893821" w:rsidP="00893821">
      <w:r w:rsidRPr="00A4603B">
        <w:t xml:space="preserve">Examples from jurisdictions: </w:t>
      </w:r>
    </w:p>
    <w:p w:rsidR="00893821" w:rsidRPr="00A4603B" w:rsidRDefault="00893821" w:rsidP="00BC5BD4">
      <w:pPr>
        <w:pStyle w:val="ListParagraph"/>
        <w:numPr>
          <w:ilvl w:val="0"/>
          <w:numId w:val="42"/>
        </w:numPr>
      </w:pPr>
      <w:r w:rsidRPr="00A4603B">
        <w:t xml:space="preserve">The Pan Canadian Health and Human Resource Strategy supports effective co-ordination and collaborative health human resources planning across the country. It aims to increase the number of qualified providers entering the health workforce and enhance working and learning conditions to maintain an experienced, dedicated workforce with the skills to provide high quality, safe, timely care. </w:t>
      </w:r>
    </w:p>
    <w:p w:rsidR="00893821" w:rsidRPr="00A4603B" w:rsidRDefault="00893821" w:rsidP="00BC5BD4">
      <w:pPr>
        <w:pStyle w:val="ListParagraph"/>
        <w:numPr>
          <w:ilvl w:val="0"/>
          <w:numId w:val="42"/>
        </w:numPr>
      </w:pPr>
      <w:r w:rsidRPr="00A4603B">
        <w:t>Canada’s Health Care Policy Contribution Program addresses on-going and emerging priorities in the health care system by funding projects that support key areas including primary health care and chronic disease management, home and community care, quality care and patient safety, and palliative and end-of-life care.</w:t>
      </w:r>
    </w:p>
    <w:p w:rsidR="00893821" w:rsidRPr="00A4603B" w:rsidRDefault="00893821" w:rsidP="00BC5BD4">
      <w:pPr>
        <w:pStyle w:val="ListParagraph"/>
        <w:numPr>
          <w:ilvl w:val="0"/>
          <w:numId w:val="42"/>
        </w:numPr>
      </w:pPr>
      <w:r w:rsidRPr="00FC4E7A">
        <w:rPr>
          <w:lang w:val="en-US"/>
        </w:rPr>
        <w:t xml:space="preserve">In the United Kingdom, statutory guidance for local authorities and NHS Organizations to support implementation of the Autism Strategy under Autism Act, 2009 deals with </w:t>
      </w:r>
      <w:r w:rsidRPr="00A4603B">
        <w:t>training of staff who provide services to adults with autism and identification and diagnosis of autism in adults, leading to assessment of needs for relevant services.</w:t>
      </w:r>
    </w:p>
    <w:p w:rsidR="00893821" w:rsidRPr="00FC4E7A" w:rsidRDefault="00893821" w:rsidP="00BC5BD4">
      <w:pPr>
        <w:pStyle w:val="ListParagraph"/>
        <w:numPr>
          <w:ilvl w:val="0"/>
          <w:numId w:val="42"/>
        </w:numPr>
        <w:rPr>
          <w:lang w:val="en-US"/>
        </w:rPr>
      </w:pPr>
      <w:r w:rsidRPr="00FC4E7A">
        <w:rPr>
          <w:lang w:val="en-US"/>
        </w:rPr>
        <w:t xml:space="preserve">In Australia, the Service Framework to Improve Health Care </w:t>
      </w:r>
      <w:r w:rsidRPr="00A4603B">
        <w:t xml:space="preserve">aims to reduce health inequalities for those with intellectual disabilities by creating a centre for clinical leadership, education and </w:t>
      </w:r>
      <w:r w:rsidRPr="00FC4E7A">
        <w:rPr>
          <w:lang w:val="en-US"/>
        </w:rPr>
        <w:t>training.</w:t>
      </w:r>
    </w:p>
    <w:p w:rsidR="00893821" w:rsidRPr="00FC4E7A" w:rsidRDefault="00893821" w:rsidP="00BC5BD4">
      <w:pPr>
        <w:pStyle w:val="ListParagraph"/>
        <w:numPr>
          <w:ilvl w:val="0"/>
          <w:numId w:val="42"/>
        </w:numPr>
        <w:rPr>
          <w:lang w:val="en-US"/>
        </w:rPr>
      </w:pPr>
      <w:r w:rsidRPr="00FC4E7A">
        <w:rPr>
          <w:lang w:val="en-US"/>
        </w:rPr>
        <w:t>In Israel, the Rehabilitation Division assists with the development of training programs to advance the profession and provide guidance, training and implementation of new models for diagnosis and rehabilitation of the disabled population.</w:t>
      </w:r>
    </w:p>
    <w:p w:rsidR="00893821" w:rsidRPr="00A4603B" w:rsidRDefault="00893821" w:rsidP="00BC5BD4">
      <w:pPr>
        <w:pStyle w:val="ListParagraph"/>
        <w:numPr>
          <w:ilvl w:val="0"/>
          <w:numId w:val="42"/>
        </w:numPr>
      </w:pPr>
      <w:r w:rsidRPr="00FC4E7A">
        <w:rPr>
          <w:lang w:val="en-US"/>
        </w:rPr>
        <w:lastRenderedPageBreak/>
        <w:t>Germany</w:t>
      </w:r>
      <w:r w:rsidRPr="00A4603B">
        <w:t xml:space="preserve"> supports human resources and organizational development in international cooperation for people with disabilities through health sector programs focusing on in-service training and continuing education of specialists. </w:t>
      </w:r>
    </w:p>
    <w:p w:rsidR="00893821" w:rsidRPr="00A4603B" w:rsidRDefault="00893821" w:rsidP="00FC4E7A">
      <w:pPr>
        <w:pStyle w:val="Heading2"/>
        <w:rPr>
          <w:lang w:val="en-US"/>
        </w:rPr>
      </w:pPr>
      <w:bookmarkStart w:id="54" w:name="_Toc457553272"/>
      <w:r w:rsidRPr="00A4603B">
        <w:rPr>
          <w:lang w:val="en-US"/>
        </w:rPr>
        <w:t>A recognition that programs are needed to address barriers for specific populations</w:t>
      </w:r>
      <w:bookmarkEnd w:id="54"/>
    </w:p>
    <w:p w:rsidR="00893821" w:rsidRPr="00A4603B" w:rsidRDefault="00893821" w:rsidP="00893821">
      <w:bookmarkStart w:id="55" w:name="_Toc418101261"/>
      <w:r w:rsidRPr="00A4603B">
        <w:t>An emerging theme from the jurisdictional scan was the establishment of programs to address populations or specific disabilities. For example, research from the literature noted that women can face different health challenges that need to be addressed. These can include:</w:t>
      </w:r>
      <w:r w:rsidRPr="00A4603B">
        <w:rPr>
          <w:vertAlign w:val="superscript"/>
        </w:rPr>
        <w:footnoteReference w:id="53"/>
      </w:r>
    </w:p>
    <w:bookmarkEnd w:id="55"/>
    <w:p w:rsidR="00893821" w:rsidRPr="00A4603B" w:rsidRDefault="00893821" w:rsidP="00BC5BD4">
      <w:pPr>
        <w:pStyle w:val="ListParagraph"/>
        <w:numPr>
          <w:ilvl w:val="0"/>
          <w:numId w:val="43"/>
        </w:numPr>
      </w:pPr>
      <w:r w:rsidRPr="00A4603B">
        <w:t>Limited access to culturally competent care from primary and specialty providers</w:t>
      </w:r>
    </w:p>
    <w:p w:rsidR="00893821" w:rsidRPr="00A4603B" w:rsidRDefault="00893821" w:rsidP="00BC5BD4">
      <w:pPr>
        <w:pStyle w:val="ListParagraph"/>
        <w:numPr>
          <w:ilvl w:val="0"/>
          <w:numId w:val="43"/>
        </w:numPr>
      </w:pPr>
      <w:r w:rsidRPr="00A4603B">
        <w:t>Negative provider attitudes</w:t>
      </w:r>
    </w:p>
    <w:p w:rsidR="00893821" w:rsidRPr="00A4603B" w:rsidRDefault="00893821" w:rsidP="00BC5BD4">
      <w:pPr>
        <w:pStyle w:val="ListParagraph"/>
        <w:numPr>
          <w:ilvl w:val="0"/>
          <w:numId w:val="43"/>
        </w:numPr>
      </w:pPr>
      <w:r w:rsidRPr="00A4603B">
        <w:t xml:space="preserve">Lack of insurance, including medical, dental, prescription, and vision insurance </w:t>
      </w:r>
    </w:p>
    <w:p w:rsidR="00893821" w:rsidRPr="00A4603B" w:rsidRDefault="00893821" w:rsidP="00BC5BD4">
      <w:pPr>
        <w:pStyle w:val="ListParagraph"/>
        <w:numPr>
          <w:ilvl w:val="0"/>
          <w:numId w:val="43"/>
        </w:numPr>
      </w:pPr>
      <w:r w:rsidRPr="00A4603B">
        <w:t>Restrictive coverage under available health plans</w:t>
      </w:r>
    </w:p>
    <w:p w:rsidR="00893821" w:rsidRPr="00A4603B" w:rsidRDefault="00893821" w:rsidP="00BC5BD4">
      <w:pPr>
        <w:pStyle w:val="ListParagraph"/>
        <w:numPr>
          <w:ilvl w:val="0"/>
          <w:numId w:val="43"/>
        </w:numPr>
      </w:pPr>
      <w:r w:rsidRPr="00A4603B">
        <w:t xml:space="preserve">Poor access to services and programs </w:t>
      </w:r>
    </w:p>
    <w:p w:rsidR="00893821" w:rsidRPr="00A4603B" w:rsidRDefault="00893821" w:rsidP="00BC5BD4">
      <w:pPr>
        <w:pStyle w:val="ListParagraph"/>
        <w:numPr>
          <w:ilvl w:val="0"/>
          <w:numId w:val="43"/>
        </w:numPr>
      </w:pPr>
      <w:r w:rsidRPr="00A4603B">
        <w:t>Inaccessibility of health facilities, services, and diagnostic and examination equipment</w:t>
      </w:r>
    </w:p>
    <w:p w:rsidR="00893821" w:rsidRPr="00A4603B" w:rsidRDefault="00893821" w:rsidP="00BC5BD4">
      <w:pPr>
        <w:pStyle w:val="ListParagraph"/>
        <w:numPr>
          <w:ilvl w:val="0"/>
          <w:numId w:val="43"/>
        </w:numPr>
      </w:pPr>
      <w:r w:rsidRPr="00A4603B">
        <w:t>Ineffective communication between provider and patient, and</w:t>
      </w:r>
    </w:p>
    <w:p w:rsidR="00893821" w:rsidRPr="00A4603B" w:rsidRDefault="00893821" w:rsidP="00BC5BD4">
      <w:pPr>
        <w:pStyle w:val="ListParagraph"/>
        <w:numPr>
          <w:ilvl w:val="0"/>
          <w:numId w:val="43"/>
        </w:numPr>
      </w:pPr>
      <w:r w:rsidRPr="00A4603B">
        <w:t>Inadequate transportation.</w:t>
      </w:r>
    </w:p>
    <w:p w:rsidR="00893821" w:rsidRPr="00A4603B" w:rsidRDefault="00893821" w:rsidP="00893821">
      <w:r w:rsidRPr="00A4603B">
        <w:t>An Ontario Women’s Health Council report noted that health status and access for women can be complicated by physical or mental conditions as well as their social context. Women with disabilities identified a variety of different issues and concerns related to their health, including reproductive health, violence and abuse, addictions, reproductive and genetic technologies, poverty access to services, and privacy and autonomy.</w:t>
      </w:r>
      <w:r w:rsidRPr="00A4603B">
        <w:rPr>
          <w:vertAlign w:val="superscript"/>
        </w:rPr>
        <w:footnoteReference w:id="54"/>
      </w:r>
    </w:p>
    <w:p w:rsidR="00893821" w:rsidRPr="00A4603B" w:rsidRDefault="00893821" w:rsidP="00893821">
      <w:r w:rsidRPr="00A4603B">
        <w:t xml:space="preserve">Programs in the jurisdictions examined which focused on women with disabilities included Quebec’s External Breastforms Program, which is intended for all women covered under the Québec Health Insurance Plan who have undergone a total or radical mastectomy and for women age 14 and over who have a total absence of breast formation, medically diagnosed as aplasia. In California, the </w:t>
      </w:r>
      <w:r w:rsidRPr="00A4603B">
        <w:rPr>
          <w:i/>
        </w:rPr>
        <w:t>Breast Health Access for Women with</w:t>
      </w:r>
      <w:r w:rsidRPr="00A4603B">
        <w:t xml:space="preserve"> </w:t>
      </w:r>
      <w:r w:rsidRPr="00A4603B">
        <w:rPr>
          <w:i/>
        </w:rPr>
        <w:t>Disabilities</w:t>
      </w:r>
      <w:r w:rsidRPr="00A4603B">
        <w:t xml:space="preserve"> program offers an accessible clinic for free breast exams, breast self-examination training, general breast-health management education, and </w:t>
      </w:r>
      <w:r w:rsidRPr="00A4603B">
        <w:lastRenderedPageBreak/>
        <w:t>mammogram referrals. At the Rehabilitation Institute of Chicago, the Women with Disabilities Center provides a services to women and educates the medical community about the needs of this population. The Center also partners with Northwestern University to improve the accessibility of mammography providers and provides technical assistance, information, and advice on treatment and care for individuals with disabilities to diverse health care providers regionally and nationally.</w:t>
      </w:r>
      <w:r w:rsidRPr="00A4603B">
        <w:rPr>
          <w:vertAlign w:val="superscript"/>
        </w:rPr>
        <w:footnoteReference w:id="55"/>
      </w:r>
    </w:p>
    <w:p w:rsidR="00893821" w:rsidRPr="00A4603B" w:rsidRDefault="00893821" w:rsidP="00893821">
      <w:r w:rsidRPr="00A4603B">
        <w:t>Other populations with specific programming included:</w:t>
      </w:r>
    </w:p>
    <w:p w:rsidR="00893821" w:rsidRPr="00A4603B" w:rsidRDefault="00893821" w:rsidP="00BC5BD4">
      <w:pPr>
        <w:pStyle w:val="ListParagraph"/>
        <w:numPr>
          <w:ilvl w:val="0"/>
          <w:numId w:val="44"/>
        </w:numPr>
      </w:pPr>
      <w:r w:rsidRPr="00A4603B">
        <w:t>Those who are deaf or hard of hearing</w:t>
      </w:r>
    </w:p>
    <w:p w:rsidR="00893821" w:rsidRPr="00A4603B" w:rsidRDefault="00893821" w:rsidP="00BC5BD4">
      <w:pPr>
        <w:pStyle w:val="ListParagraph"/>
        <w:numPr>
          <w:ilvl w:val="0"/>
          <w:numId w:val="44"/>
        </w:numPr>
      </w:pPr>
      <w:r w:rsidRPr="00A4603B">
        <w:t>Blind and vision impairment</w:t>
      </w:r>
    </w:p>
    <w:p w:rsidR="00893821" w:rsidRPr="00A4603B" w:rsidRDefault="00893821" w:rsidP="00BC5BD4">
      <w:pPr>
        <w:pStyle w:val="ListParagraph"/>
        <w:numPr>
          <w:ilvl w:val="0"/>
          <w:numId w:val="44"/>
        </w:numPr>
      </w:pPr>
      <w:r w:rsidRPr="00A4603B">
        <w:t>Intellectual learning disabilities, and</w:t>
      </w:r>
    </w:p>
    <w:p w:rsidR="00893821" w:rsidRPr="00A4603B" w:rsidRDefault="00893821" w:rsidP="00BC5BD4">
      <w:pPr>
        <w:pStyle w:val="ListParagraph"/>
        <w:numPr>
          <w:ilvl w:val="0"/>
          <w:numId w:val="44"/>
        </w:numPr>
      </w:pPr>
      <w:r w:rsidRPr="00A4603B">
        <w:t>Mental and physical disabilities.</w:t>
      </w:r>
    </w:p>
    <w:p w:rsidR="00893821" w:rsidRPr="00A4603B" w:rsidRDefault="00893821" w:rsidP="00893821"/>
    <w:p w:rsidR="00893821" w:rsidRPr="00A4603B" w:rsidRDefault="00FC4E7A" w:rsidP="00FC4E7A">
      <w:pPr>
        <w:pStyle w:val="Heading1"/>
      </w:pPr>
      <w:bookmarkStart w:id="56" w:name="_Toc424669255"/>
      <w:bookmarkStart w:id="57" w:name="_Toc457553273"/>
      <w:r>
        <w:lastRenderedPageBreak/>
        <w:t xml:space="preserve">6. </w:t>
      </w:r>
      <w:r w:rsidR="00893821" w:rsidRPr="00A4603B">
        <w:t>Industry Leaders and Experts</w:t>
      </w:r>
      <w:bookmarkEnd w:id="56"/>
      <w:bookmarkEnd w:id="57"/>
    </w:p>
    <w:p w:rsidR="00893821" w:rsidRPr="00A4603B" w:rsidRDefault="00893821" w:rsidP="00893821">
      <w:r w:rsidRPr="00A4603B">
        <w:t xml:space="preserve">This section of the report includes industry leaders and experts in accessible healthcare. These profiles were compiled using secondary web based research. Leaders, experts, academics, institutes, consumer groups, associations, consultants and corporations were in scope. These individuals or organizations should be further validated to better understand skills, experience and knowledge of access and equity in the healthcare sector. Preference was given to entities/people who are not part of a Government of Ontario’s public accessibility related council/ committee. </w:t>
      </w:r>
    </w:p>
    <w:p w:rsidR="00893821" w:rsidRPr="00A4603B" w:rsidRDefault="00893821" w:rsidP="00FC4E7A">
      <w:pPr>
        <w:pStyle w:val="Heading2"/>
      </w:pPr>
      <w:bookmarkStart w:id="58" w:name="_Toc457553274"/>
      <w:r w:rsidRPr="00A4603B">
        <w:t>Bridgepoint Health</w:t>
      </w:r>
      <w:bookmarkEnd w:id="58"/>
    </w:p>
    <w:p w:rsidR="00893821" w:rsidRPr="00A4603B" w:rsidRDefault="00893821" w:rsidP="00893821">
      <w:r w:rsidRPr="00A4603B">
        <w:t xml:space="preserve">Bridgepoint is an internationally recognized, 464-bed hospital, research collaboratory, foundation, and family health team dedicated to getting patients and their families living with complex health conditions back to their lives. Bridgepoint is the single largest organization in Canada to focus exclusively on research, care and teaching for people with complex health conditions. They provide care in the hospital and community through active partnership, expert care, practical research, and education. </w:t>
      </w:r>
    </w:p>
    <w:p w:rsidR="00893821" w:rsidRPr="00A4603B" w:rsidRDefault="00893821" w:rsidP="00FC4E7A">
      <w:pPr>
        <w:pStyle w:val="Heading3"/>
      </w:pPr>
      <w:r w:rsidRPr="00A4603B">
        <w:t xml:space="preserve">Why Chosen: </w:t>
      </w:r>
    </w:p>
    <w:p w:rsidR="00893821" w:rsidRPr="00A4603B" w:rsidRDefault="00893821" w:rsidP="00893821">
      <w:r w:rsidRPr="00A4603B">
        <w:t>Active Healthcare is Bridgepoint’s commitment to its patients: by simplifying complex health issues, designing a customized care plan, and integrating leading research into care. Bridgepoint requires the patient and their family/support system to be an active partner to maximize the results. Bridgepoint is committed to identifying and removing barriers that impede an individual's ability to access our health services or programs. Bridgepoint’s policies, practices and procedures outline how they support individuals with disabilities, which includes permitting the use of guide dogs, assisted devices and offering materials in large print.</w:t>
      </w:r>
    </w:p>
    <w:p w:rsidR="00893821" w:rsidRPr="00A4603B" w:rsidRDefault="00893821" w:rsidP="00FC4E7A">
      <w:pPr>
        <w:pStyle w:val="Heading2"/>
      </w:pPr>
      <w:bookmarkStart w:id="59" w:name="_Toc457553275"/>
      <w:r w:rsidRPr="00A4603B">
        <w:t>Siemens Healthcare</w:t>
      </w:r>
      <w:bookmarkEnd w:id="59"/>
    </w:p>
    <w:p w:rsidR="00893821" w:rsidRPr="00A4603B" w:rsidRDefault="00893821" w:rsidP="00893821">
      <w:r w:rsidRPr="00A4603B">
        <w:t>Siemens aims to support customers at all levels and along the entire continuum of care to meet new healthcare challenges and achieve a successful transition to next-generation healthcare. They are one of the world’s largest suppliers of technology to the healthcare industry and a leader in medical imaging, laboratory diagnostics and healthcare IT. This is supported by a comprehensive portfolio of clinical consulting, training, and services available across the globe and tailored to customers’ needs.</w:t>
      </w:r>
    </w:p>
    <w:p w:rsidR="00893821" w:rsidRPr="00A4603B" w:rsidRDefault="00893821" w:rsidP="00FC4E7A">
      <w:pPr>
        <w:pStyle w:val="Heading3"/>
      </w:pPr>
      <w:r w:rsidRPr="00A4603B">
        <w:t xml:space="preserve">Why Chosen: </w:t>
      </w:r>
    </w:p>
    <w:p w:rsidR="00893821" w:rsidRPr="00A4603B" w:rsidRDefault="00893821" w:rsidP="00893821">
      <w:r w:rsidRPr="00A4603B">
        <w:t xml:space="preserve">World’s first digital waterproof hearing aid was chosen for Accessible and Universal Design Technologies category. Siemens Hearing Instruments, Inc. announced that the </w:t>
      </w:r>
      <w:r w:rsidRPr="00A4603B">
        <w:lastRenderedPageBreak/>
        <w:t>waterproof Aquaris® hearing aid was named an International Consumer Electronics Show (CES) Innovations 2013 Design and Engineering Honoree. A preeminent panel of independent industrial designers, engineers, and members of the media determined that the Aquaris merited recognition for outstanding design and engineering. The award provides recognition for Siemens product innovations, which are a result of Agenda 2013, a global initiative to further strengthen the innovative power and competitiveness of the Siemens Healthcare Sector.</w:t>
      </w:r>
    </w:p>
    <w:p w:rsidR="00893821" w:rsidRPr="00A4603B" w:rsidRDefault="00893821" w:rsidP="00FC4E7A">
      <w:pPr>
        <w:pStyle w:val="Heading2"/>
      </w:pPr>
      <w:bookmarkStart w:id="60" w:name="_Toc457553276"/>
      <w:r w:rsidRPr="00A4603B">
        <w:t>Worker’s Safety and Insurance Board (WSIB)</w:t>
      </w:r>
      <w:bookmarkEnd w:id="60"/>
    </w:p>
    <w:p w:rsidR="00893821" w:rsidRPr="00A4603B" w:rsidRDefault="00893821" w:rsidP="00893821">
      <w:r w:rsidRPr="00A4603B">
        <w:t xml:space="preserve">The WSIB is an independent trust agency that administers compensation and no-fault insurance for Ontario workplaces. WSIB provides loss of earnings benefits and health care coverage as well as help and support for returning to work after an injury.  </w:t>
      </w:r>
    </w:p>
    <w:p w:rsidR="00893821" w:rsidRPr="00A4603B" w:rsidRDefault="00893821" w:rsidP="00FC4E7A">
      <w:pPr>
        <w:pStyle w:val="Heading3"/>
      </w:pPr>
      <w:r w:rsidRPr="00A4603B">
        <w:t xml:space="preserve">Why Chosen: </w:t>
      </w:r>
    </w:p>
    <w:p w:rsidR="00893821" w:rsidRPr="00A4603B" w:rsidRDefault="00893821" w:rsidP="00893821">
      <w:r w:rsidRPr="00A4603B">
        <w:t>WSIB has made great strides in moving away from traditional, fee-for service payer system to a worker-centric health provider system with an understanding of occupational health and work reintegration. The organization has invested significantly to expand access to the right health care treatment and services at the right time to reduce overall health care expenditures. WSIB offers programs of care, regional evaluation centres, and speciality programs. Moreover, WSIB is committed to serving the workers and employers of Ontario through policy development based on stakeholder input.</w:t>
      </w:r>
    </w:p>
    <w:p w:rsidR="00893821" w:rsidRPr="00A4603B" w:rsidRDefault="00893821" w:rsidP="00FC4E7A">
      <w:pPr>
        <w:pStyle w:val="Heading2"/>
      </w:pPr>
      <w:bookmarkStart w:id="61" w:name="_Toc457553277"/>
      <w:r w:rsidRPr="00A4603B">
        <w:t>Dr. Alice Dong</w:t>
      </w:r>
      <w:bookmarkEnd w:id="61"/>
    </w:p>
    <w:p w:rsidR="00893821" w:rsidRPr="00A4603B" w:rsidRDefault="00893821" w:rsidP="00893821">
      <w:r w:rsidRPr="00A4603B">
        <w:t xml:space="preserve">A graduate of the University of Toronto, Dr. Alice Dong is an occupational health physician with professional expertise in the public and private sectors. She is a WSIB Board Member, past Chair of the Ontario Medical Association Committee on Work and Health, a former Vice Chair of the Governing Council of the University of Toronto, and is a former Board member of the Women's College Hospital. </w:t>
      </w:r>
    </w:p>
    <w:p w:rsidR="00893821" w:rsidRPr="00A4603B" w:rsidRDefault="00893821" w:rsidP="00FC4E7A">
      <w:pPr>
        <w:pStyle w:val="Heading3"/>
      </w:pPr>
      <w:r w:rsidRPr="00A4603B">
        <w:t xml:space="preserve">Why Chosen: </w:t>
      </w:r>
    </w:p>
    <w:p w:rsidR="00893821" w:rsidRPr="00A4603B" w:rsidRDefault="00893821" w:rsidP="00893821">
      <w:r w:rsidRPr="00A4603B">
        <w:t>​Dr. Dong is both Canadian and American Board certified and has training and practical experience in health and safety, disability management, and return to work. She is currently a medical consultant to Disability Management Services, RBC Insurance.</w:t>
      </w:r>
    </w:p>
    <w:p w:rsidR="00893821" w:rsidRPr="00A4603B" w:rsidRDefault="00893821" w:rsidP="00FC4E7A">
      <w:pPr>
        <w:pStyle w:val="Heading2"/>
      </w:pPr>
      <w:bookmarkStart w:id="62" w:name="_Toc457553278"/>
      <w:r w:rsidRPr="00A4603B">
        <w:t>Dr. Yona Lunsky</w:t>
      </w:r>
      <w:bookmarkEnd w:id="62"/>
    </w:p>
    <w:p w:rsidR="00893821" w:rsidRPr="00A4603B" w:rsidRDefault="00893821" w:rsidP="00893821">
      <w:r w:rsidRPr="00A4603B">
        <w:t>Dr. Yona Lunsky is a Clinician Scientist in the Dual Diagnosis Service and Director of the Health Care Access Research and Developmental Disabilities (H-CARDD) Program (</w:t>
      </w:r>
      <w:hyperlink r:id="rId14" w:tgtFrame="_blank" w:history="1">
        <w:r w:rsidRPr="00A4603B">
          <w:rPr>
            <w:rStyle w:val="Hyperlink"/>
            <w:rFonts w:asciiTheme="minorHAnsi" w:hAnsiTheme="minorHAnsi"/>
            <w:sz w:val="24"/>
          </w:rPr>
          <w:t>www.hcardd.ca​</w:t>
        </w:r>
      </w:hyperlink>
      <w:r w:rsidRPr="00A4603B">
        <w:t xml:space="preserve">). She is an Associate Professor in the Department of Psychiatry at the </w:t>
      </w:r>
      <w:r w:rsidRPr="00A4603B">
        <w:lastRenderedPageBreak/>
        <w:t>University of Toronto, and an Adjunct Scientist at the Institute for Clinical Evaluative Sciences.</w:t>
      </w:r>
    </w:p>
    <w:p w:rsidR="00893821" w:rsidRPr="00A4603B" w:rsidRDefault="00893821" w:rsidP="00FC4E7A">
      <w:pPr>
        <w:pStyle w:val="Heading3"/>
      </w:pPr>
      <w:r w:rsidRPr="00A4603B">
        <w:t xml:space="preserve">Why Chosen: </w:t>
      </w:r>
    </w:p>
    <w:p w:rsidR="00893821" w:rsidRPr="00A4603B" w:rsidRDefault="00893821" w:rsidP="00893821">
      <w:r w:rsidRPr="00A4603B">
        <w:t>​Dr. Lunsky has focused her research on the mental health needs of individuals with intellectual and developmental disabilities, and their families. She studies psychosocial risk factors for psychiatric disorders and health service utilization patterns in this population. Dr. Lunsky is currently the principal investigator of several studies examining clinical and systems issues related to health services. She is also involved in a number of projects focused on improving primary and emergency health care.</w:t>
      </w:r>
    </w:p>
    <w:p w:rsidR="00893821" w:rsidRPr="00A4603B" w:rsidRDefault="00893821" w:rsidP="00FC4E7A">
      <w:pPr>
        <w:pStyle w:val="Heading2"/>
      </w:pPr>
      <w:bookmarkStart w:id="63" w:name="_Toc457553279"/>
      <w:r w:rsidRPr="00A4603B">
        <w:t>Canadian Mental Health Association</w:t>
      </w:r>
      <w:bookmarkEnd w:id="63"/>
    </w:p>
    <w:p w:rsidR="00893821" w:rsidRPr="00A4603B" w:rsidRDefault="00893821" w:rsidP="00893821">
      <w:r w:rsidRPr="00A4603B">
        <w:t>The Canadian Mental Health Association (CMHA), provides direct service to more than 100,000 Canadians through the combined efforts of more than 10,000 volunteers and staff across Canada in over 120 communities. As a nation-wide, voluntary organization, the Canadian Mental Health Association promotes the mental health of all and supports the resilience and recovery of people experiencing mental illness. The CMHA accomplishes this mission through advocacy, education, research and service.</w:t>
      </w:r>
    </w:p>
    <w:p w:rsidR="00893821" w:rsidRPr="00A4603B" w:rsidRDefault="00893821" w:rsidP="00FC4E7A">
      <w:pPr>
        <w:pStyle w:val="Heading3"/>
      </w:pPr>
      <w:r w:rsidRPr="00A4603B">
        <w:t xml:space="preserve">Why Chosen: </w:t>
      </w:r>
    </w:p>
    <w:p w:rsidR="00893821" w:rsidRPr="00A4603B" w:rsidRDefault="00893821" w:rsidP="00893821">
      <w:r w:rsidRPr="00A4603B">
        <w:t xml:space="preserve">Informative consumer, advocacy and membership based organization. According to the CMHA, access to mental health services is an issue that significantly impacts all Canadians, whether living with a mental illness or not. Having education and lobbied for mental health to be on the First Ministers agenda, Canada’s First Ministers identified that improving access and quality of community mental health services was as one of eight priority areas. </w:t>
      </w:r>
    </w:p>
    <w:p w:rsidR="00893821" w:rsidRPr="00A4603B" w:rsidRDefault="00893821" w:rsidP="00FC4E7A">
      <w:pPr>
        <w:pStyle w:val="Heading2"/>
      </w:pPr>
      <w:bookmarkStart w:id="64" w:name="_Toc457553280"/>
      <w:r w:rsidRPr="00A4603B">
        <w:t>Communications Disability Access Canada (CDAC)</w:t>
      </w:r>
      <w:bookmarkEnd w:id="64"/>
    </w:p>
    <w:p w:rsidR="00893821" w:rsidRPr="00A4603B" w:rsidRDefault="00893821" w:rsidP="00893821">
      <w:pPr>
        <w:rPr>
          <w:b/>
        </w:rPr>
      </w:pPr>
      <w:r w:rsidRPr="00A4603B">
        <w:t>CDAC provides information and education on human rights, access and inclusion for people who have communication disabilities.</w:t>
      </w:r>
    </w:p>
    <w:p w:rsidR="00893821" w:rsidRPr="00A4603B" w:rsidRDefault="00893821" w:rsidP="00FC4E7A">
      <w:pPr>
        <w:pStyle w:val="Heading3"/>
      </w:pPr>
      <w:r w:rsidRPr="00A4603B">
        <w:t xml:space="preserve">Why Chosen: </w:t>
      </w:r>
    </w:p>
    <w:p w:rsidR="00893821" w:rsidRPr="00A4603B" w:rsidRDefault="00893821" w:rsidP="00893821">
      <w:r w:rsidRPr="00A4603B">
        <w:t xml:space="preserve">CDAC provides presentations and workshops for healthcare professionals on ways to make their services communication accessible for people with communication disabilities. Topics include communication challenges and consequences within healthcare settings; communication strategies and tools for patients with chronic, lifelong communication disabilities or new medical conditions or interventions that result in temporary or permanent communication disabilities. </w:t>
      </w:r>
    </w:p>
    <w:p w:rsidR="00893821" w:rsidRPr="00A4603B" w:rsidRDefault="00893821" w:rsidP="00FC4E7A">
      <w:pPr>
        <w:pStyle w:val="Heading2"/>
      </w:pPr>
      <w:bookmarkStart w:id="65" w:name="_Toc457553281"/>
      <w:r w:rsidRPr="00A4603B">
        <w:lastRenderedPageBreak/>
        <w:t>Dr. William (Bill) F. Sullivan</w:t>
      </w:r>
      <w:bookmarkEnd w:id="65"/>
    </w:p>
    <w:p w:rsidR="00893821" w:rsidRPr="00A4603B" w:rsidRDefault="00893821" w:rsidP="00893821">
      <w:r w:rsidRPr="00A4603B">
        <w:t>Family physician at St Michael’s Hospital and Surrey Place Centre in Toronto, Ontario, Associate Professor at the University of Toronto, and a bioethicist. Dr. Sullivan is a leading ethicist in the field of primary care.</w:t>
      </w:r>
    </w:p>
    <w:p w:rsidR="00893821" w:rsidRPr="00A4603B" w:rsidRDefault="00893821" w:rsidP="00FC4E7A">
      <w:pPr>
        <w:pStyle w:val="Heading3"/>
      </w:pPr>
      <w:r w:rsidRPr="00A4603B">
        <w:t>Why Chosen:</w:t>
      </w:r>
    </w:p>
    <w:p w:rsidR="00893821" w:rsidRPr="00A4603B" w:rsidRDefault="00893821" w:rsidP="00893821">
      <w:r w:rsidRPr="00A4603B">
        <w:t>Dr. Sullivan was the Chair of The </w:t>
      </w:r>
      <w:hyperlink r:id="rId15" w:tgtFrame="_blank" w:history="1">
        <w:r w:rsidRPr="00A4603B">
          <w:rPr>
            <w:rStyle w:val="Hyperlink"/>
            <w:rFonts w:asciiTheme="minorHAnsi" w:hAnsiTheme="minorHAnsi"/>
            <w:sz w:val="24"/>
          </w:rPr>
          <w:t>Developmental Disabilities Primary Care Initiative</w:t>
        </w:r>
      </w:hyperlink>
      <w:r w:rsidRPr="00A4603B">
        <w:t> that brought together clinicians with expertise in the care of adults with developmental disabilities (DD) to improve primary care and quality of life for these persons.</w:t>
      </w:r>
    </w:p>
    <w:p w:rsidR="00893821" w:rsidRPr="00A4603B" w:rsidRDefault="00893821" w:rsidP="00893821">
      <w:r w:rsidRPr="00A4603B">
        <w:t>With leadership and coordination from Surrey Place Centre, and funding from the Ontario Ministry of Community and Social Services, the Ontario Ministry of Health and Long-Term Care, and Surrey Place Centre Foundation, Guidelines and Tools were developed to help primary care providers follow best practices in the care of these patients. </w:t>
      </w:r>
    </w:p>
    <w:p w:rsidR="00893821" w:rsidRPr="00A4603B" w:rsidRDefault="00893821" w:rsidP="00FC4E7A">
      <w:pPr>
        <w:pStyle w:val="Heading2"/>
      </w:pPr>
      <w:bookmarkStart w:id="66" w:name="_Toc457553282"/>
      <w:r w:rsidRPr="00A4603B">
        <w:t>Toronto Rehabilitation Institute</w:t>
      </w:r>
      <w:bookmarkEnd w:id="66"/>
      <w:r w:rsidRPr="00A4603B">
        <w:t xml:space="preserve"> </w:t>
      </w:r>
    </w:p>
    <w:p w:rsidR="00893821" w:rsidRPr="00A4603B" w:rsidRDefault="00893821" w:rsidP="00893821">
      <w:r w:rsidRPr="00A4603B">
        <w:t>One of North America's leading rehabilitation sciences centres, Toronto Rehabilitation Institute is revolutionizing rehabilitation by helping people overcome the challenges of disabling injury, illness or age related health conditions to live active, healthier, more independent lives. It integrates innovative patient care, ground-breaking research and diverse education to build healthier communities and advance the role of rehabilitation in the health system.</w:t>
      </w:r>
    </w:p>
    <w:p w:rsidR="00893821" w:rsidRPr="00A4603B" w:rsidRDefault="00893821" w:rsidP="00FC4E7A">
      <w:pPr>
        <w:pStyle w:val="Heading3"/>
      </w:pPr>
      <w:r w:rsidRPr="00A4603B">
        <w:t xml:space="preserve">Why Chosen: </w:t>
      </w:r>
    </w:p>
    <w:p w:rsidR="00893821" w:rsidRPr="00A4603B" w:rsidRDefault="00893821" w:rsidP="00893821">
      <w:r w:rsidRPr="00A4603B">
        <w:t>The Toronto Rehabilitation Institute (TRI), part of UHN, has one of the most technologically advanced rehabilitation research centres in the world. It is dedicated to revolutionizing rehabilitation and maximizing life for people living with the effects of disability, illness and aging–and to preventing injury by making homes, streets and workplaces safer. Toronto Rehab is home to one of the world’s most advanced rehabilitation research centres. The iDAPT Centre for Rehabilitation Research is a unique, newly minted network of facilities where ideas can be cultivated and tested in a real-life setting, leading to practical new therapies and assistive devices to enhance the lives of older people and those with disabling injury or illness.</w:t>
      </w:r>
    </w:p>
    <w:p w:rsidR="00893821" w:rsidRPr="00A4603B" w:rsidRDefault="00FC4E7A" w:rsidP="00FC4E7A">
      <w:pPr>
        <w:pStyle w:val="Heading1"/>
      </w:pPr>
      <w:bookmarkStart w:id="67" w:name="_Toc424669256"/>
      <w:bookmarkStart w:id="68" w:name="_Toc457553283"/>
      <w:r>
        <w:lastRenderedPageBreak/>
        <w:t xml:space="preserve">7. </w:t>
      </w:r>
      <w:r w:rsidR="00893821" w:rsidRPr="00A4603B">
        <w:t>Leading Practices</w:t>
      </w:r>
      <w:bookmarkEnd w:id="67"/>
      <w:bookmarkEnd w:id="68"/>
    </w:p>
    <w:p w:rsidR="00893821" w:rsidRPr="00A4603B" w:rsidRDefault="00893821" w:rsidP="00893821">
      <w:r w:rsidRPr="00A4603B">
        <w:t>The jurisdictional research, literature review and analysis of emerging trends and issues has led to the identification of leading practices in accessibility of the healthcare system. These leading practices are regulations, policies and programs that stand out among other current practices to address accessibility issues. These practices have not been analyzed in-depth or validated through primary research, nor is KPMG recommending they be adopted by the ADO. Rather, these practices are highlighted as potential pockets of excellence in accessible healthcare regulation, policy and programming that the ADO may wish to explore. We have categorized the leading practices into four themes.</w:t>
      </w:r>
    </w:p>
    <w:p w:rsidR="00893821" w:rsidRDefault="00893821" w:rsidP="00FC4E7A">
      <w:pPr>
        <w:pStyle w:val="Heading2"/>
      </w:pPr>
      <w:bookmarkStart w:id="69" w:name="_Toc457553284"/>
      <w:r w:rsidRPr="00A4603B">
        <w:t>Access and Equality in Primary and Secondary Care</w:t>
      </w:r>
      <w:bookmarkEnd w:id="69"/>
    </w:p>
    <w:p w:rsidR="001F0911" w:rsidRPr="00A4603B" w:rsidRDefault="001F0911" w:rsidP="00FC4E7A">
      <w:pPr>
        <w:pStyle w:val="Heading3"/>
      </w:pPr>
      <w:r>
        <w:t>Ireland</w:t>
      </w:r>
    </w:p>
    <w:p w:rsidR="00893821" w:rsidRPr="00A4603B" w:rsidRDefault="00893821" w:rsidP="00893821">
      <w:r w:rsidRPr="00A4603B">
        <w:t>In order to identify key policy issues and recommendations on access to healthcare, Ireland’s National Disability Authority has stood out among peers, drawing on existing guidelines related to healthcare services, hospital, emergency, maternity, and GP/primary care services as well as cross-cutting guidelines on physical, information and communications accessibility. A summary of the recommendations that are most relevant to the Ontario context and healthcare system include:</w:t>
      </w:r>
      <w:r w:rsidRPr="00A4603B">
        <w:rPr>
          <w:vertAlign w:val="superscript"/>
        </w:rPr>
        <w:footnoteReference w:id="56"/>
      </w:r>
    </w:p>
    <w:p w:rsidR="00893821" w:rsidRPr="00A4603B" w:rsidRDefault="00893821" w:rsidP="00BC5BD4">
      <w:pPr>
        <w:pStyle w:val="ListParagraph"/>
        <w:numPr>
          <w:ilvl w:val="0"/>
          <w:numId w:val="45"/>
        </w:numPr>
      </w:pPr>
      <w:r w:rsidRPr="00A4603B">
        <w:t xml:space="preserve">Development of key performance indicators on accessibility and staff awareness in annual service and corporate plans. </w:t>
      </w:r>
    </w:p>
    <w:p w:rsidR="00893821" w:rsidRPr="00A4603B" w:rsidRDefault="00893821" w:rsidP="00BC5BD4">
      <w:pPr>
        <w:pStyle w:val="ListParagraph"/>
        <w:numPr>
          <w:ilvl w:val="0"/>
          <w:numId w:val="45"/>
        </w:numPr>
      </w:pPr>
      <w:r w:rsidRPr="00A4603B">
        <w:t>Appointment of trained Access Officers to support learning across all health services.</w:t>
      </w:r>
    </w:p>
    <w:p w:rsidR="00893821" w:rsidRPr="00A4603B" w:rsidRDefault="00893821" w:rsidP="00BC5BD4">
      <w:pPr>
        <w:pStyle w:val="ListParagraph"/>
        <w:numPr>
          <w:ilvl w:val="0"/>
          <w:numId w:val="45"/>
        </w:numPr>
      </w:pPr>
      <w:r w:rsidRPr="00A4603B">
        <w:t>All clinicians, health care staff and managers are responsible for promoting equality and disability access as part of their core business and service.</w:t>
      </w:r>
    </w:p>
    <w:p w:rsidR="00893821" w:rsidRPr="00A4603B" w:rsidRDefault="00893821" w:rsidP="00BC5BD4">
      <w:pPr>
        <w:pStyle w:val="ListParagraph"/>
        <w:numPr>
          <w:ilvl w:val="0"/>
          <w:numId w:val="45"/>
        </w:numPr>
      </w:pPr>
      <w:r w:rsidRPr="00A4603B">
        <w:t>Patient information systems should ensure that accessibility requirements of service users can follow the patient journey across different health services.</w:t>
      </w:r>
    </w:p>
    <w:p w:rsidR="00893821" w:rsidRPr="00A4603B" w:rsidRDefault="00893821" w:rsidP="00BC5BD4">
      <w:pPr>
        <w:pStyle w:val="ListParagraph"/>
        <w:numPr>
          <w:ilvl w:val="0"/>
          <w:numId w:val="45"/>
        </w:numPr>
      </w:pPr>
      <w:r w:rsidRPr="00A4603B">
        <w:t>Professional bodies should be encouraged to promote best practice approaches and specific guidelines.</w:t>
      </w:r>
    </w:p>
    <w:p w:rsidR="00893821" w:rsidRPr="00A4603B" w:rsidRDefault="00893821" w:rsidP="00BC5BD4">
      <w:pPr>
        <w:pStyle w:val="ListParagraph"/>
        <w:numPr>
          <w:ilvl w:val="0"/>
          <w:numId w:val="45"/>
        </w:numPr>
      </w:pPr>
      <w:r w:rsidRPr="00A4603B">
        <w:t>In hospital services, procedures should be put in place to build accessibility into pre-admission planning, in-patient care and discharge planning.</w:t>
      </w:r>
    </w:p>
    <w:p w:rsidR="00893821" w:rsidRPr="00A4603B" w:rsidRDefault="00893821" w:rsidP="00BC5BD4">
      <w:pPr>
        <w:pStyle w:val="ListParagraph"/>
        <w:numPr>
          <w:ilvl w:val="0"/>
          <w:numId w:val="45"/>
        </w:numPr>
      </w:pPr>
      <w:r w:rsidRPr="00A4603B">
        <w:lastRenderedPageBreak/>
        <w:t xml:space="preserve">Protocols and agreements, as part of pre-admission planning, should be developed to enable carers, support persons and personal assistants to provide support to people with disabilities during a hospital stay.  </w:t>
      </w:r>
    </w:p>
    <w:p w:rsidR="00893821" w:rsidRPr="00A4603B" w:rsidRDefault="00893821" w:rsidP="00BC5BD4">
      <w:pPr>
        <w:pStyle w:val="ListParagraph"/>
        <w:numPr>
          <w:ilvl w:val="0"/>
          <w:numId w:val="45"/>
        </w:numPr>
      </w:pPr>
      <w:r w:rsidRPr="00A4603B">
        <w:t>Protocols and policies for pre-admission planning should cover the relevant accessibility and communication resources and physical aids and support such as lifting and feeding requirements, personal care requirements and procedures for determining informed consent.</w:t>
      </w:r>
    </w:p>
    <w:p w:rsidR="00893821" w:rsidRPr="00A4603B" w:rsidRDefault="00893821" w:rsidP="00BC5BD4">
      <w:pPr>
        <w:pStyle w:val="ListParagraph"/>
        <w:numPr>
          <w:ilvl w:val="0"/>
          <w:numId w:val="45"/>
        </w:numPr>
      </w:pPr>
      <w:r w:rsidRPr="00A4603B">
        <w:t xml:space="preserve">Protocols and policies are required on discharge planning, particularly on information sharing on accessibility requirements with relevant health professionals in the community, carers, support persons, personal assistants, home helps and other disability support staff.  </w:t>
      </w:r>
    </w:p>
    <w:p w:rsidR="001F0911" w:rsidRDefault="001F0911" w:rsidP="00FC4E7A">
      <w:pPr>
        <w:pStyle w:val="Heading3"/>
      </w:pPr>
      <w:r>
        <w:t>Wales</w:t>
      </w:r>
    </w:p>
    <w:p w:rsidR="00893821" w:rsidRPr="00A4603B" w:rsidRDefault="00893821" w:rsidP="00893821">
      <w:r w:rsidRPr="00A4603B">
        <w:t>In Wales, standards of service delivery for accessible information and communication for people with sensory loss have been established based on leading practices. These standards have been categorized into primary care, secondary care and emergency and unscheduled care. Themes included training of healthcare professionals, use of a variety of contact methods for appointments, referral process arrangements, and influence of environmental factors.</w:t>
      </w:r>
      <w:r w:rsidRPr="00A4603B">
        <w:rPr>
          <w:vertAlign w:val="superscript"/>
        </w:rPr>
        <w:footnoteReference w:id="57"/>
      </w:r>
      <w:r w:rsidRPr="00A4603B">
        <w:t xml:space="preserve"> This was found to be relevant as many of the barriers identified during the literature review were related to inadequate communication.</w:t>
      </w:r>
    </w:p>
    <w:p w:rsidR="00893821" w:rsidRPr="00A4603B" w:rsidRDefault="00893821" w:rsidP="00893821"/>
    <w:p w:rsidR="00893821" w:rsidRPr="00A4603B" w:rsidRDefault="00893821" w:rsidP="00FC4E7A">
      <w:pPr>
        <w:pStyle w:val="Heading2"/>
      </w:pPr>
      <w:bookmarkStart w:id="70" w:name="_Toc457553285"/>
      <w:r w:rsidRPr="00A4603B">
        <w:t>Patient Medical Transportation</w:t>
      </w:r>
      <w:bookmarkEnd w:id="70"/>
      <w:r w:rsidRPr="00A4603B">
        <w:t xml:space="preserve"> </w:t>
      </w:r>
    </w:p>
    <w:p w:rsidR="001F0911" w:rsidRPr="00A4603B" w:rsidRDefault="001F0911" w:rsidP="00FC4E7A">
      <w:pPr>
        <w:pStyle w:val="Heading3"/>
      </w:pPr>
      <w:r>
        <w:t>United Kingdom</w:t>
      </w:r>
    </w:p>
    <w:p w:rsidR="001F0911" w:rsidRDefault="001F0911" w:rsidP="00893821"/>
    <w:p w:rsidR="00893821" w:rsidRPr="00A4603B" w:rsidRDefault="00893821" w:rsidP="00893821">
      <w:r w:rsidRPr="00A4603B">
        <w:t>As previously described, transportation to and from medical appointments can be a challenge for people living with disabilities. The following leading practices in patient transportation were identified in specific hospitals and hospital trusts in the United Kingdom.</w:t>
      </w:r>
      <w:r w:rsidRPr="00A4603B">
        <w:rPr>
          <w:vertAlign w:val="superscript"/>
        </w:rPr>
        <w:footnoteReference w:id="58"/>
      </w:r>
    </w:p>
    <w:p w:rsidR="001F0911" w:rsidRPr="001F0911" w:rsidRDefault="001F0911" w:rsidP="00FC4E7A">
      <w:pPr>
        <w:pStyle w:val="Heading4"/>
      </w:pPr>
      <w:r w:rsidRPr="001F0911">
        <w:t>Saint Bartholomew's Hospital</w:t>
      </w:r>
    </w:p>
    <w:p w:rsidR="001F0911" w:rsidRPr="001F0911" w:rsidRDefault="001F0911" w:rsidP="001F0911">
      <w:r w:rsidRPr="001F0911">
        <w:t xml:space="preserve">Installing a screen in their patient transport lounge which will show the live location of vehicles, using GPS technology. This means that as patients wait, they can know </w:t>
      </w:r>
      <w:r w:rsidRPr="001F0911">
        <w:lastRenderedPageBreak/>
        <w:t>exactly how far away their vehicle is and approximately how much longer they will have to wait.</w:t>
      </w:r>
    </w:p>
    <w:p w:rsidR="001F0911" w:rsidRPr="001F0911" w:rsidRDefault="001F0911" w:rsidP="00FC4E7A">
      <w:pPr>
        <w:pStyle w:val="Heading4"/>
      </w:pPr>
      <w:r w:rsidRPr="001F0911">
        <w:t>King's College Hospital</w:t>
      </w:r>
    </w:p>
    <w:p w:rsidR="001F0911" w:rsidRPr="001F0911" w:rsidRDefault="001F0911" w:rsidP="001F0911">
      <w:r w:rsidRPr="001F0911">
        <w:t>One of several hospitals which allow clinicians to override the standard mobility assessment. Even if a patient does not meet the standard eligibility criteria, if a health professional such as a doctor affirms that they need patient transport, they are granted it.</w:t>
      </w:r>
    </w:p>
    <w:p w:rsidR="001F0911" w:rsidRPr="001F0911" w:rsidRDefault="001F0911" w:rsidP="00FC4E7A">
      <w:pPr>
        <w:pStyle w:val="Heading4"/>
      </w:pPr>
      <w:r w:rsidRPr="001F0911">
        <w:t xml:space="preserve">Guy's and St. Thomas' Hospital NHS Trust </w:t>
      </w:r>
    </w:p>
    <w:p w:rsidR="00893821" w:rsidRPr="00A4603B" w:rsidRDefault="001F0911" w:rsidP="001F0911">
      <w:r w:rsidRPr="001F0911">
        <w:t>Uses minicabs as a supplement to their main patient transport fleet to ensure that patients do not have to endure very long waits. If a patient has been waiting to be taken home for over an hour, then staff will call a taxi to take them home.</w:t>
      </w:r>
    </w:p>
    <w:p w:rsidR="00893821" w:rsidRDefault="00893821" w:rsidP="00893821"/>
    <w:p w:rsidR="001F0911" w:rsidRPr="00A4603B" w:rsidRDefault="001F0911" w:rsidP="00FC4E7A">
      <w:pPr>
        <w:pStyle w:val="Heading3"/>
      </w:pPr>
      <w:r>
        <w:t>Washington State</w:t>
      </w:r>
    </w:p>
    <w:p w:rsidR="00893821" w:rsidRPr="00A4603B" w:rsidRDefault="00893821" w:rsidP="00893821">
      <w:r w:rsidRPr="00A4603B">
        <w:t>Furthermore, in Washington State, the Medicaid agency has established thirteen medical transportation service districts and contracted with a network of regional transportation brokers to cover the entire state. Brokers receive an administrative fee from Medicaid to coordinate the program as well as reimbursement for direct costs. The service fulfills the state’s federal obligations through the federal Social Security Act to “fulfill administrative requirements necessary to operate the Medicaid program efficiently,”</w:t>
      </w:r>
      <w:r w:rsidRPr="00A4603B">
        <w:rPr>
          <w:vertAlign w:val="superscript"/>
        </w:rPr>
        <w:footnoteReference w:id="59"/>
      </w:r>
      <w:r w:rsidRPr="00A4603B">
        <w:t xml:space="preserve"> including that “the Medicaid agency will ensure necessary transportation for recipients to and from providers and describe methods that the agency will use to meet this requirement.”</w:t>
      </w:r>
      <w:r w:rsidRPr="00A4603B">
        <w:rPr>
          <w:vertAlign w:val="superscript"/>
        </w:rPr>
        <w:footnoteReference w:id="60"/>
      </w:r>
      <w:r w:rsidRPr="00A4603B">
        <w:t xml:space="preserve"> Each state may fulfill these requirements in different ways. In Washington, when a client needs a ride to a medical provider, she calls the broker, who verifies Medicaid eligibility, determines the necessity of each trip and assigns the appropriate provider. Depending on the client’s needs, the broker can use a variety of resources, such as volunteers, transit buses, mileage reimbursement and shared-ride taxis. Providers are reimbursed for each ride based upon a pre-arranged fee.</w:t>
      </w:r>
      <w:r w:rsidRPr="00A4603B">
        <w:rPr>
          <w:vertAlign w:val="superscript"/>
        </w:rPr>
        <w:footnoteReference w:id="61"/>
      </w:r>
    </w:p>
    <w:p w:rsidR="00893821" w:rsidRDefault="00893821" w:rsidP="00FC4E7A">
      <w:pPr>
        <w:pStyle w:val="Heading2"/>
      </w:pPr>
      <w:bookmarkStart w:id="71" w:name="_Toc457553286"/>
      <w:r w:rsidRPr="00A4603B">
        <w:lastRenderedPageBreak/>
        <w:t>Medical Diagnostic Examination</w:t>
      </w:r>
      <w:bookmarkEnd w:id="71"/>
      <w:r w:rsidRPr="00A4603B">
        <w:t xml:space="preserve"> </w:t>
      </w:r>
    </w:p>
    <w:p w:rsidR="001F0911" w:rsidRPr="00A4603B" w:rsidRDefault="001F0911" w:rsidP="00FC4E7A">
      <w:pPr>
        <w:pStyle w:val="Heading3"/>
      </w:pPr>
      <w:r>
        <w:t>United States</w:t>
      </w:r>
    </w:p>
    <w:p w:rsidR="00893821" w:rsidRPr="00A4603B" w:rsidRDefault="00893821" w:rsidP="00893821">
      <w:r w:rsidRPr="00A4603B">
        <w:t>In the United States, an Advisory Committee was established to support the development of Medical Diagnostic Examination Accessibility Standards. The Committee focused on examination tables and chairs, stretchers, diagnostic imaging equipment, mammography equipment, and weight scales. What is also interesting is the additional and unaddressed issues raised by the Committee for further investigation. These included:</w:t>
      </w:r>
    </w:p>
    <w:p w:rsidR="00893821" w:rsidRPr="00A4603B" w:rsidRDefault="00893821" w:rsidP="00BC5BD4">
      <w:pPr>
        <w:pStyle w:val="ListParagraph"/>
        <w:numPr>
          <w:ilvl w:val="0"/>
          <w:numId w:val="46"/>
        </w:numPr>
      </w:pPr>
      <w:r w:rsidRPr="00A4603B">
        <w:t>Children and youth under age 18 living with disabilities.</w:t>
      </w:r>
    </w:p>
    <w:p w:rsidR="00893821" w:rsidRPr="00A4603B" w:rsidRDefault="00893821" w:rsidP="00BC5BD4">
      <w:pPr>
        <w:pStyle w:val="ListParagraph"/>
        <w:numPr>
          <w:ilvl w:val="0"/>
          <w:numId w:val="46"/>
        </w:numPr>
      </w:pPr>
      <w:r w:rsidRPr="00A4603B">
        <w:t>Individuals disabled by extreme obesity.</w:t>
      </w:r>
    </w:p>
    <w:p w:rsidR="00893821" w:rsidRPr="00A4603B" w:rsidRDefault="00893821" w:rsidP="00BC5BD4">
      <w:pPr>
        <w:pStyle w:val="ListParagraph"/>
        <w:numPr>
          <w:ilvl w:val="0"/>
          <w:numId w:val="46"/>
        </w:numPr>
      </w:pPr>
      <w:r w:rsidRPr="00A4603B">
        <w:t>Specialized diagnostic equipment for therapeutic/treatment intent.</w:t>
      </w:r>
    </w:p>
    <w:p w:rsidR="00893821" w:rsidRPr="00A4603B" w:rsidRDefault="00893821" w:rsidP="00BC5BD4">
      <w:pPr>
        <w:pStyle w:val="ListParagraph"/>
        <w:numPr>
          <w:ilvl w:val="0"/>
          <w:numId w:val="46"/>
        </w:numPr>
      </w:pPr>
      <w:r w:rsidRPr="00A4603B">
        <w:t>Alternate means of access.</w:t>
      </w:r>
    </w:p>
    <w:p w:rsidR="00893821" w:rsidRPr="00A4603B" w:rsidRDefault="00893821" w:rsidP="00BC5BD4">
      <w:pPr>
        <w:pStyle w:val="ListParagraph"/>
        <w:numPr>
          <w:ilvl w:val="0"/>
          <w:numId w:val="46"/>
        </w:numPr>
      </w:pPr>
      <w:r w:rsidRPr="00A4603B">
        <w:t>New and creative solutions by manufacturers and developers to address barriers that exist with current technology.</w:t>
      </w:r>
    </w:p>
    <w:p w:rsidR="00893821" w:rsidRPr="00A4603B" w:rsidRDefault="00893821" w:rsidP="00BC5BD4">
      <w:pPr>
        <w:pStyle w:val="ListParagraph"/>
        <w:numPr>
          <w:ilvl w:val="0"/>
          <w:numId w:val="46"/>
        </w:numPr>
      </w:pPr>
      <w:r w:rsidRPr="00A4603B">
        <w:t>Cost and benefits or effectiveness of recommended accessibility standards.</w:t>
      </w:r>
    </w:p>
    <w:p w:rsidR="00893821" w:rsidRPr="00A4603B" w:rsidRDefault="00893821" w:rsidP="00BC5BD4">
      <w:pPr>
        <w:pStyle w:val="ListParagraph"/>
        <w:numPr>
          <w:ilvl w:val="0"/>
          <w:numId w:val="46"/>
        </w:numPr>
      </w:pPr>
      <w:r w:rsidRPr="00A4603B">
        <w:t xml:space="preserve">Updating standards in the future due to potential changes in the needs of the population of persons with disabilities and the emergence of new technologies with different accessibility considerations.  </w:t>
      </w:r>
    </w:p>
    <w:p w:rsidR="00893821" w:rsidRDefault="00893821" w:rsidP="00FC4E7A">
      <w:pPr>
        <w:pStyle w:val="Heading2"/>
      </w:pPr>
      <w:bookmarkStart w:id="72" w:name="_Toc457553287"/>
      <w:r w:rsidRPr="00A4603B">
        <w:t>Prescription Labelling</w:t>
      </w:r>
      <w:bookmarkEnd w:id="72"/>
      <w:r w:rsidRPr="00A4603B">
        <w:t xml:space="preserve"> </w:t>
      </w:r>
    </w:p>
    <w:p w:rsidR="001F0911" w:rsidRDefault="001F0911" w:rsidP="00FC4E7A">
      <w:pPr>
        <w:pStyle w:val="Heading3"/>
      </w:pPr>
      <w:r>
        <w:t>United States</w:t>
      </w:r>
    </w:p>
    <w:p w:rsidR="00893821" w:rsidRPr="00A4603B" w:rsidRDefault="00893821" w:rsidP="00893821">
      <w:r w:rsidRPr="00A4603B">
        <w:t xml:space="preserve">As previously described, the United States Access Board is leading an effort to develop advisory guidance on making prescription-drug container labels accessible to people who are blind or visually impaired or who are elderly. This Board Board prepared a report entitled </w:t>
      </w:r>
      <w:r w:rsidRPr="00A4603B">
        <w:rPr>
          <w:i/>
        </w:rPr>
        <w:t>Best Practices for Making Prescription Drug Container Label Information Accessible to Persons Who are Blind or Visually-Impaired or Who are Elderly.</w:t>
      </w:r>
      <w:r w:rsidRPr="00A4603B">
        <w:t xml:space="preserve"> The following are highlights of some of the notable best practices:</w:t>
      </w:r>
      <w:r w:rsidRPr="00A4603B">
        <w:rPr>
          <w:vertAlign w:val="superscript"/>
        </w:rPr>
        <w:footnoteReference w:id="62"/>
      </w:r>
    </w:p>
    <w:p w:rsidR="00893821" w:rsidRPr="00A4603B" w:rsidRDefault="00893821" w:rsidP="00BC5BD4">
      <w:pPr>
        <w:pStyle w:val="ListParagraph"/>
        <w:numPr>
          <w:ilvl w:val="0"/>
          <w:numId w:val="47"/>
        </w:numPr>
      </w:pPr>
      <w:r w:rsidRPr="00A4603B">
        <w:t>Have options available for accessible prescription drug container labels in audible, braille, and large print formats via methods using, for example, hard copy, dedicated devices, and computers or smart devices.</w:t>
      </w:r>
    </w:p>
    <w:p w:rsidR="00893821" w:rsidRPr="00FC4E7A" w:rsidRDefault="00893821" w:rsidP="00BC5BD4">
      <w:pPr>
        <w:pStyle w:val="ListParagraph"/>
        <w:numPr>
          <w:ilvl w:val="0"/>
          <w:numId w:val="47"/>
        </w:numPr>
        <w:rPr>
          <w:lang w:val="en-US"/>
        </w:rPr>
      </w:pPr>
      <w:r w:rsidRPr="00FC4E7A">
        <w:rPr>
          <w:lang w:val="en-US"/>
        </w:rPr>
        <w:t>Maintain patient privacy when preparing accessible prescription drug container labels, e.g., record audible labels in a location where patient information cannot be overheard by unauthorized persons.</w:t>
      </w:r>
    </w:p>
    <w:p w:rsidR="00893821" w:rsidRPr="00A4603B" w:rsidRDefault="00893821" w:rsidP="00BC5BD4">
      <w:pPr>
        <w:pStyle w:val="ListParagraph"/>
        <w:numPr>
          <w:ilvl w:val="0"/>
          <w:numId w:val="47"/>
        </w:numPr>
      </w:pPr>
      <w:r w:rsidRPr="00A4603B">
        <w:lastRenderedPageBreak/>
        <w:t>Provide prescription medication with an accessible prescription drug label within the time frame the same prescription would be provided to patients without visual impairments.</w:t>
      </w:r>
    </w:p>
    <w:p w:rsidR="00893821" w:rsidRPr="00A4603B" w:rsidRDefault="00893821" w:rsidP="00BC5BD4">
      <w:pPr>
        <w:pStyle w:val="ListParagraph"/>
        <w:numPr>
          <w:ilvl w:val="0"/>
          <w:numId w:val="47"/>
        </w:numPr>
      </w:pPr>
      <w:r w:rsidRPr="00FC4E7A">
        <w:rPr>
          <w:lang w:val="en-US"/>
        </w:rPr>
        <w:t>Do not impose a surcharge or extra fee to an individual to cover the cost of providing an accessible drug container label and equipment dedicated for prescription drug container label access.</w:t>
      </w:r>
    </w:p>
    <w:p w:rsidR="00893821" w:rsidRPr="00FC4E7A" w:rsidRDefault="00FC4E7A" w:rsidP="00FC4E7A">
      <w:pPr>
        <w:pStyle w:val="Heading1"/>
      </w:pPr>
      <w:bookmarkStart w:id="73" w:name="_Toc424669257"/>
      <w:bookmarkStart w:id="74" w:name="_Toc457553288"/>
      <w:r>
        <w:lastRenderedPageBreak/>
        <w:t xml:space="preserve">8. </w:t>
      </w:r>
      <w:r w:rsidR="00893821" w:rsidRPr="00A4603B">
        <w:t>Conclusion</w:t>
      </w:r>
      <w:bookmarkEnd w:id="73"/>
      <w:bookmarkEnd w:id="74"/>
    </w:p>
    <w:p w:rsidR="00893821" w:rsidRPr="00A4603B" w:rsidRDefault="00893821" w:rsidP="00893821">
      <w:r w:rsidRPr="00A4603B">
        <w:t xml:space="preserve">This Final Report identified regulations, policies and programs across Canadian and international jurisdictions to help make healthcare more accessible to people with disabilities. It was evident that the jurisdictions examined are at different stages of maturity as it relates ensuring access and equity in their healthcare systems. </w:t>
      </w:r>
    </w:p>
    <w:p w:rsidR="00893821" w:rsidRPr="00A4603B" w:rsidRDefault="00893821" w:rsidP="00893821">
      <w:r w:rsidRPr="00A4603B">
        <w:t xml:space="preserve">Overall, Ontario appears to be comparable or ahead of the other jurisdictions examined in helping to make healthcare more accessible to persons with disabilities.  Based on the documents reviewed, it appeared that no jurisdiction had an overarching healthcare standard in place. Rather, regulations across all jurisdictions focused on equality, human rights, physical access (e.g. accommodation, building codes, design of public spaces, etc.) or mental health, which have applicability to the healthcare sector. Similar to Ontario, other jurisdictions had accessibility plans, disability strategies and action plans and equal access policies in place. Most policies and strategies related to certain aspects of the healthcare system or types of disabilities rather than all-encompassing guidance. Select jurisdictions had unique policies and/or strategies in place that Ontario may wish to consider. </w:t>
      </w:r>
    </w:p>
    <w:p w:rsidR="00893821" w:rsidRPr="00A4603B" w:rsidRDefault="00893821" w:rsidP="00893821">
      <w:r w:rsidRPr="00A4603B">
        <w:t>All jurisdictions examined had programs in place for improving accessibility in the healthcare sector. A number of programs and services geared towards access and equity in healthcare were found to be especially noteworthy and relevant to the Ontario context. In general, it appeared that gaps often remain between policies and what actually happens in practice.</w:t>
      </w:r>
    </w:p>
    <w:p w:rsidR="00893821" w:rsidRPr="00A4603B" w:rsidRDefault="00893821" w:rsidP="00893821">
      <w:r w:rsidRPr="00A4603B">
        <w:t xml:space="preserve">The literature review identified a number of barriers that exist in the healthcare system for those living with both mental and physical disabilities. While some of these gaps are addressed through government regulation or programs, there is still more to be done. It is evident that certain jurisdictions have been able to implement specific programs to address unmet needs, but these appear to be limited to municipalities that have the resources to do so, rather than for broader regional implementation. </w:t>
      </w:r>
    </w:p>
    <w:p w:rsidR="00893821" w:rsidRPr="00A4603B" w:rsidRDefault="00893821" w:rsidP="00893821">
      <w:r w:rsidRPr="00A4603B">
        <w:t>Going forward, as new standards in healthcare are considered, suggested areas of focus for the ADO may include:</w:t>
      </w:r>
    </w:p>
    <w:p w:rsidR="00893821" w:rsidRPr="00A4603B" w:rsidRDefault="00893821" w:rsidP="00BC5BD4">
      <w:pPr>
        <w:pStyle w:val="ListParagraph"/>
        <w:numPr>
          <w:ilvl w:val="0"/>
          <w:numId w:val="48"/>
        </w:numPr>
      </w:pPr>
      <w:r w:rsidRPr="00B95F1C">
        <w:rPr>
          <w:lang w:val="en-US"/>
        </w:rPr>
        <w:t>Building design standards specific to healthcare facilities (e.g. hospitals, nursing facilities, residential care, etc.).</w:t>
      </w:r>
    </w:p>
    <w:p w:rsidR="00893821" w:rsidRPr="00B95F1C" w:rsidRDefault="00893821" w:rsidP="00BC5BD4">
      <w:pPr>
        <w:pStyle w:val="ListParagraph"/>
        <w:numPr>
          <w:ilvl w:val="0"/>
          <w:numId w:val="48"/>
        </w:numPr>
        <w:rPr>
          <w:lang w:val="en-US"/>
        </w:rPr>
      </w:pPr>
      <w:r w:rsidRPr="00B95F1C">
        <w:rPr>
          <w:lang w:val="en-US"/>
        </w:rPr>
        <w:t>Specific regulations or standards for Guide Dog or Service Animals.</w:t>
      </w:r>
    </w:p>
    <w:p w:rsidR="00893821" w:rsidRPr="00A4603B" w:rsidRDefault="00893821" w:rsidP="00BC5BD4">
      <w:pPr>
        <w:pStyle w:val="ListParagraph"/>
        <w:numPr>
          <w:ilvl w:val="0"/>
          <w:numId w:val="48"/>
        </w:numPr>
      </w:pPr>
      <w:r w:rsidRPr="00A4603B">
        <w:t>Enhanced medical transportation services.</w:t>
      </w:r>
    </w:p>
    <w:p w:rsidR="00893821" w:rsidRPr="00A4603B" w:rsidRDefault="00893821" w:rsidP="00BC5BD4">
      <w:pPr>
        <w:pStyle w:val="ListParagraph"/>
        <w:numPr>
          <w:ilvl w:val="0"/>
          <w:numId w:val="48"/>
        </w:numPr>
      </w:pPr>
      <w:r w:rsidRPr="00A4603B">
        <w:t>Medical diagnostic equipment accessibility standards.</w:t>
      </w:r>
    </w:p>
    <w:p w:rsidR="00893821" w:rsidRPr="00A4603B" w:rsidRDefault="00893821" w:rsidP="00BC5BD4">
      <w:pPr>
        <w:pStyle w:val="ListParagraph"/>
        <w:numPr>
          <w:ilvl w:val="0"/>
          <w:numId w:val="48"/>
        </w:numPr>
      </w:pPr>
      <w:r w:rsidRPr="00A4603B">
        <w:lastRenderedPageBreak/>
        <w:t>Prescription labelling accessibility standards.</w:t>
      </w:r>
    </w:p>
    <w:p w:rsidR="00893821" w:rsidRPr="00A4603B" w:rsidRDefault="00893821" w:rsidP="00BC5BD4">
      <w:pPr>
        <w:pStyle w:val="ListParagraph"/>
        <w:numPr>
          <w:ilvl w:val="0"/>
          <w:numId w:val="48"/>
        </w:numPr>
      </w:pPr>
      <w:r w:rsidRPr="00A4603B">
        <w:t>Guidance on protocols or policies for accessible pre-admission planning, in-patient care and discharge planning.</w:t>
      </w:r>
    </w:p>
    <w:p w:rsidR="00893821" w:rsidRPr="00A4603B" w:rsidRDefault="00893821" w:rsidP="00BC5BD4">
      <w:pPr>
        <w:pStyle w:val="ListParagraph"/>
        <w:numPr>
          <w:ilvl w:val="0"/>
          <w:numId w:val="48"/>
        </w:numPr>
      </w:pPr>
      <w:r w:rsidRPr="00A4603B">
        <w:t>New approaches or training of healthcare professionals to reduce communication barriers to accessible healthcare.</w:t>
      </w:r>
    </w:p>
    <w:p w:rsidR="00893821" w:rsidRPr="00A4603B" w:rsidRDefault="00893821" w:rsidP="00893821"/>
    <w:p w:rsidR="00893821" w:rsidRPr="00A4603B" w:rsidRDefault="00893821" w:rsidP="00893821">
      <w:r w:rsidRPr="00A4603B">
        <w:br w:type="page"/>
      </w:r>
    </w:p>
    <w:p w:rsidR="00893821" w:rsidRDefault="00B95F1C" w:rsidP="00B95F1C">
      <w:pPr>
        <w:pStyle w:val="Heading1"/>
      </w:pPr>
      <w:bookmarkStart w:id="75" w:name="_Toc424669258"/>
      <w:bookmarkStart w:id="76" w:name="_Toc457553289"/>
      <w:r>
        <w:lastRenderedPageBreak/>
        <w:t xml:space="preserve">9. </w:t>
      </w:r>
      <w:r w:rsidR="00893821" w:rsidRPr="00A4603B">
        <w:t>References</w:t>
      </w:r>
      <w:bookmarkEnd w:id="75"/>
      <w:bookmarkEnd w:id="76"/>
    </w:p>
    <w:tbl>
      <w:tblPr>
        <w:tblStyle w:val="LightLis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firstRow="1" w:lastRow="0" w:firstColumn="1" w:lastColumn="0" w:noHBand="0" w:noVBand="1"/>
        <w:tblCaption w:val="References"/>
        <w:tblDescription w:val="List of references used in the report"/>
      </w:tblPr>
      <w:tblGrid>
        <w:gridCol w:w="3415"/>
        <w:gridCol w:w="5935"/>
      </w:tblGrid>
      <w:tr w:rsidR="00893821" w:rsidRPr="00A4603B" w:rsidTr="00D04B3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b w:val="0"/>
                <w:lang w:val="en-US"/>
              </w:rPr>
            </w:pPr>
            <w:bookmarkStart w:id="77" w:name="_Toc418101371"/>
            <w:r w:rsidRPr="00A4603B">
              <w:rPr>
                <w:b w:val="0"/>
                <w:lang w:val="en-US"/>
              </w:rPr>
              <w:t>Sources</w:t>
            </w:r>
          </w:p>
        </w:tc>
        <w:tc>
          <w:tcPr>
            <w:tcW w:w="5935" w:type="dxa"/>
          </w:tcPr>
          <w:p w:rsidR="00893821" w:rsidRPr="00A4603B" w:rsidRDefault="00893821" w:rsidP="005A3CF1">
            <w:pPr>
              <w:spacing w:after="200" w:line="276" w:lineRule="auto"/>
              <w:cnfStyle w:val="100000000000" w:firstRow="1" w:lastRow="0" w:firstColumn="0" w:lastColumn="0" w:oddVBand="0" w:evenVBand="0" w:oddHBand="0" w:evenHBand="0" w:firstRowFirstColumn="0" w:firstRowLastColumn="0" w:lastRowFirstColumn="0" w:lastRowLastColumn="0"/>
              <w:rPr>
                <w:b w:val="0"/>
                <w:lang w:val="en-US"/>
              </w:rPr>
            </w:pPr>
            <w:r w:rsidRPr="00A4603B">
              <w:rPr>
                <w:b w:val="0"/>
                <w:lang w:val="en-US"/>
              </w:rPr>
              <w:t>Link</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A Simple Cure. Action on Hearing Loss, 2006. Web. 20 Apr. 2015</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http://www.actiononhearingloss. org.uk/supporting-you/policy-research-and-influencing/research/our-research-reports/research-reports-2006.aspx.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Aboriginal Affairs and Northern Development Canada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http://www.aadnc-aandc.gc.ca/eng/1100100035250/1100100035251</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Access to Health Care for Careers: Barriers and Interventions, UK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http://www.york.ac.uk/inst/spru/pubs/pdf/access.pdf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Access to Medical Care for Individuals with Mobility Disabilities, US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http://www.ada.gov/medcare_mobility_ta/medcare_ta.htm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Al Monitor</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http://www.al-monitor.com/pulse/originals/2014/10/egypt-disabled-rights-state-marginalize.html#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Alberta Building Code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http://www.nrc-cnrc.gc.ca/eng/publications/codes_centre/2006_alberta_building_code.html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Alberta Building Code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http://www.nrc-cnrc.gc.ca/eng/publications/codes_centre/2006_alberta_building_code.html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Alberta Building Code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http://www.societelogique.org/contenu?page=quid/mission</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lastRenderedPageBreak/>
              <w:t>Alberta Building Code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http://www.carf.org/workarea/downloadasset.aspx?id=22465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Alberta Health Services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http://www.albertahealthservices.ca/5767.asp</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Alberta Health Services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http://www.health.alberta.ca/services/benefits-supplementary.html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Alberta Health Services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http://humanservices.alberta.ca/foster-kinship-care/15438.html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fr-FR"/>
              </w:rPr>
              <w:t>Alexandria University</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http://www.gittc-alexu.org/uploads/document/legistaltion.pdf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ANSI/AAMI HE75/Ed.3, Human Factors Engineering - Design of Medical Devices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https://standards.aami.org/kws/public/projects/project/details?project_id=846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Australian Human Rights Commission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https://www.humanrights.gov.au/our-work/disability-rights/about-disability-rights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Australian Human Rights Commission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https://www.humanrights.gov.au/disability-discrimination-act-action-plans-guide-business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Barrier-free Design Guide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http://www.safetycodes.ab.ca/Public/Documents/2008_SCC_BFDG_FINAL_protected.pdf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Barrier-free Design Standard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https://www.rbq.gouv.qc.ca/fileadmin/medias/pdf/Publications/francais/ConceptionSansObstacles.pdf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lastRenderedPageBreak/>
              <w:t>BC Building Code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http://www.bccodes.ca/building-code.aspx?vid=QPLEGALEZE:bccodes_2012_view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Best practice guidance on the labelling and packaging of medicines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https://www.gov.uk/government/uploads/system/uploads/attachment_data/file/328404/Best_practice_guidance_on_the_labelling_and_packaging_of_medicines.pdf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British Columbia Housing</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http://www.bchousing.org/Initiatives/Creating/ILBC</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California School Boards Association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http://www.gamutonline.net/district/emery/displayPolicy/146527/6</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Cambrianc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https://secure.cambrianc.on.ca/acadnet/User_content%5CAccessibility%5CAccessibility%20Planning%20Working%20Group%5 CCSA%20Barrier%20Free%20Design.pdf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Canadian Mortgage and Housing Corporation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http://www.cmhc-schl.gc.ca/odpub/pdf/60967.pdf?fr=1421178129190</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City of Toronto: Accessibility Design Guidelines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https://www1.toronto.ca/static_files/equity_diversity_and_human_rights_office/pdf/accessibility_design_guidelines.pdf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CNIB</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http://www.cnib.ca/en/news/pages/prescription-labels-fail-to-meet-guidelines,-increasing-risk-for-errors-taking-medications-.aspx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 xml:space="preserve">Committee on the Rights of Persons with Disabilities considers initial report of </w:t>
            </w:r>
            <w:r w:rsidRPr="00A4603B">
              <w:rPr>
                <w:lang w:val="en"/>
              </w:rPr>
              <w:lastRenderedPageBreak/>
              <w:t>Germany</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 xml:space="preserve">http://www.ohchr.org/EN/NewsEvents/Pages/DisplayNews.aspx?NewsID=15769&amp;LangID=E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Convention on the Rights of Persons with Disabilities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http://www.ccdonline.ca/en/international/un/canada/crpd-first-report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Convention on the Rights of Persons with Disabilities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http://www.ccdonline.ca/en/international/un/canada/crpd-first-report#sec-part1</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fr-FR"/>
              </w:rPr>
              <w:t>Cornell</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http://digitalcommons.ilr.cornell.edu/cgi/viewcontent.cgi?article=1454&amp;context=gladnetcollect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Council for Healthcare Regulatory Excellence. Healthcare for People with Disabilities. Rep. Professional Standards Authority, Dec. 2009. Web. 23 Apr. 2015</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http://www.professional standards.org.uk/docs/default-source/psa-library/healthcare-for-people-with-disabilities---advice.pdf?sfvrsn=0.</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Council of Canadians with Disabilities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http://www.ccdonline.ca/en/international/un/canada/crpd-first-report#sec-quebec</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Council of Canadians with Disabilities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http://www.ccdonline.ca/en/international/un/canada/crpd-first-report#sec-northwest-territories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Council of Canadians with Disabilities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http://www.ccdonline.ca/en/international/un/canada/crpd-first-report#sec-yukon</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Daily News Egypt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http://www.dailynewsegypt.com/2012/11/27/disability-in-egypt/</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 xml:space="preserve">Decision Support System </w:t>
            </w:r>
            <w:r w:rsidRPr="00A4603B">
              <w:rPr>
                <w:lang w:val="en"/>
              </w:rPr>
              <w:lastRenderedPageBreak/>
              <w:t>for Evaluating Accessibility of Facilities, Israel</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lastRenderedPageBreak/>
              <w:t>http://www.access-</w:t>
            </w:r>
            <w:r w:rsidRPr="00A4603B">
              <w:rPr>
                <w:u w:val="single"/>
                <w:lang w:val="en-US"/>
              </w:rPr>
              <w:lastRenderedPageBreak/>
              <w:t>unlimited.co.il/NagishLakol/JB2006.pdf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Department of Rehabilitation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http://www.rehab.cahwnet.gov/DisabilityAccessInfo/Title-24-of-CCRs.html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Disability Alliance British Columbia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http://blog.disabilityalliancebc.org/?p=2456</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Disability Alliance British Columbia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http://www.disabilityalliancebc.org/programs/wdi/default.htm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Disability Europe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http://www.disability-europe.net/content/aned/media/Germany%20-%20ANED%20country%20profile.pdf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Disability Rights Education &amp; Defense Fund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http://dredf.org/legal-advocacy/international-disability-rights/international-laws/jordan-law-for-welfare-of-disabled-persons/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Disability Services Australia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http://www.dsa.org.au/Documents/CP15%20Standard%204%28NSW Cwlth%29%20Privacy,%20Dignity%20and%20Confidentiality.pdf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Disability Studies Quarterly</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http://dsq-sds.org/article/view/692/869</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Disabled Access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www.disabledaccess.co.uk/Access_Requirements/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Disabled Access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http://www.disabledaccess.co.uk/Access_Requirements/other.htm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Disabled Access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http://www.disabledaccess.co.uk/Access_Requirements/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Disabled Access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http://www.disabledaccess.co.uk/Access_Requirements/partm.htm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Disabled World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http://www.disabled-world.com/medical/healthcare/canada-medicare/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Equity Human Rights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http://www.equalityhumanrights.com/cy/private-and-public-sector-guidance/guidance-for-all/pre-equality-act-guidance/guidance-for-service-providers-pre-october-2010/good-medical-practice-and-disability-equality</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fr-FR"/>
              </w:rPr>
              <w:t>Euro Centre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http://www.euro.centre.org/data/1237457784_41597.pdf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Excellent Care for All Act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http://www.health.gov.on.ca/en/pro/programs/ecfa/legislation/act.aspx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Forbes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http://www.forbes.com/sites/zackmiller/2015/01/20/12-israeli-technologies-changing-the-lives-of-the-disabled-in-2015/</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 xml:space="preserve">Frey, Georgia C. "Physical Activity of Youth with Intellectual Disability: Review and Research Agenda." Adapted Physical Activity Quarterly 25.2 (2008): n. page. Web. 21 </w:t>
            </w:r>
            <w:r w:rsidRPr="00A4603B">
              <w:rPr>
                <w:lang w:val="en"/>
              </w:rPr>
              <w:lastRenderedPageBreak/>
              <w:t xml:space="preserve">Apr. 2015. </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German Federal Ministry of Labour and Social Affairs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http://www.bmas.de/SharedDocs/Downloads/EN/PDF-Publikationen/a990-rehabilitation-und-teilhabe-behinderter-menschen-englisch.pdf?__blob=publicationFile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Good Building Practices Guideline, Yukon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http://cgs.gov.nu.ca/PDF/Good%20Building%20Practices%20Guideline.pdf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Australia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http://www.comlaw.gov.au/details/f2010l00668</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Australia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http://www.abcb.gov.au/en/about-the-national-construction-code/the-regulatory-process.aspx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Australia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http://www.abcb.gov.au/en/about-the-national-construction-code/the-building-code-of-australia.aspx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Australia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https://www.dss.gov.au/sites/default/files/documents/05_2012/national_disability_strategy_2010__2020_summary.pdf, https://www.dss.gov.au/our-responsibilities/disability-and-carers/program-services/government-international/national-disability-strategy, https://www.dss.gov.au/sites/default/files/documents/05_2012/national_disability_strategy_2010_2020.pdf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Australia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https://www.dss.gov.au/sites/default/files/documents/05_2012/dig_report_19oct09.pdf, https://www.dss.gov.au/our-responsibilities/disability-and-carers/program-services/for-people-with-disability/disability-investment-group, https://www.dss.gov.au/our-responsibilities/disability-</w:t>
            </w:r>
            <w:r w:rsidRPr="00A4603B">
              <w:rPr>
                <w:u w:val="single"/>
                <w:lang w:val="en-US"/>
              </w:rPr>
              <w:lastRenderedPageBreak/>
              <w:t>and-carers/program-services/for-people-with-disability/disability-investment-group/the-way-forward-a-new-disability-policy-framework-for-australia</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Australia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http://www.lawhandbook.org.au/handbook/ch16s01s03.php#Ch1308Se260025,</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Australia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http://www.humanservices.gov.au/customer/subjects/caring-for-someone-with-an-illness-or-disability</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Australia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http://www.humanservices.gov.au/customer/services/centrelink/essential-medical-equipment-payment</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Australia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http://www.ndis.gov.au/</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Australia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http://www.pc.gov.au/inquiries/completed/disability-support/report/disability-support-executive-summary.pdf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British Columbia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http://www.housing.gov.bc.ca/pub/building_access_handbook_2007.pdf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British Columbia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http://www2.gov.bc.ca/gov/topic.page?id=BB78DA14808F4A1398243C308C1D25F1</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British Columbia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http://www2.gov.bc.ca/gov/DownloadAsset?assetId=4E4879D2986E4E8CB3F6F757F59978D5&amp;filename=accessibility2024_update_web.pdf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 xml:space="preserve">Government of British </w:t>
            </w:r>
            <w:r w:rsidRPr="00A4603B">
              <w:rPr>
                <w:lang w:val="en-US"/>
              </w:rPr>
              <w:lastRenderedPageBreak/>
              <w:t>Columbia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http://www2.gov.bc.ca/gov/topic.page?id=BB78DA14</w:t>
            </w:r>
            <w:r w:rsidRPr="00A4603B">
              <w:rPr>
                <w:u w:val="single"/>
                <w:lang w:val="en-US"/>
              </w:rPr>
              <w:lastRenderedPageBreak/>
              <w:t>808F4A1398243C308C1D25F1</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Government of British Columbia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http://www2.gov.bc.ca/gov/DownloadAsset?assetId=FD9A1A889D21419EAD1F819534CDC4A2&amp;filename=palliative-patientinfo.pdf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British Columbia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http://www.gov.bc.ca/meia/online_resource/health_supplements_and_programs/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British Columbia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http://www.gov.bc.ca/meia/online_resource/health_supplements_and_programs/memobility/index.html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British Columbia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http://www.mcf.gov.bc.ca/foster/pdf/health_supports_cic.pdf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Israel</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http://www.moch.gov.il/English/new_construction/Pages/the_israel_building_code.aspx#GovXParagraphTitle1</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Israel</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http://www.health.gov.il/English/Services/Citizen_Services/mobility/Pages/default.aspx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Israel</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http://www.health.gov.il/English/Services/Citizen_Services/mobility/Pages/EmergencyRescue.aspx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Israel</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http://www.health.gov.il/English/Services/Citizen_Services/Pages/Participation.aspx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Israel</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http://www.health.gov.il/English/MinistryUnits/HealthDivision/MedicalAdministration/Rehabilitation/Pages/default.aspx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Manitoba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http://www.gov.mb.ca/dio/pdf/introducing_accessibility_for_manitobans_act.pdf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Manitoba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http://www.gov.mb.ca/dio/access/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Manitoba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http://www.gov.mb.ca/dio/maaw.html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Manitoba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http://residents.gov.mb.ca/reference.html?d=details&amp;program_id=6741</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Manitoba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http://residents.gov.mb.ca/reference.html?d=details&amp;program_id=82</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Manitoba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 http://residents.gov.mb.ca/reference.html?d=details&amp;program_id=93</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Manitoba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http://www.gov.mb.ca/health/mhsip/hearingaid.html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Manitoba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http://www.gov.mb.ca/health/mhsip/orthoshoes.html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Manitoba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http://www.gov.mb.ca/health/mhsip/contact_lens.html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Manitoba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http://www.gov.mb.ca/health/mhsip/telecommunications.html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Manitoba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http://www1.gnb.ca/cnb/publicreview/pdf/10-106E.pdf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Brunswick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http://www2.gnb.ca/content/dam/gnb/Departments/sd-ds/pdf/NursingHomes/NursingHomeDesignStandards</w:t>
            </w:r>
            <w:r w:rsidRPr="00A4603B">
              <w:rPr>
                <w:u w:val="single"/>
                <w:lang w:val="en-US"/>
              </w:rPr>
              <w:lastRenderedPageBreak/>
              <w:t>-e.pdf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New Brunswick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http://www2.gnb.ca/content/dam/gnb/Departments/pcsdp-cpmcph/pdf/docs/UniversalDesignFinalVersionNov07ENG.pdf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Brunswick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http://www2.gnb.ca/content/dam/gnb/Departments/pcsdp-cpmcph/pdf/publications/2013DAPReport.pdf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Brunswick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http://www2.gnb.ca/content/dam/gnb/Departments/pcsdp-cpmcph/pdf/publications/2014DAPReport.pdf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Brunswick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www.gnb.ca/0055/pdf/2013/Action-Plan_Progress-Report.pdf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Brunswick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http://www2.gnb.ca/content/gnb/en/services/services_renderer.8015.html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Brunswick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http://www2.gnb.ca/content/gnb/en/services/services_renderer.8035.html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Brunswick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http://www2.gnb.ca/content/gnb/en/services/services_renderer.8155.html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Brunswick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http://www2.gnb.ca/content/gnb/en/services/services_renderer.8116.html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Brunswick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http://www2.gnb.ca/content/gnb/en/services/services_renderer.7995.html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 xml:space="preserve">Government of New </w:t>
            </w:r>
            <w:r w:rsidRPr="00A4603B">
              <w:rPr>
                <w:lang w:val="en-US"/>
              </w:rPr>
              <w:lastRenderedPageBreak/>
              <w:t>Brunswick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lastRenderedPageBreak/>
              <w:t>http://www2.gnb.ca/content/gnb/en/services/services</w:t>
            </w:r>
            <w:r w:rsidRPr="00A4603B">
              <w:rPr>
                <w:u w:val="single"/>
                <w:lang w:val="en-US"/>
              </w:rPr>
              <w:lastRenderedPageBreak/>
              <w:t>_renderer.8896.html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New York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https://www.health.ny.gov/health_care/medicaid/program/buy_in/</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York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https://www.health.ny.gov/publications/0548/children_special_health_care_needs_including_phys_handi_children.htm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York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http://www.health.ny.gov/community/infants_children/early_intervention/</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York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http://www.health.ny.gov/community/special_needs/services/mental_health.htm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York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http://www.health.ny.gov/community/special_needs/services/family_support.htm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York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http://www.health.ny.gov/community/special_needs/services/transition.htm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York City</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http://www.nyc.gov/html/mopd/html/laws/state.shtml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Zealand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http://www.health.govt.nz/our-work/regulation-health-and-disability-system/certification-health-care-services/health-and-disability-services-safety-act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Zealand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http://www.health.govt.nz/our-work/regulation-health-and-disability-system/certification-health-care-services/health-and-disability-services-standards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Government of New Zealand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http://www.odi.govt.nz/nzds/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Zealand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http://www.odi.govt.nz/what-we-do/improving-disability-supports/index.html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Zealand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http://www.health.govt.nz/our-work/disability-services/disability-projects-and-programmes/choice-community-living</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New Zealand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http://www.health.govt.nz/our-work/disability-services/disability-projects-and-programmes/child-and-youth-disability-projects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New Zealand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http://www.health.govt.nz/our-work/disability-services/disability-projects-and-programmes/ems-prioritisation-project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Northwest Territories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http://www.hss.gov.nt.ca/health/nwt-health-care-plan/extended-health-benefits-specified-disease-conditions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Nova Scotia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http://novascotia.ca/coms/employment/income_assistance/Pharmacare.html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Nova Scotia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http://novascotia.ca/dhw/mental-health/documents/Mental-Health-Community-Supports-Standards.pdf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Nova Scotia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https://www.novascotia.ca/just/regulations/regs/bcregs.htm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Nova Scotia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http://novascotia.ca/coms/accessibility/ and http://novascotia.ca/coms/accessibility/what/</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Nova Scotia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http://novascotia.ca/coms/disabilities/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Nova Scotia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http://www.novascotia.ca/coms/disabilities/WheelchairRecycling.html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Nova Scotia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http://www.assembly.nl.ca/legislation/sr/regulations/rc961140.htm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Nunavut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http://www.gov.nu.ca/sites/default/files/files/Finance/Budgets/2008-09%20%20Budgets/BP2008-2009_Eng2.pdf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Ontario. People with disabilities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http://www.ontario.ca/home-and-community/people-disabilities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http://www.gov.pe.ca/law/regulations/pdf/P&amp;24-1.pdf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http://www.gov.pe.ca/environment/index.php3?number=1047336&amp;lang=E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http://www.gov.pe.ca/law/statutes/pdf/c-13.pdf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http://www.gov.pe.ca/sss/index.php3?number=20667</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 xml:space="preserve">Government of Prince </w:t>
            </w:r>
            <w:r w:rsidRPr="00A4603B">
              <w:rPr>
                <w:lang w:val="en-US"/>
              </w:rPr>
              <w:lastRenderedPageBreak/>
              <w:t>Edward Island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http://www.gov.pe.ca/photos/original/DHW-</w:t>
            </w:r>
            <w:r w:rsidRPr="00A4603B">
              <w:rPr>
                <w:u w:val="single"/>
                <w:lang w:val="en-US"/>
              </w:rPr>
              <w:lastRenderedPageBreak/>
              <w:t>StandardPNH.pdf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Government of Prince Edward Island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http://www.healthpei.ca/index.php3?number=1036849&amp;lang=E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http://www.healthpei.ca/index.php3?number=1020500&amp;lang=E</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http://www.healthpei.ca/index.php3?number=1020503&amp;lang=E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Prince Edward Island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http://www.healthpei.ca/index.php3?number=1020508&amp;lang=E</w:t>
            </w:r>
          </w:p>
        </w:tc>
      </w:tr>
      <w:tr w:rsidR="00893821" w:rsidRPr="0055176D"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fr-FR"/>
              </w:rPr>
              <w:t>Government of Quebec</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fr-FR"/>
              </w:rPr>
            </w:pPr>
            <w:r w:rsidRPr="00A4603B">
              <w:rPr>
                <w:u w:val="single"/>
                <w:lang w:val="fr-FR"/>
              </w:rPr>
              <w:t xml:space="preserve">Office des personnes handicapées du Québec, https://www.ophq.gouv.qc.ca/accessibilite.html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Quebec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http://www2.publicationsduquebec.gouv.qc.ca/dynamicSearch/telecharge.php?type=2&amp;file=/E_20_1/E20_1_A.HTM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Quebec</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http://www.fadq.qc.ca/en/accessibility/action_plan_for_handicaped_persons.html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Quebec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https://www.rbq.gouv.qc.ca/en/building/technical-information/access-to-buildings-by-persons-with-disabilities.html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Quebec</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https://www.rbq.gouv.qc.ca/en/citizen/disabled-person/the-rbq-and-the-disabled-persons.html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Quebec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https://www.rbq.gouv.qc.ca/en/owner-or-operator/quality-and-safety-requirements/access-to-buildings-by-persons-with-disabilities.html, and http://www.societelogique.org/contenu?page=infotech/reglementation&amp;langue=en</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Quebec</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https://www.rbq.gouv.qc.ca/en/building/technical-information/building-chapter-from-the-safety-code/compliance-with-the-applicable-standards-according-to-the-year-of-construction.html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Quebec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http://www.ramq.gouv.qc.ca/en/citizens/aid-programs/hearing-aids/Pages/hearing-aids.aspx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Quebec</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http://www.ramq.gouv.qc.ca/en/citizens/aid-programs/visual-aids/Pages/visual-aids.aspx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Quebec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http://www.ramq.gouv.qc.ca/en/citizens/aid-programs/ocular-prostheses/Pages/ocular-prostheses.aspx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Quebec</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http://www.ramq.gouv.qc.ca/en/citizens/aid-programs/Pages/external-breastforms.aspx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Quebec</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http://www.ramq.gouv.qc.ca/en/citizens/aid-programs/devices-compensate-physical-deficiency/Pages/devices-compensate-physical-deficiency.aspx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Saskatchewan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http://www.qp.gov.sk.ca/documents/English/Statutes/Statutes/U1-2.pdf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Government of Saskatchewan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http://www.qp.gov.sk.ca/documents/English/Regulations/Regulations/U1-2R5.pdf, and</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Saskatchewan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https://www.saskatchewan.ca/live/public-safety-protection-and-emergency-services/building-standards-and-licensing#building-and-accessibility-standards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Saskatchewan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http://www.socialservices.gov.sk.ca/live/health-and-healthy-living/manage-your-health-needs/support-programs-and-services/sail#program-objectives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UK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http://www.legislation.gov.uk/ukpga/1984/55</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UK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http://www.planningportal.gov.uk/buildingregulations/buildingpolicyandlegislation/currentlegislation/buildingregulations/ buildingregs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UK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https://www.gov.uk/government/uploads/system/uploads/attachment_data/file/216129/dh_122908.pdf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UK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https://www.gov.uk/government/uploads/system/uploads/attachment_data/file/308846/HTM_05-02_2014.pdf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UK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https://www.gov.uk/mobility-scooters-and-powered-wheelchairs-rules/overview</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UK</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https://www.gov.uk/government/uploads/system/uploads/attachment_data/file/213883/dh_116385.pdf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Government of Yukon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http://www.hss.gov.yk.ca/chronic_disease.php</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Yukon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http://www.hss.gov.yk.ca/homecare.php</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Government of Yukon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http://www.hss.gov.yk.ca/mental_health.php</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Government of Yukon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http://www.hss.gov.yk.ca/dayprogram.php</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Guide Dog Foundation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http://www.guidedog.org/content.aspx?id=1410</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Guideline on the Readability of the Labelling and Package Leaflet of Medicinal Products for Human Use, EU</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http://ec.europa.eu/health/files/eudralex/vol-2/c/2009_01_12_readability_guideline_final_en.pdf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Health Canada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http://www.hc-sc.gc.ca/hcs-sss/medi-assur/cha-lcs/index-eng.php</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Health Canada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http://www.hc-sc.gc.ca/hcs-sss/hhr-rhs/strateg/index-eng.php</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Health Canada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http://www.hc-sc.gc.ca/hcs-sss/finance/hcpcp-pcpss/index-eng.php</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Health Council Canada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http://healthcouncilcanada.ca/n3w11n3/progress2013/JurisdictionalProfiles2013_EN.pdf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 xml:space="preserve">Heller, Tamar, Kelly Hsieh, and James H. Rimmer. "Attitudinal and Psychosocial Outcomes of </w:t>
            </w:r>
            <w:r w:rsidRPr="00A4603B">
              <w:rPr>
                <w:lang w:val="en"/>
              </w:rPr>
              <w:lastRenderedPageBreak/>
              <w:t xml:space="preserve">a Fitness and Health Education Program on Adults With Down Syndrome." American Journal on Mental Retardation 109.2 (March 2004): 175-85. University of Illinois at Chicago. Web. 21 Apr. 2015. </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lastRenderedPageBreak/>
              <w:t>Hoghton, Matt, Dr., Sue Turner, and Ian Hall, Dr. "Improving the Health and Wellbeing of People with Learning Disabilities: An Evidence-Based Commissioning Guide for Clinical Commissioning Groups." Public Health England. Royal College of General Practioners, 9 Oct. 2012. Web. 22 Apr. 2015</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http://www.improvinghealthandlives.org.uk/publications/1134/Improving_the_Health_and_Wellbeing_of_People_w.</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Honey A, Emerson E, Llewellyn G, Kariuki M. 2010. Mental Health and Disability. In: JH Stone, M Blouin, editors. International Encyclopedia of Rehabilitation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http://cirrie.buffalo.edu/encyclopedia/en/article/305/</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Human factors engineering - Design of medical devices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http://my.aami.org/aamiresources/previewfiles/HE75_1311_preview.pdf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Human Services Alberta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http://humanservices.alberta.ca/disability-services/service-dogs-faq.html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Human Services Alberta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http://humanservices.alberta.ca/department/premiers-council-ads-recommendations.html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Institute of Medicine (US) Committee on Disability in America; Field MJ, Jette AM, editors. The Future of Disability in America. Washington (DC): National Academies Press (US); 2007. G, Transportation Patterns and Problems of People with Disabilities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http://www.ncbi.nlm.nih.gov/books/NBK11420/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Internal Revenue Service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http://www.irs.gov/publications/p502/ar02.html#en_US_2014_publink1000178936</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Jewish Virtual Library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http://www.jewishvirtuallibrary.org/jsource/med/three.html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Kolzchut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http://www.kolzchut.org.il/en/Disability_Pension_and_Related_Benefits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Kolzchut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http://www.kolzchut.org.il/en/Personal_Nursing_Care_Benefit_for_Children_and_Adults_Ventilated_with_a_Tracheostomy</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 xml:space="preserve">Law Commission of Ontario. The Law and </w:t>
            </w:r>
            <w:r w:rsidRPr="00A4603B">
              <w:rPr>
                <w:lang w:val="en-US"/>
              </w:rPr>
              <w:lastRenderedPageBreak/>
              <w:t>Persons with Disabilities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http://www.lco-cdo.org/en/content/persons-disabilities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Medicaid Transportation Services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http://healthconsumer.org/cs026MedicaidTransport.pdf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Mencap</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https://www.mencap.org.uk/about-learning-disability/transition-and-further-education/transition/funding-money-and-benefits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Mental Disability Advocacy Center</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http://www.mdac.info/en/news/new-mental-health-law-egypt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Ministry of Community and Social Services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http://www.mcss.gov.on.ca/en/mcss/publications/developmentalServices/servicesSupportsSocialInclusion.aspx</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Ministry of Health and Long-Term Care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http://www.health.gov.on.ca/en/common/ministry/publications/reports/mental_health2011/mentalhealth_rep2011.pdf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Ministry of Health and Long-Term Care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http://www.health.gov.on.ca/en/ms/ecfa/healthy_change/docs/rep_patientsfirst.pdf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Ministry of Health and Long-Term Care. About the Ministry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http://www.health.gov.on.ca/en/common/ministry/default.aspx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Ministry of Planning and International Cooperation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http://inform.gov.jo/en-us/By-Date/Report-Details/ArticleId/86/2010-2015-National-Strategy-for-People-with-Disabilities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 xml:space="preserve">Ministry of Social and </w:t>
            </w:r>
            <w:r w:rsidRPr="00A4603B">
              <w:rPr>
                <w:lang w:val="en-US"/>
              </w:rPr>
              <w:lastRenderedPageBreak/>
              <w:t>Family Development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lastRenderedPageBreak/>
              <w:t>http://app.msf.gov.sg/Portals/0/Topic/Issues/EDGD/E</w:t>
            </w:r>
            <w:r w:rsidRPr="00A4603B">
              <w:rPr>
                <w:u w:val="single"/>
                <w:lang w:val="en-US"/>
              </w:rPr>
              <w:lastRenderedPageBreak/>
              <w:t>nabling%20Masterplan%2020122016%20Report%20%288%20 Mar%29.pdf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lastRenderedPageBreak/>
              <w:t>MSSS Website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http://www.msss.gouv.qc.ca/en/sujets/groupes/people_disabilities.php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Municipal Affairs Alberta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http://www.municipalaffairs.alberta.ca/codes_and_permits_accessibility.cfm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National Association of Guide Dog Users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http://www.nagdu.org/laws/usa/california.txt</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National Association of Guide Dog Users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http://www.nagdu.org/laws/usa/newyork.txt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National Building Code for Canada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http://www.nrc-cnrc.gc.ca/eng/publications/codes_centre/2010_national_building_code.html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National Council of Disability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http://www.ncd.gov/publications/2009/Sept302009#People%20with%20Physical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National Council on Disability</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http://www.ncd.gov/publications/2009/Sept302009#Health%20Status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National Council on Disability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http://www.ncd.gov/publications/2009/Sept302009#Health%20Status and http://dredf.org/wp-content/uploads/2012/10/it-takes-more-than-ramps.pdf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 xml:space="preserve">National Council on </w:t>
            </w:r>
            <w:r w:rsidRPr="00A4603B">
              <w:rPr>
                <w:lang w:val="en-US"/>
              </w:rPr>
              <w:lastRenderedPageBreak/>
              <w:t>Disability</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http://www.ncd.gov/publications/2009/Sept302009#S</w:t>
            </w:r>
            <w:r w:rsidRPr="00A4603B">
              <w:rPr>
                <w:u w:val="single"/>
                <w:lang w:val="en-US"/>
              </w:rPr>
              <w:lastRenderedPageBreak/>
              <w:t>ocial%20Security</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National Disability Authority. Review of literature and guidelines on accessibility in healthcare that underpin the National Guidelines on Accessible Primary, Community and Hospital Services. July 2012.</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National Research Council of Canada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http://www.nrc-cnrc.gc.ca/ci-ic/article/v6n2-2</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National Standard of Canada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http://www.torstamp.com/References/REF-115.pdf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New South Wales Government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http://www0.health.nsw.gov.au/pubs/2012/pdf/service_framework_2012.pdf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New South Wales Government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http://www.health.nsw.gov.au/disability/Publications/disability-action-plan-PDF.pdf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Newport City Council</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http://www.newport.gov.uk/stellent/groups/public/documents/plans_and_strategies/n_055270.pdf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NHS Wales. All Wales Standards for Accessible Communication and Information for People with Sensory Loss. July 2013.</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Northwest Territories Human Rights Commission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http://nwthumanrights.ca/cashra2007/documents/final_documents/22_fraser_cera_advocates_Kit_pt_1.pdf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Nova Scotia Department of Health and Community Services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http://www.health.gov.nl.ca/health/personsdisabilities/fundingprograms_hcs.html#scwap</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Nova Scotia Department of Health and Community Services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http://www.health.gov.nl.ca/health/personsdisabilities/fundingprograms_hcs.html</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Nunavut Housing</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http://www.nunavuthousing.ca/apps/UPLOADS/fck/file/NHC%20HRP%20Guidelines%20-%20Clean%20-%20October%202014.pdf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Ontario Hospital Association. A Practical Guide to Mental Health and the Law in Ontario. October 2012.</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Ontario Human Rights Code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http://www.ohrc.on.ca/en/ontario-human-rights-code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Ontario Human Rights Commission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http://www.ohrc.on.ca/en</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Ontario Human Rights Commission</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http://www.ohrc.on.ca/en/policy-preventing-discrimination-based-mental-health-disabilities-and-addictions/16-consent-and-capacity</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 xml:space="preserve">Packaging: Braille on </w:t>
            </w:r>
            <w:r w:rsidRPr="00A4603B">
              <w:rPr>
                <w:lang w:val="en"/>
              </w:rPr>
              <w:lastRenderedPageBreak/>
              <w:t>packaging for medicinal products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http://shop.bsigroup.com/en/ProductDetail/?pid=0000</w:t>
            </w:r>
            <w:r w:rsidRPr="00A4603B">
              <w:rPr>
                <w:u w:val="single"/>
                <w:lang w:val="en-US"/>
              </w:rPr>
              <w:lastRenderedPageBreak/>
              <w:t xml:space="preserve">00000030180500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Parliament of UK</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http://www.publications.parliament.uk/pa/cm200910/cmselect/cmtran/414/414.pdf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Personal Supports British Columbia</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http://www.personalsupports.bc.ca/psp/organization/provincial_programs.page?keyword=Provincial+Programs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Prince Edward Island Mental Health</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http://www.healthpei.ca/mentalhealth</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Reflecting Our Communities: Building a Diverse BC Public Service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http://www2.gov.bc.ca/local/myhr/documents/jobs_hiring/Diversity_Update_Inclusiveness_FINAL-Sep2014.pdf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Safety Authority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http://www.safetyauthority.ca/sites/default/files/elevating_devices_safety_regulation_-_notification_of_amendment_ib-ed_2013-02_.pdf,</w:t>
            </w:r>
            <w:r w:rsidRPr="00A4603B">
              <w:rPr>
                <w:lang w:val="en-US"/>
              </w:rPr>
              <w:t xml:space="preserve"> and </w:t>
            </w:r>
            <w:r w:rsidRPr="00A4603B">
              <w:rPr>
                <w:u w:val="single"/>
                <w:lang w:val="en-US"/>
              </w:rPr>
              <w:t>http://blog.disabilityalliancebc.org/?p=1585</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 xml:space="preserve">Saskatchewan Disability Strategy. </w:t>
            </w:r>
          </w:p>
        </w:tc>
        <w:tc>
          <w:tcPr>
            <w:tcW w:w="5935" w:type="dxa"/>
            <w:tcBorders>
              <w:top w:val="none" w:sz="0" w:space="0" w:color="auto"/>
              <w:bottom w:val="none" w:sz="0" w:space="0" w:color="auto"/>
              <w:right w:val="none" w:sz="0" w:space="0" w:color="auto"/>
            </w:tcBorders>
          </w:tcPr>
          <w:p w:rsidR="00893821" w:rsidRPr="00A4603B" w:rsidRDefault="0055176D"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hyperlink r:id="rId16" w:history="1">
              <w:r w:rsidR="00893821" w:rsidRPr="00A4603B">
                <w:rPr>
                  <w:rStyle w:val="Hyperlink"/>
                  <w:rFonts w:asciiTheme="minorHAnsi" w:hAnsiTheme="minorHAnsi"/>
                  <w:sz w:val="24"/>
                  <w:lang w:val="en-US"/>
                </w:rPr>
                <w:t>https://www.saskatchewan.ca/government/have-your-say/saskatchewan-disability-strategy</w:t>
              </w:r>
            </w:hyperlink>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Saskatchewan Human Rights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http://saskatchewanhumanrights.ca/+pub/documents/accessability/Building_Standards_%20Code.pdf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 xml:space="preserve">Sibley, Eleanor. "Towards an Inclusive Health Service: A Report into the Availability of Health </w:t>
            </w:r>
            <w:r w:rsidRPr="00A4603B">
              <w:rPr>
                <w:lang w:val="en"/>
              </w:rPr>
              <w:lastRenderedPageBreak/>
              <w:t>Information for Blind and Partially Sighted People." Royal National Institute of Blind People. Dr Foster Intelligence for RNIB, 2009. Web. 21 Apr. 2015</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lastRenderedPageBreak/>
              <w:t>https://www.rnib.org.uk/knowledge-and-research-hub/research-reports/general-research/towards-inclusive-health.</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Singapore Government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http://www.bca.gov.sg/BarrierFree/others/ACCESSIBILITY_CODE_2013.pdf</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Singapore Government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http://app.msf.gov.sg/Policies/Children-Youth/Protection-under-Children-Young-Persons-Act</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Singapore Government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http://www.odi.govt.nz/what-we-do/built-environment/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Singapore Government</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http://www.legislation.govt.nz/regulation/public/1992/0150/latest/whole.html#DLM162576</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Singapore Government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http://www.legislation.govt.nz/act/public/2000/0091/latest/whole.html#DLM80487</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Social Care Institute for Excellence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http://www.scie.org.uk/publications/ataglance/ataglance41.asp</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Social Science Open Access Repository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http://www.ssoar.info/ssoar/bitstream/handle/document/35003/ssoar-2007-peucker-Equality_and_anti-discrimination_approaches_in.pdf?sequence=1</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State of California Department of Justice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http://www.ag.ca.gov/consumers/pdf/disabled.pdf</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 xml:space="preserve">State of Israel Ministry of </w:t>
            </w:r>
            <w:r w:rsidRPr="00A4603B">
              <w:rPr>
                <w:lang w:val="en-US"/>
              </w:rPr>
              <w:lastRenderedPageBreak/>
              <w:t>Health</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lastRenderedPageBreak/>
              <w:t>http://www.health.gov.il/English/Topics/Rights_disabil</w:t>
            </w:r>
            <w:r w:rsidRPr="00A4603B">
              <w:rPr>
                <w:u w:val="single"/>
                <w:lang w:val="en-US"/>
              </w:rPr>
              <w:lastRenderedPageBreak/>
              <w:t>ities/regulation/Pages/default.aspx</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Steinstra, Deborah and Gucciardi Enza. “Disabilities.”  Ontario Women’s Health Status Report. Ontario: Ontario Women’s Health Council, 2002. 146 - 161.</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Tax Detective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http://www.taxdetective.ca/articles/article/1482041/20629.htm</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Tax Tips</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http://www.taxtips.ca/filing/eligiblemedicalexpenses.htm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The Canadian Legal Information Institute</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http://www.canlii.org/en/qc/laws/stat/rsq-c-e-20.1/latest/,</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The World Health Organization's Report on Disability. Disabled World. 2011. Web. 22 Apr. 2015. http://www.disabled-world.com/disability/statistics/who-disability.php</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Transport for All. Sick of Waiting: A Report on Patient Transport in London. October 2014.</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http://www.transportforall.org.uk/files/sickofwaitingreportaccessibleversion.doc</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U.S Department of Justice</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http://www.ada.gov/cguide.htm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U.S. Department of Housing and Urban Development</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http://portal.hud.gov/hudportal/HUD?src=/program_offices/fair_housing_equal_opp/FHLaws/yourrights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United Kingdom. Healthcare for All: Report of the Independent Inquiry into Access to Healthcare for People with Learning Disabilities. By Sir Jonathan Michael and the Independent Inquiry into Access to Healthcare for People with Learning Disabilities. National Archives, 30 July 2008. Web. 21 Apr. 2015</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http://webarchive.nationalarchives.gov.uk/20130107105354/http:/www.dh.gov.uk/en/Publicationsandstatistics/Publications/PublicationsPolicyAndGuidance/DH_099255.</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United Nations Convention on the Rights of Persons with Disabilities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http://www.un.org/disabilities/convention/conventionfull.shtml</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United States Access Board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http://www.access-board.gov/guidelines-and-standards/health-care/about-prescription-drug-container-labels/working-group-recommendations#best</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United States Access Board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http://www.access-board.gov/guidelines-and-standards/health-care/about-this-rulemaking/background/rehbilitation-act-section-510</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lastRenderedPageBreak/>
              <w:t>United States Access Board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http://www.access-board.gov/guidelines-and-standards/buildings-and-sites/about-the-aba-standards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United States Access Board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http://www.access-board.gov/guidelines-and-standards/buildings-and-sites/about-the-aba-standards/aba-standards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United States Access Board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http://www.access-board.gov/guidelines-and-standards/buildings-and-sites/about-the-aba-standards/ufas#intro</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United States Access Board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http://www.access-board.gov/guidelines-and-standards/health-care</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United States Access Board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http://www.access-board.gov/guidelines-and-standards/health-care/about-this-rulemaking</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United States Access Board</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http://www.access-board.gov/guidelines-and-standards/health-care/about-this-rulemaking/advisory-committee-final-report/executive-summary</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United States Access Board</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http://www.access-board.gov/guidelines-and-standards/health-care/about-prescription-drug-container-labels</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t>United States Department of Justice Civil Rights</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http://www.ada.gov/</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United States Department of Labor</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http://www.dol.gov/oasam/regs/statutes/sec504.htm</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US"/>
              </w:rPr>
              <w:lastRenderedPageBreak/>
              <w:t>Veterans Affairs Canada</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http://www.veterans.gc.ca/eng/services/after-injury/disability-benefits</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Whitehorse Housing Adequacy Study, 2010 (Yukon)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 xml:space="preserve">http://www.hss.gov.yk.ca/pdf/Whse_Housing_Adequacy-FINAL-DEC_03-10.pdf </w:t>
            </w: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Working Group Recommendations on Best Practices for Making Prescription Drug Container Label Information Accessible to Persons who are blind or Visually Impaired or who are Elderly</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 xml:space="preserve">http://www.access-board.gov/guidelines-and-standards/health-care/about-prescription-drug-container-labels/working-group-recommendations </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US"/>
              </w:rPr>
              <w:t>World Health Organization</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p>
        </w:tc>
      </w:tr>
      <w:tr w:rsidR="00893821" w:rsidRPr="00A4603B" w:rsidTr="00B95F1C">
        <w:tc>
          <w:tcPr>
            <w:cnfStyle w:val="001000000000" w:firstRow="0" w:lastRow="0" w:firstColumn="1" w:lastColumn="0" w:oddVBand="0" w:evenVBand="0" w:oddHBand="0" w:evenHBand="0" w:firstRowFirstColumn="0" w:firstRowLastColumn="0" w:lastRowFirstColumn="0" w:lastRowLastColumn="0"/>
            <w:tcW w:w="3415" w:type="dxa"/>
          </w:tcPr>
          <w:p w:rsidR="00893821" w:rsidRPr="00A4603B" w:rsidRDefault="00893821" w:rsidP="005A3CF1">
            <w:pPr>
              <w:spacing w:after="200" w:line="276" w:lineRule="auto"/>
              <w:rPr>
                <w:lang w:val="en-US"/>
              </w:rPr>
            </w:pPr>
            <w:r w:rsidRPr="00A4603B">
              <w:rPr>
                <w:lang w:val="en"/>
              </w:rPr>
              <w:t>World Report on Disability. Rep. WHO. World Health Organization, 2011. Web. 22 Apr. 2015</w:t>
            </w:r>
          </w:p>
        </w:tc>
        <w:tc>
          <w:tcPr>
            <w:tcW w:w="5935" w:type="dxa"/>
          </w:tcPr>
          <w:p w:rsidR="00893821" w:rsidRPr="00A4603B" w:rsidRDefault="00893821" w:rsidP="005A3CF1">
            <w:pPr>
              <w:spacing w:after="200" w:line="276" w:lineRule="auto"/>
              <w:cnfStyle w:val="000000000000" w:firstRow="0" w:lastRow="0" w:firstColumn="0" w:lastColumn="0" w:oddVBand="0" w:evenVBand="0" w:oddHBand="0" w:evenHBand="0" w:firstRowFirstColumn="0" w:firstRowLastColumn="0" w:lastRowFirstColumn="0" w:lastRowLastColumn="0"/>
              <w:rPr>
                <w:u w:val="single"/>
                <w:lang w:val="en-US"/>
              </w:rPr>
            </w:pPr>
            <w:r w:rsidRPr="00A4603B">
              <w:rPr>
                <w:u w:val="single"/>
                <w:lang w:val="en-US"/>
              </w:rPr>
              <w:t>http://www.who.int/disabilities/world_report/2011/en.</w:t>
            </w:r>
          </w:p>
        </w:tc>
      </w:tr>
      <w:tr w:rsidR="00893821" w:rsidRPr="00A4603B" w:rsidTr="00B95F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5" w:type="dxa"/>
            <w:tcBorders>
              <w:top w:val="none" w:sz="0" w:space="0" w:color="auto"/>
              <w:left w:val="none" w:sz="0" w:space="0" w:color="auto"/>
              <w:bottom w:val="none" w:sz="0" w:space="0" w:color="auto"/>
            </w:tcBorders>
          </w:tcPr>
          <w:p w:rsidR="00893821" w:rsidRPr="00A4603B" w:rsidRDefault="00893821" w:rsidP="005A3CF1">
            <w:pPr>
              <w:spacing w:after="200" w:line="276" w:lineRule="auto"/>
              <w:rPr>
                <w:lang w:val="en-US"/>
              </w:rPr>
            </w:pPr>
            <w:r w:rsidRPr="00A4603B">
              <w:rPr>
                <w:lang w:val="en"/>
              </w:rPr>
              <w:t>Zarocostas, John. "World's One Billion People with Disabilities Face Widespread Barriers to Healthcare." British Medical Journal (10 June 2011): n. pag. The BMJ. British Medical Journal, 10 June 2011. Web. 22 Apr. 2015</w:t>
            </w:r>
          </w:p>
        </w:tc>
        <w:tc>
          <w:tcPr>
            <w:tcW w:w="5935" w:type="dxa"/>
            <w:tcBorders>
              <w:top w:val="none" w:sz="0" w:space="0" w:color="auto"/>
              <w:bottom w:val="none" w:sz="0" w:space="0" w:color="auto"/>
              <w:right w:val="none" w:sz="0" w:space="0" w:color="auto"/>
            </w:tcBorders>
          </w:tcPr>
          <w:p w:rsidR="00893821" w:rsidRPr="00A4603B" w:rsidRDefault="00893821" w:rsidP="005A3CF1">
            <w:pPr>
              <w:spacing w:after="200" w:line="276" w:lineRule="auto"/>
              <w:cnfStyle w:val="000000100000" w:firstRow="0" w:lastRow="0" w:firstColumn="0" w:lastColumn="0" w:oddVBand="0" w:evenVBand="0" w:oddHBand="1" w:evenHBand="0" w:firstRowFirstColumn="0" w:firstRowLastColumn="0" w:lastRowFirstColumn="0" w:lastRowLastColumn="0"/>
              <w:rPr>
                <w:u w:val="single"/>
                <w:lang w:val="en-US"/>
              </w:rPr>
            </w:pPr>
            <w:r w:rsidRPr="00A4603B">
              <w:rPr>
                <w:u w:val="single"/>
                <w:lang w:val="en-US"/>
              </w:rPr>
              <w:t>http://www.bmj.com/content/342/bmj.d3618.</w:t>
            </w:r>
          </w:p>
        </w:tc>
      </w:tr>
      <w:bookmarkEnd w:id="77"/>
    </w:tbl>
    <w:p w:rsidR="00893821" w:rsidRPr="00A4603B" w:rsidRDefault="00893821" w:rsidP="00893821">
      <w:r w:rsidRPr="00A4603B">
        <w:lastRenderedPageBreak/>
        <w:br w:type="page"/>
      </w:r>
    </w:p>
    <w:p w:rsidR="00893821" w:rsidRPr="00A4603B" w:rsidRDefault="00B95F1C" w:rsidP="00B95F1C">
      <w:pPr>
        <w:pStyle w:val="Heading1"/>
      </w:pPr>
      <w:bookmarkStart w:id="78" w:name="_Toc424669259"/>
      <w:bookmarkStart w:id="79" w:name="_Toc457553290"/>
      <w:r>
        <w:lastRenderedPageBreak/>
        <w:t xml:space="preserve">10. </w:t>
      </w:r>
      <w:r w:rsidR="00893821" w:rsidRPr="00A4603B">
        <w:t>Appendix – Research Findings</w:t>
      </w:r>
      <w:bookmarkEnd w:id="78"/>
      <w:bookmarkEnd w:id="79"/>
    </w:p>
    <w:p w:rsidR="00893821" w:rsidRPr="00A4603B" w:rsidRDefault="00893821" w:rsidP="00893821">
      <w:r w:rsidRPr="00A4603B">
        <w:t xml:space="preserve">This section includes the detailed research findings for each jurisdiction, categorized into policies, regulations, standards and programs in accessibility as appropriate. KPMG has not independently verified the accuracy or completeness of the information. The research presented is attributed to the organizations, entities, authors and stakeholders cited and not the opinions of KPMG. </w:t>
      </w:r>
    </w:p>
    <w:p w:rsidR="00893821" w:rsidRPr="00A4603B" w:rsidRDefault="00893821" w:rsidP="00893821"/>
    <w:p w:rsidR="00893821" w:rsidRPr="00A4603B" w:rsidRDefault="00893821" w:rsidP="00B95F1C">
      <w:pPr>
        <w:pStyle w:val="Heading2"/>
      </w:pPr>
      <w:bookmarkStart w:id="80" w:name="_Toc418101108"/>
      <w:bookmarkStart w:id="81" w:name="_Toc421805835"/>
      <w:bookmarkStart w:id="82" w:name="_Toc424669260"/>
      <w:bookmarkStart w:id="83" w:name="_Toc457553291"/>
      <w:r w:rsidRPr="00A4603B">
        <w:t>Canada</w:t>
      </w:r>
      <w:bookmarkEnd w:id="80"/>
      <w:bookmarkEnd w:id="81"/>
      <w:bookmarkEnd w:id="82"/>
      <w:bookmarkEnd w:id="83"/>
    </w:p>
    <w:p w:rsidR="00893821" w:rsidRPr="00A4603B" w:rsidRDefault="00893821" w:rsidP="00B95F1C">
      <w:pPr>
        <w:pStyle w:val="Heading3"/>
      </w:pPr>
      <w:bookmarkStart w:id="84" w:name="_Toc418101109"/>
      <w:r w:rsidRPr="00A4603B">
        <w:t>Legislation, Policies and Regulations</w:t>
      </w:r>
      <w:bookmarkEnd w:id="84"/>
    </w:p>
    <w:p w:rsidR="00893821" w:rsidRPr="00A4603B" w:rsidRDefault="00893821" w:rsidP="00893821">
      <w:r w:rsidRPr="00A4603B">
        <w:t>Matters concerning persons with disabilities fall under both federal and provincial levels of government, who work together and in collaboration with the non-profit and private sectors, and assume complementary roles in promoting and supporting the full participation of persons with disabilities in all dimensions of Canadian society. Accordingly, these matters are implemented through constitutional and statutory protections, and legislative, administrative and other measures including:</w:t>
      </w:r>
    </w:p>
    <w:p w:rsidR="00893821" w:rsidRPr="00B95F1C" w:rsidRDefault="00893821" w:rsidP="00BC5BD4">
      <w:pPr>
        <w:pStyle w:val="ListParagraph"/>
        <w:numPr>
          <w:ilvl w:val="0"/>
          <w:numId w:val="49"/>
        </w:numPr>
        <w:rPr>
          <w:b/>
        </w:rPr>
      </w:pPr>
      <w:r w:rsidRPr="00B95F1C">
        <w:rPr>
          <w:b/>
        </w:rPr>
        <w:t xml:space="preserve">Canadian Bill of Rights: </w:t>
      </w:r>
      <w:r w:rsidRPr="00B95F1C">
        <w:rPr>
          <w:i/>
        </w:rPr>
        <w:t>Canadian Bill of Rights</w:t>
      </w:r>
      <w:r w:rsidRPr="00A4603B">
        <w:t xml:space="preserve"> (the "Bill of Rights"), applies to federal laws and protects fundamental freedoms, legal rights and equality before the law.</w:t>
      </w:r>
    </w:p>
    <w:p w:rsidR="00893821" w:rsidRPr="00B95F1C" w:rsidRDefault="00893821" w:rsidP="00BC5BD4">
      <w:pPr>
        <w:pStyle w:val="ListParagraph"/>
        <w:numPr>
          <w:ilvl w:val="0"/>
          <w:numId w:val="49"/>
        </w:numPr>
        <w:rPr>
          <w:b/>
        </w:rPr>
      </w:pPr>
      <w:r w:rsidRPr="00B95F1C">
        <w:rPr>
          <w:b/>
        </w:rPr>
        <w:t xml:space="preserve">Canada Act, 1982: </w:t>
      </w:r>
      <w:r w:rsidRPr="00A4603B">
        <w:t xml:space="preserve">Schedule B to the </w:t>
      </w:r>
      <w:r w:rsidRPr="00B95F1C">
        <w:rPr>
          <w:i/>
        </w:rPr>
        <w:t>Canada Act 1982</w:t>
      </w:r>
      <w:r w:rsidRPr="00A4603B">
        <w:t xml:space="preserve"> (the "Charter"), applies to all government action and guarantees all individuals fundamental freedoms and rights, including an explicit equality rights guarantee for persons with disabilities.</w:t>
      </w:r>
    </w:p>
    <w:p w:rsidR="00893821" w:rsidRPr="00A4603B" w:rsidRDefault="00893821" w:rsidP="00B95F1C">
      <w:pPr>
        <w:pStyle w:val="Heading3"/>
      </w:pPr>
      <w:bookmarkStart w:id="85" w:name="_Toc417393243"/>
      <w:bookmarkStart w:id="86" w:name="_Toc417645297"/>
      <w:bookmarkStart w:id="87" w:name="_Toc418101110"/>
      <w:r w:rsidRPr="00A4603B">
        <w:t>Canadian Human Rights Act</w:t>
      </w:r>
      <w:bookmarkEnd w:id="85"/>
      <w:bookmarkEnd w:id="86"/>
      <w:r w:rsidRPr="00A4603B">
        <w:t xml:space="preserve"> </w:t>
      </w:r>
      <w:r w:rsidRPr="00A4603B">
        <w:rPr>
          <w:vertAlign w:val="superscript"/>
        </w:rPr>
        <w:footnoteReference w:id="63"/>
      </w:r>
      <w:bookmarkEnd w:id="87"/>
    </w:p>
    <w:p w:rsidR="00893821" w:rsidRPr="00A4603B" w:rsidRDefault="00893821" w:rsidP="00893821">
      <w:r w:rsidRPr="00A4603B">
        <w:t xml:space="preserve">The </w:t>
      </w:r>
      <w:r w:rsidRPr="00A4603B">
        <w:rPr>
          <w:i/>
        </w:rPr>
        <w:t>Canadian Human Rights Act</w:t>
      </w:r>
      <w:r w:rsidRPr="00A4603B">
        <w:t xml:space="preserve"> (CHRA) prohibits discrimination on grounds such as disability in employment, the provision of goods, services and facilities customarily available to the public, and accommodation. It applies to the Government of Canada, First Nations governments, and federally regulated private businesses, including in banking, airline, telecommunications and broadcasting and inter-provincial transportation sectors. All provinces/territories have similar human rights legislation that prohibits discrimination within their own jurisdictions in areas such as employment and access to goods, services and facilities generally available to the public, including housing.</w:t>
      </w:r>
    </w:p>
    <w:p w:rsidR="00893821" w:rsidRPr="00A4603B" w:rsidRDefault="00893821" w:rsidP="00893821">
      <w:r w:rsidRPr="00A4603B">
        <w:lastRenderedPageBreak/>
        <w:t>There are specific federal-provincial/territorial laws (F-P/T) governing areas that impact persons with disabilities, for example, social benefits programs, disability insurance plans, housing programs; and a broad range of F-P/T policies, programs and services aimed at improving accessibility, providing financial and other supports to persons with disabilities and reducing barriers to their full participation in Canadian society.</w:t>
      </w:r>
    </w:p>
    <w:p w:rsidR="00893821" w:rsidRPr="00A4603B" w:rsidRDefault="00893821" w:rsidP="00B95F1C">
      <w:pPr>
        <w:pStyle w:val="Heading3"/>
      </w:pPr>
      <w:bookmarkStart w:id="88" w:name="_Toc417393245"/>
      <w:bookmarkStart w:id="89" w:name="_Toc417645299"/>
      <w:bookmarkStart w:id="90" w:name="_Toc418101111"/>
      <w:r w:rsidRPr="00A4603B">
        <w:t>Accessibility Standard for Real Property (ASRP)</w:t>
      </w:r>
      <w:bookmarkEnd w:id="88"/>
      <w:bookmarkEnd w:id="89"/>
      <w:bookmarkEnd w:id="90"/>
      <w:r w:rsidRPr="00A4603B">
        <w:rPr>
          <w:vertAlign w:val="superscript"/>
        </w:rPr>
        <w:footnoteReference w:id="64"/>
      </w:r>
    </w:p>
    <w:p w:rsidR="00893821" w:rsidRPr="00A4603B" w:rsidRDefault="00893821" w:rsidP="00893821">
      <w:r w:rsidRPr="00A4603B">
        <w:t xml:space="preserve">Consistent with the Canadian Human Rights Act, the Government of Canada's Accessibility Standard for Real Property (ASRP) provides the minimum requirements for barrier-free access to, and use of, federal real property in Canada and abroad. The Standard applies to the acquisition, design, construction and renovation of buildings, which, in conjunction with other technical standards, aims to ensure accessibility to persons with a range of physical, cognitive and sensory disabilities. </w:t>
      </w:r>
    </w:p>
    <w:p w:rsidR="00893821" w:rsidRPr="00A4603B" w:rsidRDefault="00893821" w:rsidP="00893821">
      <w:r w:rsidRPr="00A4603B">
        <w:t>In addition to the ASRP, the Government of Canada follows the Canadian Standards Association's code for accessible design for the building standard when building and/or retrofitting chanceries and official residences abroad.</w:t>
      </w:r>
    </w:p>
    <w:p w:rsidR="00893821" w:rsidRPr="00A4603B" w:rsidRDefault="00893821" w:rsidP="00B95F1C">
      <w:pPr>
        <w:pStyle w:val="Heading3"/>
        <w:rPr>
          <w:lang w:val="en"/>
        </w:rPr>
      </w:pPr>
      <w:bookmarkStart w:id="91" w:name="_Toc417393246"/>
      <w:bookmarkStart w:id="92" w:name="_Toc417645300"/>
      <w:bookmarkStart w:id="93" w:name="_Toc418101112"/>
      <w:r w:rsidRPr="00A4603B">
        <w:rPr>
          <w:lang w:val="en"/>
        </w:rPr>
        <w:t>Line 369 - Home Buyers' Amount</w:t>
      </w:r>
      <w:bookmarkEnd w:id="91"/>
      <w:bookmarkEnd w:id="92"/>
      <w:r w:rsidRPr="00A4603B">
        <w:rPr>
          <w:vertAlign w:val="superscript"/>
          <w:lang w:val="en"/>
        </w:rPr>
        <w:footnoteReference w:id="65"/>
      </w:r>
      <w:bookmarkEnd w:id="93"/>
    </w:p>
    <w:p w:rsidR="00893821" w:rsidRPr="00A4603B" w:rsidRDefault="00893821" w:rsidP="00893821">
      <w:r w:rsidRPr="00A4603B">
        <w:t>The Government of Canada provides tax relief to persons with disabilities for costs related to buying or building a home that is more accessible or better suited to their needs.</w:t>
      </w:r>
    </w:p>
    <w:p w:rsidR="00893821" w:rsidRPr="00A4603B" w:rsidRDefault="00893821" w:rsidP="00893821"/>
    <w:p w:rsidR="00893821" w:rsidRPr="00A4603B" w:rsidRDefault="00893821" w:rsidP="00B95F1C">
      <w:pPr>
        <w:pStyle w:val="Heading3"/>
      </w:pPr>
      <w:bookmarkStart w:id="94" w:name="_Toc417393247"/>
      <w:bookmarkStart w:id="95" w:name="_Toc417645301"/>
      <w:bookmarkStart w:id="96" w:name="_Toc418101113"/>
      <w:r w:rsidRPr="00A4603B">
        <w:t>Tax Deductions on House Renovations</w:t>
      </w:r>
      <w:bookmarkEnd w:id="94"/>
      <w:bookmarkEnd w:id="95"/>
      <w:r w:rsidRPr="00A4603B">
        <w:rPr>
          <w:vertAlign w:val="superscript"/>
        </w:rPr>
        <w:footnoteReference w:id="66"/>
      </w:r>
      <w:bookmarkEnd w:id="96"/>
    </w:p>
    <w:p w:rsidR="00893821" w:rsidRPr="00A4603B" w:rsidRDefault="00893821" w:rsidP="00893821">
      <w:r w:rsidRPr="00A4603B">
        <w:t xml:space="preserve">There are various medical expense tax credits available to taxpayers with disabilities or other impairments or infirmities and the families who support them. One can claim a medical expense for renovations or alterations to the dwelling of a patient who lacks normal physical development or has a severe and prolonged mobility impairment to enable the person to gain access to, or to be mobile or functional within the dwelling. If one builds a new home, he/she can expense the incremental costs of new construction </w:t>
      </w:r>
      <w:r w:rsidRPr="00A4603B">
        <w:lastRenderedPageBreak/>
        <w:t xml:space="preserve">and there is a provision for $2,000 of moving costs. Driveway alterations to facilitate access to a bus or purchase (or to alter within 6 months of purchase) a vehicle for a wheelchair ($5,000 or 20% of cost) could also qualify as a medical expense. </w:t>
      </w:r>
    </w:p>
    <w:p w:rsidR="00893821" w:rsidRPr="00A4603B" w:rsidRDefault="00893821" w:rsidP="00893821">
      <w:r w:rsidRPr="00A4603B">
        <w:t xml:space="preserve">There is a court case, Lejeune, H. V. The Queen (TCC) September 1, 2004 where the appeal was allowed to include the full cost for renovations ($10,531.62) to accommodate a spouse and mother-in-law who moved in to care for the spouse in order for the taxpayer to be functional in her own home. </w:t>
      </w:r>
    </w:p>
    <w:p w:rsidR="00893821" w:rsidRPr="00A4603B" w:rsidRDefault="00893821" w:rsidP="00B95F1C">
      <w:pPr>
        <w:pStyle w:val="Heading3"/>
      </w:pPr>
      <w:bookmarkStart w:id="97" w:name="_Toc417393248"/>
      <w:bookmarkStart w:id="98" w:name="_Toc417645302"/>
      <w:bookmarkStart w:id="99" w:name="_Toc418101114"/>
      <w:r w:rsidRPr="00A4603B">
        <w:t>Elevating Devices Safety Regulation</w:t>
      </w:r>
      <w:bookmarkEnd w:id="97"/>
      <w:bookmarkEnd w:id="98"/>
      <w:r w:rsidRPr="00A4603B">
        <w:rPr>
          <w:vertAlign w:val="superscript"/>
        </w:rPr>
        <w:footnoteReference w:id="67"/>
      </w:r>
      <w:bookmarkEnd w:id="99"/>
    </w:p>
    <w:p w:rsidR="00893821" w:rsidRPr="00A4603B" w:rsidRDefault="00893821" w:rsidP="00893821">
      <w:r w:rsidRPr="00A4603B">
        <w:t>The CSA B355-09 code (lifts for persons with physical disabilities) has been adopted into the Elevating Devices Safety Regulation, effective July 2, 2013. The changes include the following:</w:t>
      </w:r>
    </w:p>
    <w:p w:rsidR="00893821" w:rsidRPr="00A4603B" w:rsidRDefault="00893821" w:rsidP="00BC5BD4">
      <w:pPr>
        <w:pStyle w:val="ListParagraph"/>
        <w:numPr>
          <w:ilvl w:val="0"/>
          <w:numId w:val="50"/>
        </w:numPr>
      </w:pPr>
      <w:r w:rsidRPr="00A4603B">
        <w:t>Adoption of the 2009 edition of the CSA B355 code (Lifts for persons with physical disabilities).</w:t>
      </w:r>
    </w:p>
    <w:p w:rsidR="00893821" w:rsidRPr="00A4603B" w:rsidRDefault="00893821" w:rsidP="00BC5BD4">
      <w:pPr>
        <w:pStyle w:val="ListParagraph"/>
        <w:numPr>
          <w:ilvl w:val="0"/>
          <w:numId w:val="50"/>
        </w:numPr>
      </w:pPr>
      <w:r w:rsidRPr="00A4603B">
        <w:t>A requirement for contractors to keep a maintenance log book for each device that the</w:t>
      </w:r>
    </w:p>
    <w:p w:rsidR="00893821" w:rsidRPr="00A4603B" w:rsidRDefault="00893821" w:rsidP="00BC5BD4">
      <w:pPr>
        <w:pStyle w:val="ListParagraph"/>
        <w:numPr>
          <w:ilvl w:val="0"/>
          <w:numId w:val="50"/>
        </w:numPr>
      </w:pPr>
      <w:r w:rsidRPr="00A4603B">
        <w:t>CSA B355 code applies.</w:t>
      </w:r>
      <w:r w:rsidRPr="00A4603B">
        <w:t></w:t>
      </w:r>
    </w:p>
    <w:p w:rsidR="00893821" w:rsidRPr="00A4603B" w:rsidRDefault="00893821" w:rsidP="00BC5BD4">
      <w:pPr>
        <w:pStyle w:val="ListParagraph"/>
        <w:numPr>
          <w:ilvl w:val="0"/>
          <w:numId w:val="50"/>
        </w:numPr>
      </w:pPr>
      <w:r w:rsidRPr="00A4603B">
        <w:t>A requirement for owners of an enclosed vertical or stair lift, where the CSA B355 code applies, must ensure that there is an effective two-way communication system installed.</w:t>
      </w:r>
    </w:p>
    <w:p w:rsidR="00893821" w:rsidRPr="00A4603B" w:rsidRDefault="00893821" w:rsidP="00BC5BD4">
      <w:pPr>
        <w:pStyle w:val="ListParagraph"/>
        <w:numPr>
          <w:ilvl w:val="0"/>
          <w:numId w:val="50"/>
        </w:numPr>
      </w:pPr>
      <w:r w:rsidRPr="00A4603B">
        <w:t>Repeal of requirements now specified within the adopted code. This includes the repeal of section 23 - testing requirements for safeties and governors, section 45 - emergency service requirements for existing elevator retrofitted to class C firefighting operations, and section 54(4) - rupture valve requirements for hydraulic elevating devices utilizing flexible hoses.</w:t>
      </w:r>
    </w:p>
    <w:p w:rsidR="00893821" w:rsidRPr="00A4603B" w:rsidRDefault="00893821" w:rsidP="00BC5BD4">
      <w:pPr>
        <w:pStyle w:val="ListParagraph"/>
        <w:numPr>
          <w:ilvl w:val="0"/>
          <w:numId w:val="50"/>
        </w:numPr>
      </w:pPr>
      <w:r w:rsidRPr="00A4603B">
        <w:t>Repeal of section 35(6) which specified affidavit submission requirements for personnel hoist contractors prior to extending the hoist</w:t>
      </w:r>
    </w:p>
    <w:p w:rsidR="00893821" w:rsidRPr="00A4603B" w:rsidRDefault="00893821" w:rsidP="00893821">
      <w:r w:rsidRPr="00A4603B">
        <w:t>The code adoption is not retroactive: Applicable elevating devices with installation permit dates prior to July 2, 2013 do not need to comply with the above requirements.</w:t>
      </w:r>
    </w:p>
    <w:p w:rsidR="00893821" w:rsidRPr="00A4603B" w:rsidRDefault="00893821" w:rsidP="00B95F1C">
      <w:pPr>
        <w:pStyle w:val="Heading3"/>
      </w:pPr>
      <w:bookmarkStart w:id="100" w:name="_Toc417393249"/>
      <w:bookmarkStart w:id="101" w:name="_Toc417645303"/>
      <w:bookmarkStart w:id="102" w:name="_Toc418101115"/>
      <w:r w:rsidRPr="00A4603B">
        <w:t>Canada Health Act</w:t>
      </w:r>
      <w:bookmarkEnd w:id="100"/>
      <w:bookmarkEnd w:id="101"/>
      <w:r w:rsidRPr="00A4603B">
        <w:rPr>
          <w:vertAlign w:val="superscript"/>
        </w:rPr>
        <w:footnoteReference w:id="68"/>
      </w:r>
      <w:bookmarkEnd w:id="102"/>
    </w:p>
    <w:p w:rsidR="00893821" w:rsidRPr="00A4603B" w:rsidRDefault="00893821" w:rsidP="00893821">
      <w:r w:rsidRPr="00A4603B">
        <w:t>The Act provides funding for in-home care or institutional care. It originated as the Adult Care Program but changed name post-1998.</w:t>
      </w:r>
    </w:p>
    <w:p w:rsidR="00893821" w:rsidRPr="00A4603B" w:rsidRDefault="00893821" w:rsidP="00B95F1C">
      <w:pPr>
        <w:pStyle w:val="Heading3"/>
      </w:pPr>
      <w:bookmarkStart w:id="103" w:name="_Toc417393251"/>
      <w:bookmarkStart w:id="104" w:name="_Toc417645305"/>
      <w:bookmarkStart w:id="105" w:name="_Toc418101116"/>
      <w:r w:rsidRPr="00A4603B">
        <w:lastRenderedPageBreak/>
        <w:t>Employment Equity Act</w:t>
      </w:r>
      <w:bookmarkEnd w:id="103"/>
      <w:bookmarkEnd w:id="104"/>
      <w:bookmarkEnd w:id="105"/>
    </w:p>
    <w:p w:rsidR="00893821" w:rsidRPr="00A4603B" w:rsidRDefault="00893821" w:rsidP="00893821">
      <w:pPr>
        <w:rPr>
          <w:lang w:val="en"/>
        </w:rPr>
      </w:pPr>
      <w:r w:rsidRPr="00A4603B">
        <w:rPr>
          <w:lang w:val="en"/>
        </w:rPr>
        <w:t xml:space="preserve">The federal </w:t>
      </w:r>
      <w:r w:rsidRPr="00A4603B">
        <w:rPr>
          <w:i/>
          <w:iCs/>
          <w:lang w:val="en"/>
        </w:rPr>
        <w:t>Employment Equity Act</w:t>
      </w:r>
      <w:r w:rsidRPr="00A4603B">
        <w:rPr>
          <w:lang w:val="en"/>
        </w:rPr>
        <w:t xml:space="preserve"> requires federally regulated employers to achieve workplace equality and remove the barriers to employment experienced by persons with disabilities and other designated groups. The Public Service Commission of Canada (PSC), as the organization responsible for implementing those requirements for the federal government appointment system, has developed an appointment policy framework that incorporates the flexibilities of appointment measures allowed under the </w:t>
      </w:r>
      <w:r w:rsidRPr="00A4603B">
        <w:rPr>
          <w:i/>
          <w:iCs/>
          <w:lang w:val="en"/>
        </w:rPr>
        <w:t>Public Service Employment Act</w:t>
      </w:r>
      <w:r w:rsidRPr="00A4603B">
        <w:rPr>
          <w:lang w:val="en"/>
        </w:rPr>
        <w:t xml:space="preserve"> for employment equity purposes, as well as duty to accommodate requirements in all matters related to staffing. </w:t>
      </w:r>
    </w:p>
    <w:p w:rsidR="00893821" w:rsidRPr="00A4603B" w:rsidRDefault="00893821" w:rsidP="00893821">
      <w:pPr>
        <w:rPr>
          <w:lang w:val="en"/>
        </w:rPr>
      </w:pPr>
      <w:r w:rsidRPr="00A4603B">
        <w:rPr>
          <w:lang w:val="en"/>
        </w:rPr>
        <w:t xml:space="preserve">The </w:t>
      </w:r>
      <w:r w:rsidRPr="00A4603B">
        <w:rPr>
          <w:i/>
          <w:iCs/>
          <w:lang w:val="en"/>
        </w:rPr>
        <w:t>Policy on the Duty to Accommodate Persons with Disabilities</w:t>
      </w:r>
      <w:r w:rsidRPr="00A4603B">
        <w:rPr>
          <w:lang w:val="en"/>
        </w:rPr>
        <w:t xml:space="preserve"> outlines steps to achieve their full participation in the core public administration, such as providing and paying for technical aids, equipment, support materials and services for employees with disabilities.</w:t>
      </w:r>
    </w:p>
    <w:p w:rsidR="00893821" w:rsidRPr="00A4603B" w:rsidRDefault="00893821" w:rsidP="00B95F1C">
      <w:pPr>
        <w:pStyle w:val="Heading3"/>
      </w:pPr>
      <w:bookmarkStart w:id="106" w:name="_Toc418101117"/>
      <w:bookmarkStart w:id="107" w:name="_Toc417645308"/>
      <w:r w:rsidRPr="00A4603B">
        <w:t>Programs</w:t>
      </w:r>
      <w:bookmarkEnd w:id="106"/>
    </w:p>
    <w:p w:rsidR="00893821" w:rsidRPr="00A4603B" w:rsidRDefault="00893821" w:rsidP="00B95F1C">
      <w:pPr>
        <w:pStyle w:val="Heading4"/>
      </w:pPr>
      <w:bookmarkStart w:id="108" w:name="_Toc417645309"/>
      <w:bookmarkStart w:id="109" w:name="_Toc418101119"/>
      <w:bookmarkEnd w:id="107"/>
      <w:r w:rsidRPr="00A4603B">
        <w:t>Canadian National Health Insurance Program</w:t>
      </w:r>
      <w:r w:rsidRPr="00A4603B">
        <w:rPr>
          <w:vertAlign w:val="superscript"/>
        </w:rPr>
        <w:footnoteReference w:id="69"/>
      </w:r>
      <w:bookmarkEnd w:id="108"/>
      <w:bookmarkEnd w:id="109"/>
    </w:p>
    <w:p w:rsidR="00893821" w:rsidRPr="00A4603B" w:rsidRDefault="00893821" w:rsidP="00B95F1C">
      <w:r w:rsidRPr="00A4603B">
        <w:t>The Canadian National Health Insurance Program is also often times referred to as, 'Medicare,' and is designed to ensure that all Canadians have reasonable access to hospital and physician services which are medically necessary on a pre-paid basis. Instead of a single, National plan, Canada has a national program composed of thirteen interlocking provincial and territorial health insurance plans. These plans share specific features, as well as some basic standards of coverage. The principals they share have been framed by the Canada Health Act and are governed by the Canadian Health Care System. They are symbolic of the underlying Canadian values of solidarity and equity.</w:t>
      </w:r>
    </w:p>
    <w:p w:rsidR="00893821" w:rsidRPr="00A4603B" w:rsidRDefault="00893821" w:rsidP="00B95F1C"/>
    <w:p w:rsidR="00893821" w:rsidRPr="00A4603B" w:rsidRDefault="00893821" w:rsidP="00B95F1C">
      <w:r w:rsidRPr="00A4603B">
        <w:t>Federal and Provincial-Territorial Governments share the responsibilities and roles for Canada's health care system. In order for territorial and provincial health care insurance plans to qualify for their full share of federal cash contributions under the Canada Health Transfer (CHT), they must meet with the legislation, conditions and criteria set by federal health insurance under the Canada Health Act (CHA). Provincial and territorial governments bear the responsibility for organizing, delivering and managing health services provided to their residents.</w:t>
      </w:r>
    </w:p>
    <w:p w:rsidR="00893821" w:rsidRPr="00A4603B" w:rsidRDefault="00893821" w:rsidP="00B95F1C">
      <w:pPr>
        <w:pStyle w:val="Heading4"/>
      </w:pPr>
      <w:bookmarkStart w:id="110" w:name="_Toc417393250"/>
      <w:bookmarkStart w:id="111" w:name="_Toc417645304"/>
      <w:bookmarkStart w:id="112" w:name="_Toc418101121"/>
      <w:r w:rsidRPr="00A4603B">
        <w:t>Health Canada</w:t>
      </w:r>
      <w:bookmarkEnd w:id="110"/>
      <w:bookmarkEnd w:id="111"/>
      <w:bookmarkEnd w:id="112"/>
    </w:p>
    <w:p w:rsidR="00893821" w:rsidRPr="00A4603B" w:rsidRDefault="00893821" w:rsidP="00B95F1C">
      <w:r w:rsidRPr="00A4603B">
        <w:lastRenderedPageBreak/>
        <w:t>The First Nations and Inuit Health Branch of Health Canada makes reference to needs-based funding for non-insured health benefits for First Nations and Inuit, which would include non-insured health costs associated with a disability.</w:t>
      </w:r>
    </w:p>
    <w:p w:rsidR="00893821" w:rsidRPr="00A4603B" w:rsidRDefault="00893821" w:rsidP="00B95F1C">
      <w:pPr>
        <w:pStyle w:val="Heading4"/>
      </w:pPr>
      <w:bookmarkStart w:id="113" w:name="_Toc417645307"/>
      <w:bookmarkStart w:id="114" w:name="_Toc418101122"/>
      <w:bookmarkStart w:id="115" w:name="_Toc417393252"/>
      <w:bookmarkStart w:id="116" w:name="_Toc417645306"/>
      <w:bookmarkStart w:id="117" w:name="_Toc417393242"/>
      <w:bookmarkStart w:id="118" w:name="_Toc417645296"/>
      <w:bookmarkStart w:id="119" w:name="_Toc417393253"/>
      <w:bookmarkStart w:id="120" w:name="_Toc417645310"/>
      <w:r w:rsidRPr="00A4603B">
        <w:t>Pan-Canadian Health Human Resource Strategy</w:t>
      </w:r>
      <w:r w:rsidRPr="00A4603B">
        <w:rPr>
          <w:vertAlign w:val="superscript"/>
        </w:rPr>
        <w:footnoteReference w:id="70"/>
      </w:r>
      <w:bookmarkEnd w:id="113"/>
      <w:bookmarkEnd w:id="114"/>
    </w:p>
    <w:p w:rsidR="00893821" w:rsidRPr="00A4603B" w:rsidRDefault="00893821" w:rsidP="00B95F1C">
      <w:r w:rsidRPr="00A4603B">
        <w:t>The Government of Canada is committed to improving Canadians’ access to sustainable, publicly funded health care services for all Canadians. The move toward a dynamic Health Human Resource Strategy (HHRS) builds upon the important work of Commissioner Roy Romanow and the Senate Committee chaired by Michael Kirby, which reviewed Canada's current health-care system and made recommendations for its improvement. Building on the First Ministers' 2003 and 2004 Accord commitments to health human resources, the Pan Canadian HHRS was launched in 2004/05 to support effective co-ordination and collaborative health human resources planning across the country.</w:t>
      </w:r>
    </w:p>
    <w:p w:rsidR="00893821" w:rsidRPr="00A4603B" w:rsidRDefault="00893821" w:rsidP="00BC5BD4">
      <w:pPr>
        <w:pStyle w:val="ListParagraph"/>
        <w:numPr>
          <w:ilvl w:val="0"/>
          <w:numId w:val="51"/>
        </w:numPr>
      </w:pPr>
      <w:r w:rsidRPr="00B95F1C">
        <w:rPr>
          <w:b/>
        </w:rPr>
        <w:t>Objective/Vision:</w:t>
      </w:r>
      <w:r w:rsidRPr="00A4603B">
        <w:t xml:space="preserve"> Canada will attract, prepare, deploy and retain highly skilled health care providers to give Canadians access to appropriate, timely, effective care now and in the future.</w:t>
      </w:r>
    </w:p>
    <w:p w:rsidR="00893821" w:rsidRPr="00A4603B" w:rsidRDefault="00893821" w:rsidP="00BC5BD4">
      <w:pPr>
        <w:pStyle w:val="ListParagraph"/>
        <w:numPr>
          <w:ilvl w:val="0"/>
          <w:numId w:val="51"/>
        </w:numPr>
      </w:pPr>
      <w:r w:rsidRPr="00B95F1C">
        <w:rPr>
          <w:b/>
        </w:rPr>
        <w:t>Strategic Directions:</w:t>
      </w:r>
      <w:r w:rsidRPr="00A4603B">
        <w:t xml:space="preserve"> To achieve the Strategy's vision, Health Canada is working with the provinces, territories and other key health-related organizations to improve health human resource planning and coordination. The HHRS is pursing four key strategic directions:</w:t>
      </w:r>
    </w:p>
    <w:p w:rsidR="00893821" w:rsidRPr="00A4603B" w:rsidRDefault="00893821" w:rsidP="00BC5BD4">
      <w:pPr>
        <w:pStyle w:val="ListParagraph"/>
        <w:numPr>
          <w:ilvl w:val="1"/>
          <w:numId w:val="51"/>
        </w:numPr>
      </w:pPr>
      <w:r w:rsidRPr="00A4603B">
        <w:t>Supply of Health Providers: to increase the number of qualified providers entering the health workforce;</w:t>
      </w:r>
    </w:p>
    <w:p w:rsidR="00893821" w:rsidRPr="00A4603B" w:rsidRDefault="00893821" w:rsidP="00BC5BD4">
      <w:pPr>
        <w:pStyle w:val="ListParagraph"/>
        <w:numPr>
          <w:ilvl w:val="1"/>
          <w:numId w:val="51"/>
        </w:numPr>
      </w:pPr>
      <w:r w:rsidRPr="00A4603B">
        <w:t>More Effective Use of Skills: to increase productivity of health care providers by making full use of their skills; and to improve access to health care services for all Canadians, particularly in underserved areas, by addressing the maldistribution of health human resources;</w:t>
      </w:r>
    </w:p>
    <w:p w:rsidR="00893821" w:rsidRPr="00A4603B" w:rsidRDefault="00893821" w:rsidP="00BC5BD4">
      <w:pPr>
        <w:pStyle w:val="ListParagraph"/>
        <w:numPr>
          <w:ilvl w:val="1"/>
          <w:numId w:val="51"/>
        </w:numPr>
      </w:pPr>
      <w:r w:rsidRPr="00A4603B">
        <w:t xml:space="preserve">Creating healthy, supportive, learning workplaces: to enhance working and learning conditions to maintain an experienced, dedicated workforce with the skills to provide high quality, safe, timely care; and </w:t>
      </w:r>
    </w:p>
    <w:p w:rsidR="00893821" w:rsidRPr="00A4603B" w:rsidRDefault="00893821" w:rsidP="00BC5BD4">
      <w:pPr>
        <w:pStyle w:val="ListParagraph"/>
        <w:numPr>
          <w:ilvl w:val="1"/>
          <w:numId w:val="51"/>
        </w:numPr>
      </w:pPr>
      <w:r w:rsidRPr="00A4603B">
        <w:t xml:space="preserve">More effective planning and forecasting: to develop the capacity for more effective health human resources planning and forecasting to support an affordable, sustainable health care system. </w:t>
      </w:r>
    </w:p>
    <w:p w:rsidR="00893821" w:rsidRPr="00A4603B" w:rsidRDefault="00893821" w:rsidP="00B95F1C"/>
    <w:p w:rsidR="00893821" w:rsidRPr="00A4603B" w:rsidRDefault="00893821" w:rsidP="00B95F1C">
      <w:r w:rsidRPr="00A4603B">
        <w:lastRenderedPageBreak/>
        <w:t>Health Canada and its partners are pursuing a range of targeted strategies over the short term, designed to increase supply, make more effective use of the workforce’s skills, and provide the ongoing support and education to promote high quality care and effective HHR planning, thus optimizing the Canadian health workforce. Health Canada administers HHRS under its Health Care Policy Contribution Program (HCPCP). Eligibility criteria are available through the HCPCP web page.</w:t>
      </w:r>
    </w:p>
    <w:p w:rsidR="00893821" w:rsidRPr="00A4603B" w:rsidRDefault="00893821" w:rsidP="00B95F1C">
      <w:pPr>
        <w:pStyle w:val="Heading4"/>
      </w:pPr>
      <w:bookmarkStart w:id="121" w:name="_Toc418101118"/>
      <w:bookmarkStart w:id="122" w:name="_Toc417393244"/>
      <w:bookmarkStart w:id="123" w:name="_Toc417645298"/>
      <w:bookmarkStart w:id="124" w:name="_Toc418101120"/>
      <w:bookmarkStart w:id="125" w:name="_Toc418101123"/>
      <w:r w:rsidRPr="00A4603B">
        <w:t>Health Care Policy Contribution Program</w:t>
      </w:r>
      <w:r w:rsidRPr="00A4603B">
        <w:rPr>
          <w:vertAlign w:val="superscript"/>
        </w:rPr>
        <w:footnoteReference w:id="71"/>
      </w:r>
      <w:bookmarkEnd w:id="121"/>
    </w:p>
    <w:p w:rsidR="00893821" w:rsidRPr="00A4603B" w:rsidRDefault="00893821" w:rsidP="00B95F1C">
      <w:r w:rsidRPr="00A4603B">
        <w:t>The Health Care Policy Contribution Program (HCPCP) is a national program designed to promote policy research and analysis, evidence-based pilot projects and evaluations on current and emerging health care system priorities. The HCPCP uses contributions to fund non-profit, non-governmental organizations, professional associations, educational institutions, and provincial, territorial and local governments, in order to develop, implement and disseminate knowledge, best practices and strategies for innovative health care delivery.</w:t>
      </w:r>
    </w:p>
    <w:p w:rsidR="00893821" w:rsidRPr="00A4603B" w:rsidRDefault="00893821" w:rsidP="00B95F1C">
      <w:r w:rsidRPr="00A4603B">
        <w:t>The program addresses on-going and emerging priorities in the health care system by funding projects that support key areas such as: health human resources, the integration of internationally educated health professionals, access to health care and reduction in wait times, primary health care and chronic disease management, home and community care, quality care and patient safety, and palliative and end-of-life care.</w:t>
      </w:r>
    </w:p>
    <w:p w:rsidR="00893821" w:rsidRPr="00A4603B" w:rsidRDefault="00893821" w:rsidP="00B95F1C">
      <w:r w:rsidRPr="00A4603B">
        <w:t>Contribution programs are a key policy lever for the federal government to support health care innovations that benefit all Canadians.</w:t>
      </w:r>
    </w:p>
    <w:bookmarkEnd w:id="122"/>
    <w:bookmarkEnd w:id="123"/>
    <w:bookmarkEnd w:id="124"/>
    <w:p w:rsidR="00893821" w:rsidRPr="00A4603B" w:rsidRDefault="00893821" w:rsidP="00B95F1C">
      <w:pPr>
        <w:pStyle w:val="Heading4"/>
      </w:pPr>
      <w:r w:rsidRPr="00A4603B">
        <w:t>Health Care Benefits Program for Veterans</w:t>
      </w:r>
      <w:bookmarkEnd w:id="115"/>
      <w:bookmarkEnd w:id="116"/>
      <w:r w:rsidRPr="00A4603B">
        <w:rPr>
          <w:vertAlign w:val="superscript"/>
        </w:rPr>
        <w:footnoteReference w:id="72"/>
      </w:r>
      <w:bookmarkEnd w:id="125"/>
    </w:p>
    <w:p w:rsidR="00893821" w:rsidRPr="00A4603B" w:rsidRDefault="00893821" w:rsidP="00B95F1C">
      <w:r w:rsidRPr="00A4603B">
        <w:t>The Health Care Benefits Program, administered by Veterans Affairs Canada, provides funds to eligible veterans so they can access aids to daily living, prosthetics, mobility aids, home adaptations and vehicle modifications.</w:t>
      </w:r>
    </w:p>
    <w:p w:rsidR="00893821" w:rsidRPr="00A4603B" w:rsidRDefault="00893821" w:rsidP="00B95F1C">
      <w:pPr>
        <w:pStyle w:val="Heading4"/>
        <w:rPr>
          <w:lang w:val="en-US"/>
        </w:rPr>
      </w:pPr>
      <w:bookmarkStart w:id="126" w:name="_Toc418101124"/>
      <w:r w:rsidRPr="00A4603B">
        <w:rPr>
          <w:lang w:val="en-US"/>
        </w:rPr>
        <w:t>Housing Options for People Living with Dementia: A Guide by CMHC</w:t>
      </w:r>
      <w:r w:rsidRPr="00A4603B">
        <w:rPr>
          <w:vertAlign w:val="superscript"/>
          <w:lang w:val="en-US"/>
        </w:rPr>
        <w:footnoteReference w:id="73"/>
      </w:r>
    </w:p>
    <w:p w:rsidR="00893821" w:rsidRPr="00A4603B" w:rsidRDefault="00893821" w:rsidP="00B95F1C">
      <w:pPr>
        <w:rPr>
          <w:lang w:val="en-US"/>
        </w:rPr>
      </w:pPr>
      <w:r w:rsidRPr="00A4603B">
        <w:rPr>
          <w:lang w:val="en-US"/>
        </w:rPr>
        <w:t>Canada Mortgage and Housing Corporation (CMHC) has been Canada’s authority on housing for more than 65 years. CMHC helps Canadians meet their housing needs. This Guide is aimed at presenting information, to provide guidance to individuals living with dementia and their caregivers and to operators/providers of housing for persons living with dementia on how to:</w:t>
      </w:r>
    </w:p>
    <w:p w:rsidR="00893821" w:rsidRPr="00B95F1C" w:rsidRDefault="00893821" w:rsidP="00BC5BD4">
      <w:pPr>
        <w:pStyle w:val="ListParagraph"/>
        <w:numPr>
          <w:ilvl w:val="0"/>
          <w:numId w:val="52"/>
        </w:numPr>
        <w:rPr>
          <w:lang w:val="en-US"/>
        </w:rPr>
      </w:pPr>
      <w:r w:rsidRPr="00B95F1C">
        <w:rPr>
          <w:lang w:val="en-US"/>
        </w:rPr>
        <w:lastRenderedPageBreak/>
        <w:t>Increase the safety of the home environment, long-term care, community-based housing, etc., for people living with dementia and their caregivers;</w:t>
      </w:r>
    </w:p>
    <w:p w:rsidR="00893821" w:rsidRPr="00B95F1C" w:rsidRDefault="00893821" w:rsidP="00BC5BD4">
      <w:pPr>
        <w:pStyle w:val="ListParagraph"/>
        <w:numPr>
          <w:ilvl w:val="0"/>
          <w:numId w:val="52"/>
        </w:numPr>
        <w:rPr>
          <w:lang w:val="en-US"/>
        </w:rPr>
      </w:pPr>
      <w:r w:rsidRPr="00B95F1C">
        <w:rPr>
          <w:lang w:val="en-US"/>
        </w:rPr>
        <w:t>Create a supportive home environment for persons living with dementia; and,</w:t>
      </w:r>
    </w:p>
    <w:p w:rsidR="00893821" w:rsidRPr="00B95F1C" w:rsidRDefault="00893821" w:rsidP="00BC5BD4">
      <w:pPr>
        <w:pStyle w:val="ListParagraph"/>
        <w:numPr>
          <w:ilvl w:val="0"/>
          <w:numId w:val="52"/>
        </w:numPr>
        <w:rPr>
          <w:lang w:val="en-US"/>
        </w:rPr>
      </w:pPr>
      <w:r w:rsidRPr="00B95F1C">
        <w:rPr>
          <w:lang w:val="en-US"/>
        </w:rPr>
        <w:t>Highlight practical information and guidance for managing and designing housing for people living with dementia.</w:t>
      </w:r>
    </w:p>
    <w:p w:rsidR="00893821" w:rsidRPr="00A4603B" w:rsidRDefault="00893821" w:rsidP="00B95F1C">
      <w:pPr>
        <w:pStyle w:val="Heading4"/>
      </w:pPr>
      <w:r w:rsidRPr="00A4603B">
        <w:t>Accessible Design for the Built Environment – Canadian Standards Association</w:t>
      </w:r>
      <w:bookmarkEnd w:id="117"/>
      <w:bookmarkEnd w:id="118"/>
      <w:bookmarkEnd w:id="126"/>
      <w:r w:rsidRPr="00A4603B">
        <w:rPr>
          <w:vertAlign w:val="superscript"/>
        </w:rPr>
        <w:footnoteReference w:id="74"/>
      </w:r>
      <w:r w:rsidRPr="00A4603B">
        <w:t>,</w:t>
      </w:r>
      <w:r w:rsidRPr="00A4603B">
        <w:rPr>
          <w:vertAlign w:val="superscript"/>
        </w:rPr>
        <w:footnoteReference w:id="75"/>
      </w:r>
    </w:p>
    <w:p w:rsidR="00893821" w:rsidRPr="00A4603B" w:rsidRDefault="00893821" w:rsidP="00B95F1C">
      <w:r w:rsidRPr="00A4603B">
        <w:t>The Standard contains requirements for making buildings and other facilities accessible to persons with a wide range of physical and sensory disabilities. It was developed to fulfill an expressed need for a national, technical standard covering a broad range of building and environmental facilities; a standard which could be referenced in whole or in part by a variety of adopting authorities. This Standard does not have the force of law unless mandated by legislation or called up in the regulations of the authority having jurisdiction.</w:t>
      </w:r>
    </w:p>
    <w:p w:rsidR="00893821" w:rsidRPr="00A4603B" w:rsidRDefault="00893821" w:rsidP="00B95F1C">
      <w:r w:rsidRPr="00A4603B">
        <w:t>This Standard specifies how to make buildings and other facilities barrier-free and therefore accessible and safely usable by persons with physical or sensory disabilities. The disabilities considered are: mobility impairments such as reliance on crutches or a wheelchair; reaching and manipulation disabilities; hearing impairments; deafness; visual impairment and blindness. This Standard also describes technical requirements which can be applied to the design and construction of new facilities or modifications to existing facilities. This Standard does not describe the application of technical requirements. The extent to which these requirements will be applied is the responsibility of others, such as adopting authorities.</w:t>
      </w:r>
    </w:p>
    <w:p w:rsidR="00893821" w:rsidRPr="00A4603B" w:rsidRDefault="00893821" w:rsidP="00B95F1C">
      <w:pPr>
        <w:pStyle w:val="Heading4"/>
      </w:pPr>
      <w:r w:rsidRPr="00A4603B">
        <w:t>Assisted Living Program</w:t>
      </w:r>
      <w:r w:rsidRPr="00A4603B">
        <w:rPr>
          <w:vertAlign w:val="superscript"/>
        </w:rPr>
        <w:footnoteReference w:id="76"/>
      </w:r>
    </w:p>
    <w:p w:rsidR="00893821" w:rsidRPr="00A4603B" w:rsidRDefault="00893821" w:rsidP="00893821">
      <w:r w:rsidRPr="00A4603B">
        <w:t xml:space="preserve">The Assisted Living Program is an income dependent residency-based program that provides funding to assist in non-medical, social support services to seniors, adults with chronic illness, and children and adults with disabilities (mental and physical) so that they can maintain functional independence and achieve greater self-reliance. </w:t>
      </w:r>
    </w:p>
    <w:p w:rsidR="00893821" w:rsidRPr="00A4603B" w:rsidRDefault="00893821" w:rsidP="00893821">
      <w:r w:rsidRPr="00A4603B">
        <w:t xml:space="preserve">There are three major components to the program; in-home care, adult foster care and Institutional care. In-home care provides financial assistance for non-medical personal care for all individuals who need assistance with activities of daily living. Adult foster </w:t>
      </w:r>
      <w:r w:rsidRPr="00A4603B">
        <w:lastRenderedPageBreak/>
        <w:t>care and institutional care provide funding for eligible individuals in need of personal non-medical care in a supported living environment. The expected outcome for the Assisted Living program is that individuals maintain their independence for as long as possible while maximizing the quality of their daily experience at home and in the community.</w:t>
      </w:r>
    </w:p>
    <w:p w:rsidR="00893821" w:rsidRPr="00A4603B" w:rsidRDefault="00893821" w:rsidP="00893821">
      <w:r w:rsidRPr="00A4603B">
        <w:t>The fourth component of the Assisted Living program is the disabilities initiative which funds projects to improve the coordination and accessibility of existing disability programs and community services to persons living on reserve. The Disabilities Initiative provides approximately $1 million annually to fund eligible projects which can include components such as advocacy, public awareness and regional workshops.</w:t>
      </w:r>
    </w:p>
    <w:p w:rsidR="00893821" w:rsidRPr="00A4603B" w:rsidRDefault="00893821" w:rsidP="00893821"/>
    <w:p w:rsidR="00893821" w:rsidRPr="00A4603B" w:rsidRDefault="00893821" w:rsidP="00B95F1C">
      <w:pPr>
        <w:pStyle w:val="Heading2"/>
      </w:pPr>
      <w:bookmarkStart w:id="127" w:name="_Toc418101125"/>
      <w:bookmarkStart w:id="128" w:name="_Toc421805836"/>
      <w:bookmarkStart w:id="129" w:name="_Toc424669261"/>
      <w:bookmarkStart w:id="130" w:name="_Toc457553292"/>
      <w:r w:rsidRPr="00A4603B">
        <w:t>British Columbia</w:t>
      </w:r>
      <w:bookmarkEnd w:id="119"/>
      <w:bookmarkEnd w:id="120"/>
      <w:bookmarkEnd w:id="127"/>
      <w:bookmarkEnd w:id="128"/>
      <w:bookmarkEnd w:id="129"/>
      <w:bookmarkEnd w:id="130"/>
    </w:p>
    <w:p w:rsidR="00893821" w:rsidRPr="00A4603B" w:rsidRDefault="00893821" w:rsidP="00282992">
      <w:pPr>
        <w:pStyle w:val="Heading3"/>
      </w:pPr>
      <w:bookmarkStart w:id="131" w:name="_Toc418101126"/>
      <w:r w:rsidRPr="00A4603B">
        <w:t>Policies and Regulations</w:t>
      </w:r>
      <w:bookmarkEnd w:id="131"/>
    </w:p>
    <w:p w:rsidR="00893821" w:rsidRPr="00A4603B" w:rsidRDefault="00893821" w:rsidP="00282992">
      <w:pPr>
        <w:pStyle w:val="Heading4"/>
      </w:pPr>
      <w:bookmarkStart w:id="132" w:name="_Toc417393255"/>
      <w:bookmarkStart w:id="133" w:name="_Toc417645315"/>
      <w:bookmarkStart w:id="134" w:name="_Toc418101127"/>
      <w:bookmarkStart w:id="135" w:name="_Toc417393254"/>
      <w:bookmarkStart w:id="136" w:name="_Toc417645311"/>
      <w:r w:rsidRPr="00A4603B">
        <w:t>British Columbia Building Code, 2006</w:t>
      </w:r>
      <w:bookmarkEnd w:id="132"/>
      <w:bookmarkEnd w:id="133"/>
      <w:r w:rsidRPr="00A4603B">
        <w:rPr>
          <w:vertAlign w:val="superscript"/>
        </w:rPr>
        <w:footnoteReference w:id="77"/>
      </w:r>
      <w:bookmarkEnd w:id="134"/>
    </w:p>
    <w:p w:rsidR="00893821" w:rsidRPr="00A4603B" w:rsidRDefault="00893821" w:rsidP="00282992">
      <w:r w:rsidRPr="00A4603B">
        <w:t>Section 3.8 is the portion of the Building Code which tells a designer what buildings or portions of buildings must be accessible to persons with disabilities and how accessible they must be. Section 3.8 also contains most of the details on how to make those buildings accessible, but it also refers the designer to other parts of the Code which contain details on how to make specific facilities accessible to persons with disabilities.</w:t>
      </w:r>
    </w:p>
    <w:p w:rsidR="00893821" w:rsidRPr="00A4603B" w:rsidRDefault="00893821" w:rsidP="00282992">
      <w:pPr>
        <w:pStyle w:val="Heading4"/>
      </w:pPr>
      <w:bookmarkStart w:id="137" w:name="_Toc417393256"/>
      <w:bookmarkStart w:id="138" w:name="_Toc417645316"/>
      <w:bookmarkStart w:id="139" w:name="_Toc418101128"/>
      <w:r w:rsidRPr="00A4603B">
        <w:t>Mental Health Act</w:t>
      </w:r>
      <w:bookmarkEnd w:id="137"/>
      <w:bookmarkEnd w:id="138"/>
      <w:r w:rsidRPr="00A4603B">
        <w:rPr>
          <w:vertAlign w:val="superscript"/>
        </w:rPr>
        <w:footnoteReference w:id="78"/>
      </w:r>
      <w:bookmarkEnd w:id="139"/>
    </w:p>
    <w:p w:rsidR="00893821" w:rsidRPr="00A4603B" w:rsidRDefault="00893821" w:rsidP="00282992">
      <w:r w:rsidRPr="00A4603B">
        <w:t>British Columbia's Mental Health Act provides guidelines for involuntary admission and treatment in designated hospitals and mental health facilities. The Act includes safeguards to guarantee the rights of those admitted under the Act.</w:t>
      </w:r>
    </w:p>
    <w:p w:rsidR="00893821" w:rsidRPr="00A4603B" w:rsidRDefault="00893821" w:rsidP="00282992">
      <w:pPr>
        <w:pStyle w:val="Heading4"/>
      </w:pPr>
      <w:bookmarkStart w:id="140" w:name="_Toc418101129"/>
      <w:r w:rsidRPr="00A4603B">
        <w:t>Changes by the Ministry of Social Development and Social Innovation</w:t>
      </w:r>
      <w:r w:rsidRPr="00A4603B">
        <w:rPr>
          <w:vertAlign w:val="superscript"/>
        </w:rPr>
        <w:footnoteReference w:id="79"/>
      </w:r>
      <w:bookmarkEnd w:id="140"/>
    </w:p>
    <w:p w:rsidR="00893821" w:rsidRPr="00A4603B" w:rsidRDefault="00893821" w:rsidP="00893821">
      <w:r w:rsidRPr="00A4603B">
        <w:t>The Ministry of Social Development and Social Innovation (MSDSI) recently announced the following changes which will come into effect on September 1, 2015:</w:t>
      </w:r>
    </w:p>
    <w:p w:rsidR="00893821" w:rsidRPr="00A4603B" w:rsidRDefault="00893821" w:rsidP="00BC5BD4">
      <w:pPr>
        <w:pStyle w:val="ListParagraph"/>
        <w:numPr>
          <w:ilvl w:val="0"/>
          <w:numId w:val="53"/>
        </w:numPr>
      </w:pPr>
      <w:r w:rsidRPr="00A4603B">
        <w:t>Child-support payments will be fully exempt for families receiving income and disability assistance.</w:t>
      </w:r>
    </w:p>
    <w:p w:rsidR="00893821" w:rsidRPr="00A4603B" w:rsidRDefault="00893821" w:rsidP="00BC5BD4">
      <w:pPr>
        <w:pStyle w:val="ListParagraph"/>
        <w:numPr>
          <w:ilvl w:val="0"/>
          <w:numId w:val="53"/>
        </w:numPr>
      </w:pPr>
      <w:r w:rsidRPr="00A4603B">
        <w:lastRenderedPageBreak/>
        <w:t>The earnings exemption for families with children who receive income assistance will increase from $200 to $400 a month.</w:t>
      </w:r>
    </w:p>
    <w:p w:rsidR="00893821" w:rsidRPr="00A4603B" w:rsidRDefault="00893821" w:rsidP="00BC5BD4">
      <w:pPr>
        <w:pStyle w:val="ListParagraph"/>
        <w:numPr>
          <w:ilvl w:val="0"/>
          <w:numId w:val="53"/>
        </w:numPr>
      </w:pPr>
      <w:r w:rsidRPr="00A4603B">
        <w:t>The earnings exemption for families with a child with a disability will increase from $300 to $500 dollars a month (note that families receiving disability assistance are already eligible for the Annual Earnings Exemption so this change does not apply to them).</w:t>
      </w:r>
    </w:p>
    <w:p w:rsidR="00893821" w:rsidRPr="00A4603B" w:rsidRDefault="00893821" w:rsidP="00BC5BD4">
      <w:pPr>
        <w:pStyle w:val="ListParagraph"/>
        <w:numPr>
          <w:ilvl w:val="0"/>
          <w:numId w:val="53"/>
        </w:numPr>
      </w:pPr>
      <w:r w:rsidRPr="00A4603B">
        <w:t>Single parents receiving income and disability assistance will be able to continue receiving income assistance for up to 12 months while they train for a new job.</w:t>
      </w:r>
    </w:p>
    <w:p w:rsidR="00893821" w:rsidRPr="00A4603B" w:rsidRDefault="00893821" w:rsidP="00BC5BD4">
      <w:pPr>
        <w:pStyle w:val="ListParagraph"/>
        <w:numPr>
          <w:ilvl w:val="0"/>
          <w:numId w:val="53"/>
        </w:numPr>
      </w:pPr>
      <w:r w:rsidRPr="00A4603B">
        <w:t>Single parents receiving income and disability assistance will have access, through Work BC, to:</w:t>
      </w:r>
    </w:p>
    <w:p w:rsidR="00893821" w:rsidRPr="00A4603B" w:rsidRDefault="00893821" w:rsidP="00BC5BD4">
      <w:pPr>
        <w:pStyle w:val="ListParagraph"/>
        <w:numPr>
          <w:ilvl w:val="1"/>
          <w:numId w:val="53"/>
        </w:numPr>
      </w:pPr>
      <w:r w:rsidRPr="00A4603B">
        <w:t>Tuition and education costs for approved training programs that last up to 12 months for in-demand jobs</w:t>
      </w:r>
    </w:p>
    <w:p w:rsidR="00893821" w:rsidRPr="00A4603B" w:rsidRDefault="00893821" w:rsidP="00BC5BD4">
      <w:pPr>
        <w:pStyle w:val="ListParagraph"/>
        <w:numPr>
          <w:ilvl w:val="1"/>
          <w:numId w:val="53"/>
        </w:numPr>
      </w:pPr>
      <w:r w:rsidRPr="00A4603B">
        <w:t>Transportation costs to and from school</w:t>
      </w:r>
    </w:p>
    <w:p w:rsidR="00893821" w:rsidRPr="00A4603B" w:rsidRDefault="00893821" w:rsidP="00BC5BD4">
      <w:pPr>
        <w:pStyle w:val="ListParagraph"/>
        <w:numPr>
          <w:ilvl w:val="1"/>
          <w:numId w:val="53"/>
        </w:numPr>
      </w:pPr>
      <w:r w:rsidRPr="00A4603B">
        <w:t>Full child care costs during training.</w:t>
      </w:r>
    </w:p>
    <w:p w:rsidR="00893821" w:rsidRPr="00A4603B" w:rsidRDefault="00893821" w:rsidP="00893821"/>
    <w:p w:rsidR="00893821" w:rsidRPr="00A4603B" w:rsidRDefault="00893821" w:rsidP="00282992">
      <w:pPr>
        <w:pStyle w:val="Heading3"/>
      </w:pPr>
      <w:bookmarkStart w:id="141" w:name="_Toc418101130"/>
      <w:r w:rsidRPr="00A4603B">
        <w:t>Programs</w:t>
      </w:r>
      <w:bookmarkEnd w:id="141"/>
    </w:p>
    <w:p w:rsidR="00893821" w:rsidRPr="00A4603B" w:rsidRDefault="00893821" w:rsidP="00282992">
      <w:pPr>
        <w:pStyle w:val="Heading4"/>
      </w:pPr>
      <w:bookmarkStart w:id="142" w:name="_Toc418101135"/>
      <w:bookmarkStart w:id="143" w:name="_Toc417393258"/>
      <w:bookmarkStart w:id="144" w:name="_Toc417645319"/>
      <w:bookmarkEnd w:id="135"/>
      <w:bookmarkEnd w:id="136"/>
      <w:r w:rsidRPr="00A4603B">
        <w:t>Accessibility 2024</w:t>
      </w:r>
      <w:r w:rsidRPr="00A4603B">
        <w:rPr>
          <w:vertAlign w:val="superscript"/>
        </w:rPr>
        <w:footnoteReference w:id="80"/>
      </w:r>
      <w:bookmarkEnd w:id="142"/>
    </w:p>
    <w:p w:rsidR="00893821" w:rsidRPr="00A4603B" w:rsidRDefault="00893821" w:rsidP="00282992">
      <w:r w:rsidRPr="00A4603B">
        <w:t xml:space="preserve">From December 3, 2013 to March 11, 2014, the province of B.C. held a public consultation to provide British Columbians with a disability, their families and members of the public the opportunity to share their thoughts on what government, businesses and communities can do to reduce barriers and increase accessibility for people living with disabilities. In June, 2014, the Premier released </w:t>
      </w:r>
      <w:r w:rsidRPr="00A4603B">
        <w:rPr>
          <w:i/>
        </w:rPr>
        <w:t>Accessibility 2024: Making B.C. the most progressive province in Canada for people with disabilities by 2024</w:t>
      </w:r>
      <w:r w:rsidRPr="00A4603B">
        <w:t>. Accessibility 2024 is a 10-year action plan, designed around 12 building blocks that represent the themes that emerged through the disability consultation process.</w:t>
      </w:r>
    </w:p>
    <w:p w:rsidR="00893821" w:rsidRPr="00A4603B" w:rsidRDefault="00893821" w:rsidP="00282992"/>
    <w:p w:rsidR="00893821" w:rsidRPr="00A4603B" w:rsidRDefault="00893821" w:rsidP="00282992">
      <w:r w:rsidRPr="00A4603B">
        <w:t>Accessibility 2024 includes measures for success and cross-government commitments that will help improve accessibility in B.C. for people with disabilities. Highlights of Accessibility 2024 include:</w:t>
      </w:r>
    </w:p>
    <w:p w:rsidR="00893821" w:rsidRPr="00A4603B" w:rsidRDefault="00893821" w:rsidP="00BC5BD4">
      <w:pPr>
        <w:pStyle w:val="ListParagraph"/>
        <w:numPr>
          <w:ilvl w:val="0"/>
          <w:numId w:val="54"/>
        </w:numPr>
      </w:pPr>
      <w:r w:rsidRPr="00A4603B">
        <w:t>Consultation on options for a made-in-B.C. approach to accessibility legislation.</w:t>
      </w:r>
    </w:p>
    <w:p w:rsidR="00893821" w:rsidRPr="00A4603B" w:rsidRDefault="00893821" w:rsidP="00BC5BD4">
      <w:pPr>
        <w:pStyle w:val="ListParagraph"/>
        <w:numPr>
          <w:ilvl w:val="0"/>
          <w:numId w:val="54"/>
        </w:numPr>
      </w:pPr>
      <w:r w:rsidRPr="00A4603B">
        <w:lastRenderedPageBreak/>
        <w:t>Committing to address income-assistance issues raised in the disability consultation through policy reforms, including separating disability assistance from income assistance to recognize the requirement for longer-term financial support.</w:t>
      </w:r>
    </w:p>
    <w:p w:rsidR="00893821" w:rsidRPr="00A4603B" w:rsidRDefault="00893821" w:rsidP="00BC5BD4">
      <w:pPr>
        <w:pStyle w:val="ListParagraph"/>
        <w:numPr>
          <w:ilvl w:val="0"/>
          <w:numId w:val="54"/>
        </w:numPr>
      </w:pPr>
      <w:r w:rsidRPr="00A4603B">
        <w:t>Improving supports leading to increased employment opportunities.</w:t>
      </w:r>
    </w:p>
    <w:p w:rsidR="00893821" w:rsidRPr="00A4603B" w:rsidRDefault="00893821" w:rsidP="00282992">
      <w:pPr>
        <w:pStyle w:val="Heading4"/>
      </w:pPr>
      <w:r w:rsidRPr="00A4603B">
        <w:t xml:space="preserve">Accessible Built Environment </w:t>
      </w:r>
    </w:p>
    <w:p w:rsidR="00893821" w:rsidRPr="00A4603B" w:rsidRDefault="00893821" w:rsidP="00282992">
      <w:r w:rsidRPr="00A4603B">
        <w:t>The accessible built environment section of the Accessibility 2024 plan looks at how public spaces in B.C. communities are designed, and how that design impacts and supports people with disabilities to move around and enjoy public life. Steps to be taken included:</w:t>
      </w:r>
      <w:r w:rsidRPr="00A4603B">
        <w:rPr>
          <w:vertAlign w:val="superscript"/>
        </w:rPr>
        <w:t xml:space="preserve"> </w:t>
      </w:r>
      <w:r w:rsidRPr="00A4603B">
        <w:rPr>
          <w:vertAlign w:val="superscript"/>
        </w:rPr>
        <w:footnoteReference w:id="81"/>
      </w:r>
    </w:p>
    <w:p w:rsidR="00893821" w:rsidRPr="00A4603B" w:rsidRDefault="00893821" w:rsidP="00BC5BD4">
      <w:pPr>
        <w:pStyle w:val="ListParagraph"/>
        <w:numPr>
          <w:ilvl w:val="0"/>
          <w:numId w:val="55"/>
        </w:numPr>
      </w:pPr>
      <w:r w:rsidRPr="00A4603B">
        <w:t>Ensure all government-owned and leased customer service building stock is fully accessible by 2020 (where possible given heritage constraints).</w:t>
      </w:r>
    </w:p>
    <w:p w:rsidR="00893821" w:rsidRPr="00A4603B" w:rsidRDefault="00893821" w:rsidP="00BC5BD4">
      <w:pPr>
        <w:pStyle w:val="ListParagraph"/>
        <w:numPr>
          <w:ilvl w:val="0"/>
          <w:numId w:val="55"/>
        </w:numPr>
      </w:pPr>
      <w:r w:rsidRPr="00A4603B">
        <w:t>Work with B.C. technology companies to be early adopters, and to showcase and test new accessibility technologies in B.C. government buildings.</w:t>
      </w:r>
    </w:p>
    <w:p w:rsidR="00893821" w:rsidRPr="00A4603B" w:rsidRDefault="00893821" w:rsidP="00BC5BD4">
      <w:pPr>
        <w:pStyle w:val="ListParagraph"/>
        <w:numPr>
          <w:ilvl w:val="0"/>
          <w:numId w:val="55"/>
        </w:numPr>
      </w:pPr>
      <w:r w:rsidRPr="00A4603B">
        <w:t>Develop guidelines for accessibility that communities can incorporate into their Official Community Plans.</w:t>
      </w:r>
    </w:p>
    <w:p w:rsidR="00893821" w:rsidRPr="00A4603B" w:rsidRDefault="00893821" w:rsidP="00BC5BD4">
      <w:pPr>
        <w:pStyle w:val="ListParagraph"/>
        <w:numPr>
          <w:ilvl w:val="0"/>
          <w:numId w:val="55"/>
        </w:numPr>
      </w:pPr>
      <w:r w:rsidRPr="00A4603B">
        <w:t>Continue to update the building code to be the most accessible in Canada.</w:t>
      </w:r>
    </w:p>
    <w:p w:rsidR="00893821" w:rsidRPr="00A4603B" w:rsidRDefault="00893821" w:rsidP="00282992">
      <w:r w:rsidRPr="00A4603B">
        <w:t>The success of the plan would be measured by the number of B.C. communities incorporating accessibility strategies into their Official Community Plans and the percentage of publicly owned and leased facilities that are accessible.</w:t>
      </w:r>
    </w:p>
    <w:p w:rsidR="00893821" w:rsidRPr="00A4603B" w:rsidRDefault="00893821" w:rsidP="00282992">
      <w:pPr>
        <w:rPr>
          <w:b/>
        </w:rPr>
      </w:pPr>
      <w:bookmarkStart w:id="145" w:name="_Toc417645313"/>
    </w:p>
    <w:p w:rsidR="00893821" w:rsidRPr="00A4603B" w:rsidRDefault="00893821" w:rsidP="00282992">
      <w:pPr>
        <w:pStyle w:val="Heading4"/>
      </w:pPr>
      <w:r w:rsidRPr="00A4603B">
        <w:t>Accessible Service Delivery</w:t>
      </w:r>
      <w:bookmarkEnd w:id="145"/>
    </w:p>
    <w:p w:rsidR="00893821" w:rsidRPr="00A4603B" w:rsidRDefault="00893821" w:rsidP="00282992">
      <w:r w:rsidRPr="00A4603B">
        <w:t>The Accessible service delivery section of the Accessibility 2024 plan is about how the B.C. government delivers services to persons with disabilities. Steps to be taken include:</w:t>
      </w:r>
    </w:p>
    <w:p w:rsidR="00893821" w:rsidRPr="00A4603B" w:rsidRDefault="00893821" w:rsidP="00BC5BD4">
      <w:pPr>
        <w:pStyle w:val="ListParagraph"/>
        <w:numPr>
          <w:ilvl w:val="0"/>
          <w:numId w:val="56"/>
        </w:numPr>
      </w:pPr>
      <w:r w:rsidRPr="00A4603B">
        <w:t>Commit to accessible service delivery – phone, online and face-to-face.</w:t>
      </w:r>
    </w:p>
    <w:p w:rsidR="00893821" w:rsidRPr="00A4603B" w:rsidRDefault="00893821" w:rsidP="00BC5BD4">
      <w:pPr>
        <w:pStyle w:val="ListParagraph"/>
        <w:numPr>
          <w:ilvl w:val="0"/>
          <w:numId w:val="56"/>
        </w:numPr>
      </w:pPr>
      <w:r w:rsidRPr="00A4603B">
        <w:t>Launch a website and a 1-800 number service to assist people with disabilities to navigate government services.</w:t>
      </w:r>
    </w:p>
    <w:p w:rsidR="00893821" w:rsidRPr="00A4603B" w:rsidRDefault="00893821" w:rsidP="00BC5BD4">
      <w:pPr>
        <w:pStyle w:val="ListParagraph"/>
        <w:numPr>
          <w:ilvl w:val="0"/>
          <w:numId w:val="56"/>
        </w:numPr>
      </w:pPr>
      <w:r w:rsidRPr="00A4603B">
        <w:t>Ensure all government-owned and leased customer service building stock is fully accessible by 2020 (where possible given heritage constraints).</w:t>
      </w:r>
    </w:p>
    <w:p w:rsidR="00893821" w:rsidRPr="00A4603B" w:rsidRDefault="00893821" w:rsidP="00BC5BD4">
      <w:pPr>
        <w:pStyle w:val="ListParagraph"/>
        <w:numPr>
          <w:ilvl w:val="0"/>
          <w:numId w:val="56"/>
        </w:numPr>
      </w:pPr>
      <w:r w:rsidRPr="00A4603B">
        <w:t>Include accessibility as an aspect in government’s 10-year capital plan.</w:t>
      </w:r>
    </w:p>
    <w:p w:rsidR="00893821" w:rsidRPr="00A4603B" w:rsidRDefault="00893821" w:rsidP="00BC5BD4">
      <w:pPr>
        <w:pStyle w:val="ListParagraph"/>
        <w:numPr>
          <w:ilvl w:val="0"/>
          <w:numId w:val="56"/>
        </w:numPr>
      </w:pPr>
      <w:r w:rsidRPr="00A4603B">
        <w:t>Work on transferability of aids and devices across government programs.</w:t>
      </w:r>
    </w:p>
    <w:p w:rsidR="00893821" w:rsidRPr="00A4603B" w:rsidRDefault="00893821" w:rsidP="00BC5BD4">
      <w:pPr>
        <w:pStyle w:val="ListParagraph"/>
        <w:numPr>
          <w:ilvl w:val="0"/>
          <w:numId w:val="56"/>
        </w:numPr>
      </w:pPr>
      <w:r w:rsidRPr="00A4603B">
        <w:lastRenderedPageBreak/>
        <w:t>Develop a disability strategy for the BC public service to enhance accessibility for hiring and advancement of persons with disability within the public service.</w:t>
      </w:r>
    </w:p>
    <w:p w:rsidR="00893821" w:rsidRPr="00A4603B" w:rsidRDefault="00893821" w:rsidP="00BC5BD4">
      <w:pPr>
        <w:pStyle w:val="ListParagraph"/>
        <w:numPr>
          <w:ilvl w:val="0"/>
          <w:numId w:val="56"/>
        </w:numPr>
      </w:pPr>
      <w:r w:rsidRPr="00A4603B">
        <w:t>Create single point of information about American Sign Language interpreter services.</w:t>
      </w:r>
    </w:p>
    <w:p w:rsidR="00893821" w:rsidRPr="00A4603B" w:rsidRDefault="00893821" w:rsidP="00282992">
      <w:r w:rsidRPr="00A4603B">
        <w:t>The success of the plan will be measured by the percentage of fully accessible B.C. government services.</w:t>
      </w:r>
    </w:p>
    <w:p w:rsidR="00893821" w:rsidRPr="00A4603B" w:rsidRDefault="00893821" w:rsidP="00282992"/>
    <w:p w:rsidR="00893821" w:rsidRPr="00A4603B" w:rsidRDefault="00893821" w:rsidP="00282992">
      <w:pPr>
        <w:pStyle w:val="Heading4"/>
      </w:pPr>
      <w:bookmarkStart w:id="146" w:name="_Toc417645314"/>
      <w:r w:rsidRPr="00A4603B">
        <w:t>Employment</w:t>
      </w:r>
      <w:bookmarkEnd w:id="146"/>
    </w:p>
    <w:p w:rsidR="00893821" w:rsidRPr="00A4603B" w:rsidRDefault="00893821" w:rsidP="00282992">
      <w:r w:rsidRPr="00A4603B">
        <w:t>The coverage under the employment block of the Accessibility 2024 Plan includes both private sector and public sector employment for people with disabilities in B.C. Steps to be taken include:</w:t>
      </w:r>
    </w:p>
    <w:p w:rsidR="00893821" w:rsidRPr="00A4603B" w:rsidRDefault="00893821" w:rsidP="00BC5BD4">
      <w:pPr>
        <w:pStyle w:val="ListParagraph"/>
        <w:numPr>
          <w:ilvl w:val="0"/>
          <w:numId w:val="57"/>
        </w:numPr>
      </w:pPr>
      <w:r w:rsidRPr="00A4603B">
        <w:t>Declare September Annual Disability Employment Month.</w:t>
      </w:r>
    </w:p>
    <w:p w:rsidR="00893821" w:rsidRPr="00A4603B" w:rsidRDefault="00893821" w:rsidP="00BC5BD4">
      <w:pPr>
        <w:pStyle w:val="ListParagraph"/>
        <w:numPr>
          <w:ilvl w:val="0"/>
          <w:numId w:val="57"/>
        </w:numPr>
      </w:pPr>
      <w:r w:rsidRPr="00A4603B">
        <w:t>Improve WorkBC services for people with disabilities, including up to $1 million annually in research and innovation funding aimed at enhancing services and improved outcomes for individuals with disabilities.</w:t>
      </w:r>
    </w:p>
    <w:p w:rsidR="00893821" w:rsidRPr="00A4603B" w:rsidRDefault="00893821" w:rsidP="00BC5BD4">
      <w:pPr>
        <w:pStyle w:val="ListParagraph"/>
        <w:numPr>
          <w:ilvl w:val="0"/>
          <w:numId w:val="57"/>
        </w:numPr>
      </w:pPr>
      <w:r w:rsidRPr="00A4603B">
        <w:t>$1.5 million to implement a pilot program for innovative training and initiatives at public post-secondary institutions to increase the success of people with disabilities in trades/technical programs or high labour market demand programs.</w:t>
      </w:r>
    </w:p>
    <w:p w:rsidR="00893821" w:rsidRPr="00A4603B" w:rsidRDefault="00893821" w:rsidP="00BC5BD4">
      <w:pPr>
        <w:pStyle w:val="ListParagraph"/>
        <w:numPr>
          <w:ilvl w:val="0"/>
          <w:numId w:val="57"/>
        </w:numPr>
      </w:pPr>
      <w:r w:rsidRPr="00A4603B">
        <w:t>Provide $3 million in annual funding for assistive technologies that support employment for people with disabilities.</w:t>
      </w:r>
    </w:p>
    <w:p w:rsidR="00893821" w:rsidRPr="00A4603B" w:rsidRDefault="00893821" w:rsidP="00BC5BD4">
      <w:pPr>
        <w:pStyle w:val="ListParagraph"/>
        <w:numPr>
          <w:ilvl w:val="0"/>
          <w:numId w:val="57"/>
        </w:numPr>
      </w:pPr>
      <w:r w:rsidRPr="00A4603B">
        <w:t>Develop a disability strategy for the BC Public Service to enhance accessibility for hiring and advancement of persons with disability within the public service.</w:t>
      </w:r>
    </w:p>
    <w:p w:rsidR="00893821" w:rsidRPr="00A4603B" w:rsidRDefault="00893821" w:rsidP="00BC5BD4">
      <w:pPr>
        <w:pStyle w:val="ListParagraph"/>
        <w:numPr>
          <w:ilvl w:val="0"/>
          <w:numId w:val="57"/>
        </w:numPr>
      </w:pPr>
      <w:r w:rsidRPr="00A4603B">
        <w:t>Mandate Presidents Group to increase employment for people with disabilities in the private sector.</w:t>
      </w:r>
    </w:p>
    <w:p w:rsidR="00893821" w:rsidRPr="00A4603B" w:rsidRDefault="00893821" w:rsidP="00BC5BD4">
      <w:pPr>
        <w:pStyle w:val="ListParagraph"/>
        <w:numPr>
          <w:ilvl w:val="0"/>
          <w:numId w:val="57"/>
        </w:numPr>
      </w:pPr>
      <w:r w:rsidRPr="00A4603B">
        <w:t>Explore options to enhance work experience opportunities for youth with disabilities in the education system.</w:t>
      </w:r>
    </w:p>
    <w:p w:rsidR="00893821" w:rsidRPr="00A4603B" w:rsidRDefault="00893821" w:rsidP="00282992">
      <w:pPr>
        <w:pStyle w:val="Heading4"/>
      </w:pPr>
      <w:bookmarkStart w:id="147" w:name="_Toc417393257"/>
      <w:bookmarkStart w:id="148" w:name="_Toc417645317"/>
      <w:bookmarkStart w:id="149" w:name="_Toc418101131"/>
      <w:r w:rsidRPr="00A4603B">
        <w:t>Wellness and Disability Initiative</w:t>
      </w:r>
      <w:bookmarkEnd w:id="147"/>
      <w:bookmarkEnd w:id="148"/>
      <w:r w:rsidRPr="00A4603B">
        <w:rPr>
          <w:vertAlign w:val="superscript"/>
        </w:rPr>
        <w:footnoteReference w:id="82"/>
      </w:r>
      <w:bookmarkEnd w:id="149"/>
    </w:p>
    <w:p w:rsidR="00893821" w:rsidRPr="00A4603B" w:rsidRDefault="00893821" w:rsidP="00282992">
      <w:r w:rsidRPr="00A4603B">
        <w:t xml:space="preserve">The Wellness Disability Initiative (WDI) is Disability Alliance BC's umbrella program that includes: </w:t>
      </w:r>
    </w:p>
    <w:p w:rsidR="00893821" w:rsidRPr="00A4603B" w:rsidRDefault="00893821" w:rsidP="00BC5BD4">
      <w:pPr>
        <w:pStyle w:val="ListParagraph"/>
        <w:numPr>
          <w:ilvl w:val="0"/>
          <w:numId w:val="58"/>
        </w:numPr>
      </w:pPr>
      <w:r w:rsidRPr="00A4603B">
        <w:t xml:space="preserve">AIDS and Disability Action Program (ADAP) </w:t>
      </w:r>
    </w:p>
    <w:p w:rsidR="00893821" w:rsidRPr="00A4603B" w:rsidRDefault="00893821" w:rsidP="00BC5BD4">
      <w:pPr>
        <w:pStyle w:val="ListParagraph"/>
        <w:numPr>
          <w:ilvl w:val="0"/>
          <w:numId w:val="58"/>
        </w:numPr>
      </w:pPr>
      <w:r w:rsidRPr="00A4603B">
        <w:t xml:space="preserve">Health, Education, Advocacy and Leadership (HEAL) </w:t>
      </w:r>
    </w:p>
    <w:p w:rsidR="00893821" w:rsidRPr="00A4603B" w:rsidRDefault="00893821" w:rsidP="00282992">
      <w:r w:rsidRPr="00A4603B">
        <w:lastRenderedPageBreak/>
        <w:t xml:space="preserve">All WDI programs provide health and wellness information in plain language and alternative formats. It serves people with disabilities, family members, caregivers, healthcare workers and educators. The programs are funded by federal, provincial and municipal government as well as private sector and individual donors. </w:t>
      </w:r>
    </w:p>
    <w:p w:rsidR="00893821" w:rsidRPr="00A4603B" w:rsidRDefault="00893821" w:rsidP="00282992">
      <w:pPr>
        <w:pStyle w:val="Heading4"/>
      </w:pPr>
      <w:bookmarkStart w:id="150" w:name="_Toc418101132"/>
      <w:bookmarkStart w:id="151" w:name="_Toc417645318"/>
      <w:r w:rsidRPr="00A4603B">
        <w:t>Palliative Benefits Program</w:t>
      </w:r>
      <w:r w:rsidRPr="00A4603B">
        <w:rPr>
          <w:vertAlign w:val="superscript"/>
        </w:rPr>
        <w:footnoteReference w:id="83"/>
      </w:r>
      <w:bookmarkEnd w:id="150"/>
    </w:p>
    <w:p w:rsidR="00893821" w:rsidRPr="00A4603B" w:rsidRDefault="00893821" w:rsidP="00282992">
      <w:r w:rsidRPr="00A4603B">
        <w:t>The B.C. Palliative Benefits Program provides support in order to enable individuals in the end stage of a life threatening disease to remain at home by covering the cost of medication, medical supplies and equipment. Equipment and supplies covered under the program include mobility aids, transfer aids, hospital beds and mattresses, bathing aids, and incontinence supplies. This plan provides 100% coverage of the eligible costs of the prescription drugs and selected over the-counter (OTC) drugs needed for palliative care and treatment at home.</w:t>
      </w:r>
    </w:p>
    <w:p w:rsidR="00893821" w:rsidRPr="00A4603B" w:rsidRDefault="00893821" w:rsidP="00282992">
      <w:pPr>
        <w:pStyle w:val="Heading4"/>
      </w:pPr>
      <w:bookmarkStart w:id="152" w:name="_Toc418101133"/>
      <w:r w:rsidRPr="00A4603B">
        <w:t>Health Supplements and Programs</w:t>
      </w:r>
      <w:r w:rsidRPr="00A4603B">
        <w:rPr>
          <w:vertAlign w:val="superscript"/>
        </w:rPr>
        <w:footnoteReference w:id="84"/>
      </w:r>
      <w:bookmarkEnd w:id="151"/>
      <w:bookmarkEnd w:id="152"/>
    </w:p>
    <w:p w:rsidR="00893821" w:rsidRPr="00A4603B" w:rsidRDefault="00893821" w:rsidP="00282992">
      <w:r w:rsidRPr="00A4603B">
        <w:t>The Health Supplements and Programs category provides information about health supplements and programs that are available through the BC Employment and Assistance (BCEA) Program to assist with specific individual health needs and circumstances. BCEA recipients who meet the Ministry of Health's residency requirements are provided with premium free Ministry of Health medical coverage through the Medical Services Plan, and no deductible PharmaCare. Specified health supplements are provided to all BCEA recipients who meet the eligibility criteria for each supplement. General health supplements are provided to specific categories of recipients only (e.g. persons with disabilities) who meet the eligibility criteria for each supplement. Eligibility for health supplements is determined on an individual basis.</w:t>
      </w:r>
    </w:p>
    <w:p w:rsidR="00893821" w:rsidRPr="00A4603B" w:rsidRDefault="00893821" w:rsidP="00282992">
      <w:pPr>
        <w:pStyle w:val="Heading4"/>
      </w:pPr>
      <w:bookmarkStart w:id="153" w:name="_Toc418101134"/>
      <w:r w:rsidRPr="00A4603B">
        <w:t>Subsidized Assisted Living</w:t>
      </w:r>
      <w:r w:rsidRPr="00A4603B">
        <w:rPr>
          <w:vertAlign w:val="superscript"/>
        </w:rPr>
        <w:footnoteReference w:id="85"/>
      </w:r>
      <w:bookmarkEnd w:id="153"/>
    </w:p>
    <w:p w:rsidR="00893821" w:rsidRPr="00A4603B" w:rsidRDefault="00893821" w:rsidP="00282992">
      <w:pPr>
        <w:rPr>
          <w:lang w:val="en-US"/>
        </w:rPr>
      </w:pPr>
      <w:r w:rsidRPr="00A4603B">
        <w:rPr>
          <w:lang w:val="en-US"/>
        </w:rPr>
        <w:t>Subsidized assisted living units offer a middle option to bridge the gap between home care and residential care for those who need some assistance, but do not want or need 24-hour professional nursing care. Subsidized assisted living units provide accommodation, hospitality services such as meals, housekeeping, laundry, recreational opportunities and 24-hour response and personal care services such as assistance with grooming, mobility and medications.</w:t>
      </w:r>
    </w:p>
    <w:p w:rsidR="00893821" w:rsidRPr="00A4603B" w:rsidRDefault="00893821" w:rsidP="00282992">
      <w:pPr>
        <w:rPr>
          <w:lang w:val="en-US"/>
        </w:rPr>
      </w:pPr>
      <w:r w:rsidRPr="00A4603B">
        <w:rPr>
          <w:lang w:val="en-US"/>
        </w:rPr>
        <w:lastRenderedPageBreak/>
        <w:t>Through Housing Matters BC, the Province of British Columbia has created more than 4,300 affordable assisted living apartments for seniors and people with disabilities through the Independent Living BC program.</w:t>
      </w:r>
    </w:p>
    <w:p w:rsidR="00893821" w:rsidRPr="00A4603B" w:rsidRDefault="00893821" w:rsidP="00282992">
      <w:pPr>
        <w:pStyle w:val="Heading4"/>
      </w:pPr>
      <w:r w:rsidRPr="00A4603B">
        <w:t>Assistive Technology and Seating Service</w:t>
      </w:r>
    </w:p>
    <w:p w:rsidR="00893821" w:rsidRPr="00A4603B" w:rsidRDefault="00893821" w:rsidP="00282992">
      <w:r w:rsidRPr="00A4603B">
        <w:t>The Assistive Technology and Seating Service (ATSS) supports clinicians and rehabilitation professionals working with adults and adolescents with disabilities in the public health system of BC and the Yukon. Support is provided in the form of: consultation, assessment, evaluation, intervention, education, and equipment loans for assessment. The Service works to further an individual's goals related to seating, communication, vocation, education, leisure, and independent living. Please note: access to services (consultations and equipment loans) is through clinicians and rehabilitation professionals only.</w:t>
      </w:r>
      <w:r w:rsidRPr="00A4603B">
        <w:rPr>
          <w:vertAlign w:val="superscript"/>
        </w:rPr>
        <w:footnoteReference w:id="86"/>
      </w:r>
    </w:p>
    <w:p w:rsidR="00893821" w:rsidRPr="00A4603B" w:rsidRDefault="00893821" w:rsidP="00282992">
      <w:pPr>
        <w:pStyle w:val="Heading4"/>
      </w:pPr>
      <w:r w:rsidRPr="00A4603B">
        <w:t>At Home Program: Medical Benefits (AHP) - Ministry of Children and Family Development</w:t>
      </w:r>
    </w:p>
    <w:p w:rsidR="00893821" w:rsidRPr="00A4603B" w:rsidRDefault="00893821" w:rsidP="00282992">
      <w:r w:rsidRPr="00A4603B">
        <w:t>The At Home Program assists parents with some of the disability-related costs of caring for a child with severe disabilities at home. Children may be eligible for full program benefits or for a choice of respite or medical benefits. The At Home Program provides assistance to families in two main areas: 1) Respite Benefits: (age 18 or younger) allows parents to choose appropriate care options and 2) Medical Benefits: (age 17 or younger) provides a range of medical equipment, supplies and services.</w:t>
      </w:r>
      <w:r w:rsidRPr="00A4603B">
        <w:rPr>
          <w:vertAlign w:val="superscript"/>
        </w:rPr>
        <w:footnoteReference w:id="87"/>
      </w:r>
    </w:p>
    <w:p w:rsidR="00893821" w:rsidRPr="00A4603B" w:rsidRDefault="00893821" w:rsidP="00282992">
      <w:pPr>
        <w:pStyle w:val="Heading4"/>
      </w:pPr>
      <w:r w:rsidRPr="00A4603B">
        <w:t>Autism Programs - Ministry of Children and Family Development</w:t>
      </w:r>
    </w:p>
    <w:p w:rsidR="00893821" w:rsidRPr="00A4603B" w:rsidRDefault="00893821" w:rsidP="00282992">
      <w:r w:rsidRPr="00A4603B">
        <w:t>MCFD provides two Autism Funding Programs. (1) Autism Funding: Under Age 6 program provides families up to $22,000 per year per child to assist in purchasing eligible autism intervention services and therapies. (2) Autism Funding: Ages 6-18 program provides families up to $6,000 per year per child to assist them with the cost of purchasing eligible autism intervention services and therapies outside of school. This funding is in addition to the educational program and special education services provided through school boards.</w:t>
      </w:r>
      <w:r w:rsidRPr="00A4603B">
        <w:rPr>
          <w:vertAlign w:val="superscript"/>
        </w:rPr>
        <w:t xml:space="preserve"> </w:t>
      </w:r>
      <w:r w:rsidRPr="00A4603B">
        <w:rPr>
          <w:vertAlign w:val="superscript"/>
        </w:rPr>
        <w:footnoteReference w:id="88"/>
      </w:r>
    </w:p>
    <w:p w:rsidR="00893821" w:rsidRPr="00A4603B" w:rsidRDefault="00893821" w:rsidP="00282992">
      <w:pPr>
        <w:pStyle w:val="Heading4"/>
      </w:pPr>
      <w:r w:rsidRPr="00A4603B">
        <w:lastRenderedPageBreak/>
        <w:t>Children in Care Medical Benefits - Ministry of Children and Family Development</w:t>
      </w:r>
    </w:p>
    <w:p w:rsidR="00893821" w:rsidRPr="00A4603B" w:rsidRDefault="00893821" w:rsidP="00282992">
      <w:r w:rsidRPr="00A4603B">
        <w:t>This program provides medical supplies, orthotics and bracing, hearing aids and audiology equipment, dental and orthodontia, optical, and medical and biomedical equipment for children in the care of the ministry.</w:t>
      </w:r>
      <w:r w:rsidRPr="00A4603B">
        <w:rPr>
          <w:vertAlign w:val="superscript"/>
        </w:rPr>
        <w:t xml:space="preserve"> </w:t>
      </w:r>
      <w:r w:rsidRPr="00A4603B">
        <w:rPr>
          <w:vertAlign w:val="superscript"/>
        </w:rPr>
        <w:footnoteReference w:id="89"/>
      </w:r>
    </w:p>
    <w:p w:rsidR="00893821" w:rsidRPr="00A4603B" w:rsidRDefault="00893821" w:rsidP="00282992">
      <w:pPr>
        <w:pStyle w:val="Heading4"/>
      </w:pPr>
      <w:r w:rsidRPr="00A4603B">
        <w:t>Communication Development – Sunny Hill Health Centre for Children</w:t>
      </w:r>
    </w:p>
    <w:p w:rsidR="00893821" w:rsidRPr="00A4603B" w:rsidRDefault="00893821" w:rsidP="00282992">
      <w:pPr>
        <w:rPr>
          <w:i/>
          <w:vertAlign w:val="superscript"/>
        </w:rPr>
      </w:pPr>
      <w:r w:rsidRPr="00A4603B">
        <w:t>Many children with severe communication impairments can be assisted by augmentative and alternative communication (AAC), and/or assistive technology (AT). These services are available through the Assistive Technology Team. The services are designed to support, enhance, or provide alternate methods of communication (both oral and written).</w:t>
      </w:r>
      <w:r w:rsidRPr="00A4603B">
        <w:rPr>
          <w:vertAlign w:val="superscript"/>
        </w:rPr>
        <w:t xml:space="preserve"> </w:t>
      </w:r>
      <w:r w:rsidRPr="00A4603B">
        <w:rPr>
          <w:vertAlign w:val="superscript"/>
        </w:rPr>
        <w:footnoteReference w:id="90"/>
      </w:r>
    </w:p>
    <w:p w:rsidR="00893821" w:rsidRPr="00A4603B" w:rsidRDefault="00893821" w:rsidP="00282992">
      <w:pPr>
        <w:pStyle w:val="Heading4"/>
      </w:pPr>
      <w:r w:rsidRPr="00A4603B">
        <w:t xml:space="preserve">Home and Community Care Services-Fraser Health Authority – Ministry of Health </w:t>
      </w:r>
    </w:p>
    <w:p w:rsidR="00893821" w:rsidRPr="00A4603B" w:rsidRDefault="00893821" w:rsidP="00282992">
      <w:r w:rsidRPr="00A4603B">
        <w:t>Health Authorities provide home and community care services for British Columbians with acute, chronic, palliative or rehabilitative health care needs. Services include home care nursing, palliative care, community rehabilitation, adult day centres, assisted living, home support, residential care and hospice. Health Authorities may provide these services directly or through contracts with service providers.</w:t>
      </w:r>
      <w:r w:rsidRPr="00A4603B">
        <w:rPr>
          <w:vertAlign w:val="superscript"/>
        </w:rPr>
        <w:t xml:space="preserve"> </w:t>
      </w:r>
      <w:r w:rsidRPr="00A4603B">
        <w:rPr>
          <w:vertAlign w:val="superscript"/>
        </w:rPr>
        <w:footnoteReference w:id="91"/>
      </w:r>
    </w:p>
    <w:p w:rsidR="00893821" w:rsidRPr="00A4603B" w:rsidRDefault="00893821" w:rsidP="00282992">
      <w:pPr>
        <w:pStyle w:val="Heading4"/>
      </w:pPr>
      <w:r w:rsidRPr="00A4603B">
        <w:t>Medical Equipment and Devices</w:t>
      </w:r>
      <w:r w:rsidRPr="00A4603B">
        <w:rPr>
          <w:vertAlign w:val="superscript"/>
        </w:rPr>
        <w:footnoteReference w:id="92"/>
      </w:r>
    </w:p>
    <w:p w:rsidR="00893821" w:rsidRPr="00A4603B" w:rsidRDefault="00893821" w:rsidP="00282992">
      <w:r w:rsidRPr="00A4603B">
        <w:t>The least expensive, appropriate medical equipment and devices may be provided to specific recipients to assist with a medically essential need. There must be no other resources available to the client to provide the medical equipment requested. The Ministry provides medical equipment and devices under the Employment and Assistance Regulation and the Employment and Assistance for Persons with Disabilities Regulation.</w:t>
      </w:r>
    </w:p>
    <w:p w:rsidR="00893821" w:rsidRPr="00A4603B" w:rsidRDefault="00893821" w:rsidP="00282992">
      <w:pPr>
        <w:pStyle w:val="Heading4"/>
      </w:pPr>
      <w:r w:rsidRPr="00A4603B">
        <w:t>Equipment and Assistive Technology Initiative</w:t>
      </w:r>
      <w:r w:rsidRPr="00A4603B">
        <w:rPr>
          <w:vertAlign w:val="superscript"/>
        </w:rPr>
        <w:footnoteReference w:id="93"/>
      </w:r>
    </w:p>
    <w:p w:rsidR="00893821" w:rsidRPr="00A4603B" w:rsidRDefault="00893821" w:rsidP="00282992">
      <w:r w:rsidRPr="00A4603B">
        <w:lastRenderedPageBreak/>
        <w:t>The Equipment and Assistive Technology Initiative (EATI) program ended on August 29, 2014. The Ministry of Social Development and Social Innovation (SDSI) will fund equipment/technology repairs for all former participants until March 31, 2015. Participants should contact the vendor who provided the equipment to them.  The vendor can submit a quote for repairs to the ministry through the contact information below. The Ministry will review the request based on the EATI guidelines and the individual will be notified about the status of the request by mail. If participants have any questions, they should contact the ministry.</w:t>
      </w:r>
    </w:p>
    <w:p w:rsidR="00893821" w:rsidRPr="00A4603B" w:rsidRDefault="0055176D" w:rsidP="00282992">
      <w:pPr>
        <w:pStyle w:val="Heading4"/>
      </w:pPr>
      <w:hyperlink r:id="rId17" w:history="1">
        <w:r w:rsidR="00893821" w:rsidRPr="00282992">
          <w:rPr>
            <w:rStyle w:val="Hyperlink"/>
            <w:rFonts w:asciiTheme="majorHAnsi" w:hAnsiTheme="majorHAnsi"/>
            <w:sz w:val="28"/>
          </w:rPr>
          <w:t>Independent Living BC (ILBC)</w:t>
        </w:r>
      </w:hyperlink>
      <w:r w:rsidR="00893821" w:rsidRPr="00A4603B">
        <w:t xml:space="preserve"> - BC Housing</w:t>
      </w:r>
      <w:r w:rsidR="00893821" w:rsidRPr="00A4603B">
        <w:rPr>
          <w:vertAlign w:val="superscript"/>
        </w:rPr>
        <w:footnoteReference w:id="94"/>
      </w:r>
    </w:p>
    <w:p w:rsidR="00893821" w:rsidRPr="00A4603B" w:rsidRDefault="00893821" w:rsidP="00282992">
      <w:r w:rsidRPr="00A4603B">
        <w:t>Independent Living BC (ILBC) serves seniors and people with disabilities who require some support, but do not need 24-hour institutional care. ILBC offers a middle option to bridge the gap between home care and residential care.</w:t>
      </w:r>
    </w:p>
    <w:p w:rsidR="00893821" w:rsidRPr="00A4603B" w:rsidRDefault="00893821" w:rsidP="00282992">
      <w:pPr>
        <w:pStyle w:val="Heading4"/>
      </w:pPr>
      <w:r w:rsidRPr="00A4603B">
        <w:t>Palliative Care Benefits Ministry of Health</w:t>
      </w:r>
      <w:r w:rsidRPr="00A4603B">
        <w:rPr>
          <w:vertAlign w:val="superscript"/>
        </w:rPr>
        <w:footnoteReference w:id="95"/>
      </w:r>
      <w:r w:rsidRPr="00A4603B">
        <w:t xml:space="preserve"> </w:t>
      </w:r>
    </w:p>
    <w:p w:rsidR="00893821" w:rsidRPr="00A4603B" w:rsidRDefault="00893821" w:rsidP="00282992">
      <w:r w:rsidRPr="00A4603B">
        <w:t>The BC Palliative Care Benefits Program has two components: The Palliative Care Drug Program is provided through Pharmacare. Medical Supplies and Equipment Benefits are provided through the local Health Authority.</w:t>
      </w:r>
    </w:p>
    <w:p w:rsidR="00893821" w:rsidRPr="00A4603B" w:rsidRDefault="00893821" w:rsidP="00282992">
      <w:pPr>
        <w:pStyle w:val="Heading4"/>
      </w:pPr>
      <w:r w:rsidRPr="00A4603B">
        <w:t>Health Supports for Children in Care and Youth Agreements, 2010</w:t>
      </w:r>
      <w:r w:rsidRPr="00A4603B">
        <w:rPr>
          <w:vertAlign w:val="superscript"/>
        </w:rPr>
        <w:footnoteReference w:id="96"/>
      </w:r>
    </w:p>
    <w:p w:rsidR="00893821" w:rsidRPr="00A4603B" w:rsidRDefault="00893821" w:rsidP="00893821">
      <w:pPr>
        <w:rPr>
          <w:b/>
          <w:bCs/>
        </w:rPr>
      </w:pPr>
      <w:r w:rsidRPr="00A4603B">
        <w:rPr>
          <w:bCs/>
        </w:rPr>
        <w:t>Medical Equipment:</w:t>
      </w:r>
      <w:r w:rsidRPr="00A4603B">
        <w:rPr>
          <w:b/>
          <w:bCs/>
        </w:rPr>
        <w:t xml:space="preserve"> </w:t>
      </w:r>
      <w:r w:rsidRPr="00A4603B">
        <w:t>Children and youth in care with special needs are eligible for essential medical equipment for home use. The following good quality new or recycled medical equipment is available centrally through the Medical Benefits Program:</w:t>
      </w:r>
    </w:p>
    <w:p w:rsidR="00893821" w:rsidRPr="00A4603B" w:rsidRDefault="00893821" w:rsidP="00BC5BD4">
      <w:pPr>
        <w:pStyle w:val="ListParagraph"/>
        <w:numPr>
          <w:ilvl w:val="0"/>
          <w:numId w:val="59"/>
        </w:numPr>
      </w:pPr>
      <w:r w:rsidRPr="00A4603B">
        <w:t>Alternate Positioning Devices</w:t>
      </w:r>
    </w:p>
    <w:p w:rsidR="00893821" w:rsidRPr="00A4603B" w:rsidRDefault="00893821" w:rsidP="00BC5BD4">
      <w:pPr>
        <w:pStyle w:val="ListParagraph"/>
        <w:numPr>
          <w:ilvl w:val="0"/>
          <w:numId w:val="59"/>
        </w:numPr>
      </w:pPr>
      <w:r w:rsidRPr="00A4603B">
        <w:t>Audiology Equipment and Supplies</w:t>
      </w:r>
    </w:p>
    <w:p w:rsidR="00893821" w:rsidRPr="00A4603B" w:rsidRDefault="00893821" w:rsidP="00BC5BD4">
      <w:pPr>
        <w:pStyle w:val="ListParagraph"/>
        <w:numPr>
          <w:ilvl w:val="0"/>
          <w:numId w:val="59"/>
        </w:numPr>
      </w:pPr>
      <w:r w:rsidRPr="00A4603B">
        <w:t>Bathing and Toileting Aids</w:t>
      </w:r>
    </w:p>
    <w:p w:rsidR="00893821" w:rsidRPr="00A4603B" w:rsidRDefault="00893821" w:rsidP="00BC5BD4">
      <w:pPr>
        <w:pStyle w:val="ListParagraph"/>
        <w:numPr>
          <w:ilvl w:val="0"/>
          <w:numId w:val="59"/>
        </w:numPr>
      </w:pPr>
      <w:r w:rsidRPr="00A4603B">
        <w:t>Hospital Beds and Mattresses</w:t>
      </w:r>
    </w:p>
    <w:p w:rsidR="00893821" w:rsidRPr="00A4603B" w:rsidRDefault="00893821" w:rsidP="00BC5BD4">
      <w:pPr>
        <w:pStyle w:val="ListParagraph"/>
        <w:numPr>
          <w:ilvl w:val="0"/>
          <w:numId w:val="59"/>
        </w:numPr>
      </w:pPr>
      <w:r w:rsidRPr="00A4603B">
        <w:t>Lifts</w:t>
      </w:r>
    </w:p>
    <w:p w:rsidR="00893821" w:rsidRPr="00A4603B" w:rsidRDefault="00893821" w:rsidP="00BC5BD4">
      <w:pPr>
        <w:pStyle w:val="ListParagraph"/>
        <w:numPr>
          <w:ilvl w:val="0"/>
          <w:numId w:val="59"/>
        </w:numPr>
      </w:pPr>
      <w:r w:rsidRPr="00A4603B">
        <w:t>Mobility Equipment</w:t>
      </w:r>
    </w:p>
    <w:p w:rsidR="00893821" w:rsidRPr="00A4603B" w:rsidRDefault="00893821" w:rsidP="00BC5BD4">
      <w:pPr>
        <w:pStyle w:val="ListParagraph"/>
        <w:numPr>
          <w:ilvl w:val="0"/>
          <w:numId w:val="59"/>
        </w:numPr>
      </w:pPr>
      <w:r w:rsidRPr="00A4603B">
        <w:t>Orthotics and Splints</w:t>
      </w:r>
    </w:p>
    <w:p w:rsidR="00893821" w:rsidRPr="00A4603B" w:rsidRDefault="00893821" w:rsidP="00BC5BD4">
      <w:pPr>
        <w:pStyle w:val="ListParagraph"/>
        <w:numPr>
          <w:ilvl w:val="0"/>
          <w:numId w:val="59"/>
        </w:numPr>
      </w:pPr>
      <w:r w:rsidRPr="00A4603B">
        <w:t>Seating Systems</w:t>
      </w:r>
    </w:p>
    <w:p w:rsidR="00893821" w:rsidRPr="00A4603B" w:rsidRDefault="00893821" w:rsidP="00BC5BD4">
      <w:pPr>
        <w:pStyle w:val="ListParagraph"/>
        <w:numPr>
          <w:ilvl w:val="0"/>
          <w:numId w:val="59"/>
        </w:numPr>
      </w:pPr>
      <w:r w:rsidRPr="00A4603B">
        <w:t>Specialized Car Seats, and</w:t>
      </w:r>
    </w:p>
    <w:p w:rsidR="00893821" w:rsidRPr="00A4603B" w:rsidRDefault="00893821" w:rsidP="00BC5BD4">
      <w:pPr>
        <w:pStyle w:val="ListParagraph"/>
        <w:numPr>
          <w:ilvl w:val="0"/>
          <w:numId w:val="59"/>
        </w:numPr>
      </w:pPr>
      <w:r w:rsidRPr="00A4603B">
        <w:t>Therapeutic Equipment.</w:t>
      </w:r>
    </w:p>
    <w:p w:rsidR="00893821" w:rsidRPr="00A4603B" w:rsidRDefault="00893821" w:rsidP="00893821">
      <w:r w:rsidRPr="00A4603B">
        <w:lastRenderedPageBreak/>
        <w:t>To request medical equipment, a health care professional must provide a letter of justification. The Medical Benefits Program provides one manual wheelchair or one basic power wheelchair and one basic manual wheelchair or special needs stroller as a backup for the power wheelchair. Please note that ultra-light, rigid frame and tilt-in-space wheelchairs do not qualify as backup wheelchairs. Funding for a manual backup wheelchair is provided to a maximum of $1,500.</w:t>
      </w:r>
    </w:p>
    <w:p w:rsidR="00893821" w:rsidRPr="00A4603B" w:rsidRDefault="00893821" w:rsidP="00893821">
      <w:r w:rsidRPr="00A4603B">
        <w:t>The Medical Benefits Program may provide a basic rear wheel drive scooter, if the child or youth is not totally wheelchair dependent and, for medical reasons, is unable to propel a manual wheelchair. Funding for a scooter is provided to a maximum of $3,700.</w:t>
      </w:r>
    </w:p>
    <w:p w:rsidR="00893821" w:rsidRPr="00A4603B" w:rsidRDefault="00893821" w:rsidP="00893821">
      <w:r w:rsidRPr="00A4603B">
        <w:t>The Medical Benefits Program may provide a special needs stroller, instead of a wheelchair, when recommended by a health care professional.</w:t>
      </w:r>
      <w:r w:rsidRPr="00A4603B">
        <w:rPr>
          <w:vertAlign w:val="superscript"/>
        </w:rPr>
        <w:footnoteReference w:id="97"/>
      </w:r>
    </w:p>
    <w:p w:rsidR="00893821" w:rsidRPr="00A4603B" w:rsidRDefault="00893821" w:rsidP="00282992">
      <w:pPr>
        <w:pStyle w:val="Heading2"/>
      </w:pPr>
      <w:bookmarkStart w:id="154" w:name="_Toc418101136"/>
      <w:bookmarkStart w:id="155" w:name="_Toc421805837"/>
      <w:bookmarkStart w:id="156" w:name="_Toc424669262"/>
      <w:bookmarkStart w:id="157" w:name="_Toc457553293"/>
      <w:r w:rsidRPr="00A4603B">
        <w:t>Quebec</w:t>
      </w:r>
      <w:bookmarkEnd w:id="143"/>
      <w:bookmarkEnd w:id="144"/>
      <w:bookmarkEnd w:id="154"/>
      <w:bookmarkEnd w:id="155"/>
      <w:bookmarkEnd w:id="156"/>
      <w:bookmarkEnd w:id="157"/>
    </w:p>
    <w:p w:rsidR="00893821" w:rsidRPr="00A4603B" w:rsidRDefault="00893821" w:rsidP="00282992">
      <w:pPr>
        <w:pStyle w:val="Heading3"/>
      </w:pPr>
      <w:bookmarkStart w:id="158" w:name="_Toc418101137"/>
      <w:bookmarkStart w:id="159" w:name="_Toc417393259"/>
      <w:bookmarkStart w:id="160" w:name="_Toc417645320"/>
      <w:r w:rsidRPr="00A4603B">
        <w:t>Policies and Regulations</w:t>
      </w:r>
      <w:bookmarkEnd w:id="158"/>
    </w:p>
    <w:p w:rsidR="00893821" w:rsidRPr="00A4603B" w:rsidRDefault="00893821" w:rsidP="00282992">
      <w:pPr>
        <w:pStyle w:val="Heading4"/>
      </w:pPr>
      <w:bookmarkStart w:id="161" w:name="_Toc417393262"/>
      <w:bookmarkStart w:id="162" w:name="_Toc417645325"/>
      <w:bookmarkStart w:id="163" w:name="_Toc418101138"/>
      <w:r w:rsidRPr="00A4603B">
        <w:t>Equals in Every Respect</w:t>
      </w:r>
      <w:bookmarkEnd w:id="161"/>
      <w:bookmarkEnd w:id="162"/>
      <w:bookmarkEnd w:id="163"/>
    </w:p>
    <w:p w:rsidR="00893821" w:rsidRPr="00A4603B" w:rsidRDefault="00893821" w:rsidP="00282992">
      <w:r w:rsidRPr="00A4603B">
        <w:t xml:space="preserve">Adopted in 2009, the policy titled </w:t>
      </w:r>
      <w:r w:rsidRPr="00A4603B">
        <w:rPr>
          <w:i/>
        </w:rPr>
        <w:t>Equals in Every Respect: Because Rights Are Meant to Be Exercised</w:t>
      </w:r>
      <w:r w:rsidRPr="00A4603B">
        <w:t xml:space="preserve"> (EIER) seeks to increase the social participation of persons with disabilities. The policy comes with an implementation plan, which includes 420 formal commitments. In addition to the provisions of the Charter, the Act, respecting equal access to employment in public bodies, requires over 600 public organizations to set up programs for employment equity access, with a view to increase the representation of minority groups such as persons with disabilities. </w:t>
      </w:r>
    </w:p>
    <w:p w:rsidR="00893821" w:rsidRPr="00A4603B" w:rsidRDefault="00893821" w:rsidP="00282992"/>
    <w:p w:rsidR="00893821" w:rsidRPr="00A4603B" w:rsidRDefault="00893821" w:rsidP="00282992">
      <w:r w:rsidRPr="00A4603B">
        <w:t>One of the EIER's intervention priorities is developing accessible environments: premises, transportation infrastructure, communications and consumer products. Under the Act, public transit authorities must implement a development plan to ensure that services are accessible to persons with disabilities. The government financially supports Paratransit services. The Building Code provides barrier-free access standards for buildings and public spaces. Various technical aids programs help to facilitate the mobility of persons with impaired mobility.</w:t>
      </w:r>
      <w:r w:rsidRPr="00A4603B">
        <w:rPr>
          <w:vertAlign w:val="superscript"/>
        </w:rPr>
        <w:footnoteReference w:id="98"/>
      </w:r>
    </w:p>
    <w:p w:rsidR="00893821" w:rsidRPr="00A4603B" w:rsidRDefault="00893821" w:rsidP="00282992">
      <w:pPr>
        <w:pStyle w:val="Heading4"/>
      </w:pPr>
      <w:bookmarkStart w:id="164" w:name="_Toc417393261"/>
      <w:bookmarkStart w:id="165" w:name="_Toc417645324"/>
      <w:bookmarkStart w:id="166" w:name="_Toc418101139"/>
      <w:r w:rsidRPr="00A4603B">
        <w:lastRenderedPageBreak/>
        <w:t>An Act to secure handicapped persons in the exercise of their rights with a view to achieving social, school and workplace integration</w:t>
      </w:r>
      <w:bookmarkEnd w:id="164"/>
      <w:bookmarkEnd w:id="165"/>
      <w:bookmarkEnd w:id="166"/>
      <w:r w:rsidRPr="00A4603B">
        <w:rPr>
          <w:vertAlign w:val="superscript"/>
        </w:rPr>
        <w:footnoteReference w:id="99"/>
      </w:r>
      <w:r w:rsidRPr="00A4603B">
        <w:rPr>
          <w:vertAlign w:val="superscript"/>
        </w:rPr>
        <w:t xml:space="preserve">, </w:t>
      </w:r>
      <w:r w:rsidRPr="00A4603B">
        <w:rPr>
          <w:vertAlign w:val="superscript"/>
        </w:rPr>
        <w:footnoteReference w:id="100"/>
      </w:r>
      <w:r w:rsidRPr="00A4603B">
        <w:rPr>
          <w:vertAlign w:val="superscript"/>
        </w:rPr>
        <w:t xml:space="preserve">, </w:t>
      </w:r>
      <w:r w:rsidRPr="00A4603B">
        <w:rPr>
          <w:vertAlign w:val="superscript"/>
        </w:rPr>
        <w:footnoteReference w:id="101"/>
      </w:r>
    </w:p>
    <w:p w:rsidR="00893821" w:rsidRPr="00A4603B" w:rsidRDefault="00893821" w:rsidP="00282992">
      <w:r w:rsidRPr="00A4603B">
        <w:t xml:space="preserve">In 1978, Quebec passed an act to ensure that persons with disabilities could exercise their rights and created the Office des personnes handicapées du Québec (“the Office”). In 2004, the act was renamed </w:t>
      </w:r>
      <w:r w:rsidRPr="00A4603B">
        <w:rPr>
          <w:i/>
        </w:rPr>
        <w:t>An Act to Secure Handicapped Persons in the Exercise of Their Rights with a View to Achieving Social, School and Workplace Integration</w:t>
      </w:r>
      <w:r w:rsidRPr="00A4603B">
        <w:t xml:space="preserve"> </w:t>
      </w:r>
      <w:r w:rsidRPr="00A4603B">
        <w:rPr>
          <w:u w:val="single"/>
        </w:rPr>
        <w:t>("the Act</w:t>
      </w:r>
      <w:r w:rsidRPr="00A4603B">
        <w:t>") and emphasizes the accountability of all public and private actors. It requires government departments and agencies with 50 or more employees and municipalities with a population of 15,000 or more, to adopt an annual action plan to reduce barriers to the integration of people with disabilities. More specifically, the Act specifies that this action plan must identify the barriers to the integration of persons with disabilities, describe the measures taken over the past year and those to be taken in the coming year. The Office, for its part, supports the organizations concerned, analyzes the action plans, formulates recommendations and plays a role of vigil.</w:t>
      </w:r>
      <w:r w:rsidRPr="00A4603B">
        <w:rPr>
          <w:vertAlign w:val="superscript"/>
        </w:rPr>
        <w:footnoteReference w:id="102"/>
      </w:r>
    </w:p>
    <w:p w:rsidR="00893821" w:rsidRPr="00A4603B" w:rsidRDefault="00893821" w:rsidP="00282992">
      <w:pPr>
        <w:pStyle w:val="Heading4"/>
      </w:pPr>
      <w:bookmarkStart w:id="167" w:name="_Toc418101140"/>
      <w:r w:rsidRPr="00A4603B">
        <w:t>Access to Buildings by Persons with Disabilities</w:t>
      </w:r>
      <w:bookmarkEnd w:id="159"/>
      <w:bookmarkEnd w:id="160"/>
      <w:r w:rsidRPr="00A4603B">
        <w:rPr>
          <w:vertAlign w:val="superscript"/>
        </w:rPr>
        <w:footnoteReference w:id="103"/>
      </w:r>
      <w:bookmarkEnd w:id="167"/>
    </w:p>
    <w:p w:rsidR="00893821" w:rsidRPr="00A4603B" w:rsidRDefault="00893821" w:rsidP="00282992">
      <w:r w:rsidRPr="00A4603B">
        <w:t xml:space="preserve">Québec has statutes and codes to make sure buildings are accessible to people with physical disabilities. </w:t>
      </w:r>
    </w:p>
    <w:p w:rsidR="00893821" w:rsidRPr="00A4603B" w:rsidRDefault="00893821" w:rsidP="00282992">
      <w:r w:rsidRPr="00A4603B">
        <w:t xml:space="preserve">Régie du bâtiment du Québec (RBQ) is responsible, from the perspective of access to public buildings by persons with disabilities, for applying barrier-free design standards. It takes action under </w:t>
      </w:r>
      <w:bookmarkStart w:id="168" w:name="_Toc417645321"/>
      <w:r w:rsidRPr="00A4603B">
        <w:t xml:space="preserve">Québec's Construction Code. </w:t>
      </w:r>
    </w:p>
    <w:p w:rsidR="00893821" w:rsidRPr="00A4603B" w:rsidRDefault="00893821" w:rsidP="00282992">
      <w:pPr>
        <w:pStyle w:val="Heading4"/>
        <w:rPr>
          <w:lang w:val="en"/>
        </w:rPr>
      </w:pPr>
      <w:r w:rsidRPr="00A4603B">
        <w:rPr>
          <w:lang w:val="en"/>
        </w:rPr>
        <w:t>Subject Buildings</w:t>
      </w:r>
      <w:bookmarkEnd w:id="168"/>
    </w:p>
    <w:p w:rsidR="00893821" w:rsidRPr="00A4603B" w:rsidRDefault="00893821" w:rsidP="00282992">
      <w:r w:rsidRPr="00A4603B">
        <w:t>Most buildings are subject to barrier-free design standards. The following buildings are, however, excluded:</w:t>
      </w:r>
    </w:p>
    <w:p w:rsidR="00893821" w:rsidRPr="00A4603B" w:rsidRDefault="00893821" w:rsidP="00BC5BD4">
      <w:pPr>
        <w:pStyle w:val="ListParagraph"/>
        <w:numPr>
          <w:ilvl w:val="0"/>
          <w:numId w:val="60"/>
        </w:numPr>
      </w:pPr>
      <w:r w:rsidRPr="00A4603B">
        <w:t>Small residential buildings;</w:t>
      </w:r>
    </w:p>
    <w:p w:rsidR="00893821" w:rsidRPr="00A4603B" w:rsidRDefault="00893821" w:rsidP="00BC5BD4">
      <w:pPr>
        <w:pStyle w:val="ListParagraph"/>
        <w:numPr>
          <w:ilvl w:val="0"/>
          <w:numId w:val="60"/>
        </w:numPr>
      </w:pPr>
      <w:r w:rsidRPr="00A4603B">
        <w:t>Industrial buildings;</w:t>
      </w:r>
    </w:p>
    <w:p w:rsidR="00893821" w:rsidRPr="00A4603B" w:rsidRDefault="00893821" w:rsidP="00BC5BD4">
      <w:pPr>
        <w:pStyle w:val="ListParagraph"/>
        <w:numPr>
          <w:ilvl w:val="0"/>
          <w:numId w:val="60"/>
        </w:numPr>
      </w:pPr>
      <w:r w:rsidRPr="00A4603B">
        <w:t>Office buildings with 2 or fewer storeys;</w:t>
      </w:r>
    </w:p>
    <w:p w:rsidR="00893821" w:rsidRPr="00A4603B" w:rsidRDefault="00893821" w:rsidP="00BC5BD4">
      <w:pPr>
        <w:pStyle w:val="ListParagraph"/>
        <w:numPr>
          <w:ilvl w:val="0"/>
          <w:numId w:val="60"/>
        </w:numPr>
      </w:pPr>
      <w:r w:rsidRPr="00A4603B">
        <w:t>Stores whose total floor area is less than 300 sq. m.</w:t>
      </w:r>
    </w:p>
    <w:p w:rsidR="00893821" w:rsidRPr="00A4603B" w:rsidRDefault="00893821" w:rsidP="00282992">
      <w:pPr>
        <w:pStyle w:val="Heading4"/>
        <w:rPr>
          <w:lang w:val="en"/>
        </w:rPr>
      </w:pPr>
      <w:bookmarkStart w:id="169" w:name="_Toc417645322"/>
      <w:r w:rsidRPr="00A4603B">
        <w:rPr>
          <w:lang w:val="en"/>
        </w:rPr>
        <w:t>Tax Deduction for Renovations or Alterations to Buildings</w:t>
      </w:r>
      <w:bookmarkEnd w:id="169"/>
      <w:r w:rsidRPr="00A4603B">
        <w:rPr>
          <w:lang w:val="en"/>
        </w:rPr>
        <w:t xml:space="preserve"> </w:t>
      </w:r>
    </w:p>
    <w:p w:rsidR="00893821" w:rsidRPr="00A4603B" w:rsidRDefault="00893821" w:rsidP="00282992">
      <w:r w:rsidRPr="00A4603B">
        <w:lastRenderedPageBreak/>
        <w:t xml:space="preserve">There is a tax deduction for renovations or alterations to buildings done to broaden access to rental buildings by persons with disabilities. The work must meet barrier-free design standards. </w:t>
      </w:r>
    </w:p>
    <w:p w:rsidR="00893821" w:rsidRPr="00A4603B" w:rsidRDefault="00893821" w:rsidP="00282992">
      <w:pPr>
        <w:pStyle w:val="Heading4"/>
      </w:pPr>
      <w:bookmarkStart w:id="170" w:name="_Toc417393260"/>
      <w:bookmarkStart w:id="171" w:name="_Toc417645323"/>
      <w:bookmarkStart w:id="172" w:name="_Toc418101141"/>
      <w:r w:rsidRPr="00A4603B">
        <w:t>Québec Building Code</w:t>
      </w:r>
      <w:bookmarkEnd w:id="170"/>
      <w:bookmarkEnd w:id="171"/>
      <w:r w:rsidRPr="00A4603B">
        <w:rPr>
          <w:vertAlign w:val="superscript"/>
        </w:rPr>
        <w:footnoteReference w:id="104"/>
      </w:r>
      <w:bookmarkEnd w:id="172"/>
    </w:p>
    <w:p w:rsidR="00893821" w:rsidRPr="00A4603B" w:rsidRDefault="00893821" w:rsidP="00893821">
      <w:r w:rsidRPr="00A4603B">
        <w:t>In the province of Quebec, there are laws and codes to comply with regarding the accessibility of buildings to disabled persons. Standards and strict rules also govern the installation and maintenance of certain pieces of equipment such as lifts.</w:t>
      </w:r>
      <w:r w:rsidRPr="00A4603B">
        <w:rPr>
          <w:vertAlign w:val="superscript"/>
        </w:rPr>
        <w:footnoteReference w:id="105"/>
      </w:r>
      <w:r w:rsidRPr="00A4603B">
        <w:t xml:space="preserve"> In Québec, regulatory requirements regarding accessibility appear in the Québec Building Code, Chapter 1 - Building, and Chapter 4 - Elevators and other elevating devices.</w:t>
      </w:r>
    </w:p>
    <w:p w:rsidR="00893821" w:rsidRPr="00A4603B" w:rsidRDefault="00893821" w:rsidP="00282992">
      <w:pPr>
        <w:pStyle w:val="Heading3"/>
      </w:pPr>
      <w:bookmarkStart w:id="173" w:name="_Toc418101142"/>
      <w:r w:rsidRPr="00A4603B">
        <w:t>Programs</w:t>
      </w:r>
      <w:bookmarkEnd w:id="173"/>
    </w:p>
    <w:p w:rsidR="00893821" w:rsidRPr="00A4603B" w:rsidRDefault="00893821" w:rsidP="00282992">
      <w:pPr>
        <w:pStyle w:val="Heading4"/>
      </w:pPr>
      <w:bookmarkStart w:id="174" w:name="_Toc418101143"/>
      <w:r w:rsidRPr="00A4603B">
        <w:t>Hearing Devices Program</w:t>
      </w:r>
      <w:r w:rsidRPr="00A4603B">
        <w:rPr>
          <w:vertAlign w:val="superscript"/>
        </w:rPr>
        <w:footnoteReference w:id="106"/>
      </w:r>
      <w:bookmarkEnd w:id="174"/>
    </w:p>
    <w:p w:rsidR="00893821" w:rsidRPr="00A4603B" w:rsidRDefault="00893821" w:rsidP="00282992">
      <w:r w:rsidRPr="00A4603B">
        <w:t>The Regie de l'Assurance Maladie’s Hearing Devices program provides hearing aids to persons who are Deaf, deafened or hard of hearing. The Program covers the purchase and replacement cost of a hearing aid or assistive listening devices. Coverage varies by age and level of hearing loss.</w:t>
      </w:r>
    </w:p>
    <w:p w:rsidR="00893821" w:rsidRPr="00A4603B" w:rsidRDefault="00893821" w:rsidP="00282992">
      <w:pPr>
        <w:pStyle w:val="Heading4"/>
      </w:pPr>
      <w:bookmarkStart w:id="175" w:name="_Toc418101144"/>
      <w:r w:rsidRPr="00A4603B">
        <w:t>Visual Devices Program</w:t>
      </w:r>
      <w:r w:rsidRPr="00A4603B">
        <w:rPr>
          <w:vertAlign w:val="superscript"/>
        </w:rPr>
        <w:footnoteReference w:id="107"/>
      </w:r>
      <w:bookmarkEnd w:id="175"/>
    </w:p>
    <w:p w:rsidR="00893821" w:rsidRPr="00A4603B" w:rsidRDefault="00893821" w:rsidP="00282992">
      <w:r w:rsidRPr="00A4603B">
        <w:t>The Visual Devices Program is intended for persons insured under the Health Insurance Plan with a visual impairment such that they are permanently unable to read, write, move around in an unfamiliar environment, or carry out activities in keeping with their lifestyle or social roles.</w:t>
      </w:r>
    </w:p>
    <w:p w:rsidR="00893821" w:rsidRPr="00A4603B" w:rsidRDefault="00893821" w:rsidP="00282992">
      <w:r w:rsidRPr="00A4603B">
        <w:t>Visual devices made available on loan to eligible persons include:</w:t>
      </w:r>
    </w:p>
    <w:p w:rsidR="00893821" w:rsidRPr="00A4603B" w:rsidRDefault="00893821" w:rsidP="00BC5BD4">
      <w:pPr>
        <w:pStyle w:val="ListParagraph"/>
        <w:numPr>
          <w:ilvl w:val="0"/>
          <w:numId w:val="61"/>
        </w:numPr>
      </w:pPr>
      <w:r w:rsidRPr="00A4603B">
        <w:t>Reading aids, such as digital readers, closed-circuit television systems, optical systems and calculators;</w:t>
      </w:r>
    </w:p>
    <w:p w:rsidR="00893821" w:rsidRPr="00A4603B" w:rsidRDefault="00893821" w:rsidP="00BC5BD4">
      <w:pPr>
        <w:pStyle w:val="ListParagraph"/>
        <w:numPr>
          <w:ilvl w:val="0"/>
          <w:numId w:val="61"/>
        </w:numPr>
      </w:pPr>
      <w:r w:rsidRPr="00A4603B">
        <w:t>Writing aids, such as braillers;</w:t>
      </w:r>
    </w:p>
    <w:p w:rsidR="00893821" w:rsidRPr="00A4603B" w:rsidRDefault="00893821" w:rsidP="00BC5BD4">
      <w:pPr>
        <w:pStyle w:val="ListParagraph"/>
        <w:numPr>
          <w:ilvl w:val="0"/>
          <w:numId w:val="61"/>
        </w:numPr>
      </w:pPr>
      <w:r w:rsidRPr="00A4603B">
        <w:t>Mobility aids, such as white canes, electronic obstacle detectors, night vision goggles.</w:t>
      </w:r>
    </w:p>
    <w:p w:rsidR="00893821" w:rsidRPr="00A4603B" w:rsidRDefault="00893821" w:rsidP="00282992"/>
    <w:p w:rsidR="00893821" w:rsidRPr="00A4603B" w:rsidRDefault="00893821" w:rsidP="00282992">
      <w:r w:rsidRPr="00A4603B">
        <w:t>An amount of $210 is granted for the cost of acquiring a guide dog, and $1,028 per year thereafter for the cost of looking after the dog.</w:t>
      </w:r>
    </w:p>
    <w:p w:rsidR="00893821" w:rsidRPr="00A4603B" w:rsidRDefault="00893821" w:rsidP="00282992">
      <w:pPr>
        <w:pStyle w:val="Heading4"/>
      </w:pPr>
      <w:bookmarkStart w:id="176" w:name="_Toc418101145"/>
      <w:r w:rsidRPr="00A4603B">
        <w:t>Ocular Prostheses Program</w:t>
      </w:r>
      <w:r w:rsidRPr="00A4603B">
        <w:rPr>
          <w:vertAlign w:val="superscript"/>
        </w:rPr>
        <w:footnoteReference w:id="108"/>
      </w:r>
      <w:bookmarkEnd w:id="176"/>
    </w:p>
    <w:p w:rsidR="00893821" w:rsidRPr="00A4603B" w:rsidRDefault="00893821" w:rsidP="00282992">
      <w:pPr>
        <w:rPr>
          <w:lang w:val="en-US"/>
        </w:rPr>
      </w:pPr>
      <w:r w:rsidRPr="00A4603B">
        <w:rPr>
          <w:lang w:val="en-US"/>
        </w:rPr>
        <w:t>If a disabled person is eligible for the program and meets the eligibility requirements, he/she is entitled, for each eye, to a reimbursement for the cost of purchasing or replacing an ocular prosthesis once per 5-year period, and to a yearly allowance for the repair and maintenance of the prosthesis. If an ophthalmologist prescribes the replacement of a prosthesis because of a change in the person’s orbital cavity, he/she is entitled to a reimbursement even if 5 years have not elapsed. However, the individual must submit a medical prescription dated and signed by an ophthalmologist and attesting to the change. Since December 1, 1998, the program has also covered the purchase and fitting of conformers.</w:t>
      </w:r>
    </w:p>
    <w:p w:rsidR="00893821" w:rsidRPr="00A4603B" w:rsidRDefault="00893821" w:rsidP="00282992">
      <w:pPr>
        <w:pStyle w:val="Heading4"/>
      </w:pPr>
      <w:bookmarkStart w:id="177" w:name="_Toc418101146"/>
      <w:r w:rsidRPr="00A4603B">
        <w:t>External Breastforms Program</w:t>
      </w:r>
      <w:r w:rsidRPr="00A4603B">
        <w:rPr>
          <w:vertAlign w:val="superscript"/>
        </w:rPr>
        <w:footnoteReference w:id="109"/>
      </w:r>
      <w:bookmarkEnd w:id="177"/>
    </w:p>
    <w:p w:rsidR="00893821" w:rsidRPr="00A4603B" w:rsidRDefault="00893821" w:rsidP="00282992">
      <w:r w:rsidRPr="00A4603B">
        <w:t>The External Breastforms Program is intended for all women covered under the Québec Health Insurance Plan who have undergone a total or radical mastectomy, and for women age 14 and over who have a total absence of breast formation, medically diagnosed as aplasia. A total of $200 is provided for each breast through the program, payable every two years.</w:t>
      </w:r>
    </w:p>
    <w:p w:rsidR="00893821" w:rsidRPr="00A4603B" w:rsidRDefault="00893821" w:rsidP="00282992">
      <w:pPr>
        <w:pStyle w:val="Heading4"/>
      </w:pPr>
      <w:bookmarkStart w:id="178" w:name="_Toc418101147"/>
      <w:r w:rsidRPr="00A4603B">
        <w:t>Devices that Compensate for a Physical Deficiency</w:t>
      </w:r>
      <w:r w:rsidRPr="00A4603B">
        <w:rPr>
          <w:vertAlign w:val="superscript"/>
        </w:rPr>
        <w:footnoteReference w:id="110"/>
      </w:r>
      <w:bookmarkEnd w:id="178"/>
    </w:p>
    <w:p w:rsidR="00893821" w:rsidRPr="00A4603B" w:rsidRDefault="00893821" w:rsidP="00893821">
      <w:r w:rsidRPr="00A4603B">
        <w:t>The residents, who are covered by the Health Insurance Plan and meet the program's eligibility requirements, are insured for:</w:t>
      </w:r>
    </w:p>
    <w:p w:rsidR="00893821" w:rsidRPr="00A4603B" w:rsidRDefault="00893821" w:rsidP="00BC5BD4">
      <w:pPr>
        <w:pStyle w:val="ListParagraph"/>
        <w:numPr>
          <w:ilvl w:val="0"/>
          <w:numId w:val="62"/>
        </w:numPr>
      </w:pPr>
      <w:r w:rsidRPr="00A4603B">
        <w:t>Purchase, adjustment, replacement, repair and, in certain cases, adaptation of walking aids, standing aids, locomotor assists and posture assists as well as their components, supplements and accessories;</w:t>
      </w:r>
    </w:p>
    <w:p w:rsidR="00893821" w:rsidRPr="00A4603B" w:rsidRDefault="00893821" w:rsidP="00BC5BD4">
      <w:pPr>
        <w:pStyle w:val="ListParagraph"/>
        <w:numPr>
          <w:ilvl w:val="0"/>
          <w:numId w:val="62"/>
        </w:numPr>
      </w:pPr>
      <w:r w:rsidRPr="00A4603B">
        <w:t>Purchase, adjustment, replacement and repair of orthotics and prosthetics.</w:t>
      </w:r>
    </w:p>
    <w:p w:rsidR="00893821" w:rsidRPr="00A4603B" w:rsidRDefault="00893821" w:rsidP="00893821">
      <w:r w:rsidRPr="00A4603B">
        <w:t>The program does not cover 3-wheeled or 4-wheeled scooters, but does cover the adjustment and repair of these devices if they were paid for by the Office des personnes handicapées du Québec prior to November 12, 1998.</w:t>
      </w:r>
    </w:p>
    <w:p w:rsidR="00893821" w:rsidRPr="00A4603B" w:rsidRDefault="00893821" w:rsidP="00893821"/>
    <w:p w:rsidR="00893821" w:rsidRPr="00A4603B" w:rsidRDefault="00893821" w:rsidP="00282992">
      <w:pPr>
        <w:pStyle w:val="Heading2"/>
      </w:pPr>
      <w:bookmarkStart w:id="179" w:name="_Toc417393263"/>
      <w:bookmarkStart w:id="180" w:name="_Toc417645326"/>
      <w:bookmarkStart w:id="181" w:name="_Toc418101148"/>
      <w:bookmarkStart w:id="182" w:name="_Toc421805838"/>
      <w:bookmarkStart w:id="183" w:name="_Toc424669263"/>
      <w:bookmarkStart w:id="184" w:name="_Toc457553294"/>
      <w:r w:rsidRPr="00A4603B">
        <w:lastRenderedPageBreak/>
        <w:t>Alberta</w:t>
      </w:r>
      <w:bookmarkEnd w:id="179"/>
      <w:bookmarkEnd w:id="180"/>
      <w:bookmarkEnd w:id="181"/>
      <w:bookmarkEnd w:id="182"/>
      <w:bookmarkEnd w:id="183"/>
      <w:bookmarkEnd w:id="184"/>
    </w:p>
    <w:p w:rsidR="00893821" w:rsidRPr="00A4603B" w:rsidRDefault="00893821" w:rsidP="00282992">
      <w:pPr>
        <w:pStyle w:val="Heading3"/>
      </w:pPr>
      <w:bookmarkStart w:id="185" w:name="_Toc418101149"/>
      <w:r w:rsidRPr="00A4603B">
        <w:t>Policies and Regulations</w:t>
      </w:r>
      <w:bookmarkEnd w:id="185"/>
    </w:p>
    <w:p w:rsidR="00893821" w:rsidRPr="00A4603B" w:rsidRDefault="00893821" w:rsidP="00282992">
      <w:pPr>
        <w:pStyle w:val="Heading4"/>
      </w:pPr>
      <w:bookmarkStart w:id="186" w:name="_Toc417393264"/>
      <w:bookmarkStart w:id="187" w:name="_Toc417645327"/>
      <w:bookmarkStart w:id="188" w:name="_Toc418101150"/>
      <w:r w:rsidRPr="00A4603B">
        <w:t>Alberta Building Code</w:t>
      </w:r>
      <w:bookmarkEnd w:id="186"/>
      <w:bookmarkEnd w:id="187"/>
      <w:bookmarkEnd w:id="188"/>
    </w:p>
    <w:p w:rsidR="00893821" w:rsidRPr="00A4603B" w:rsidRDefault="00893821" w:rsidP="00282992">
      <w:r w:rsidRPr="00A4603B">
        <w:t>The accessibility standards set out the requirements for the safe design of accessible and barrier-free environments regulated under the Safety Codes Act. Municipal Affairs works in partnership with the Safety Codes Council to coordinate and encourage barrier-free design and access for anything, process or activity regulated under the Act. In partnership with the Barrier-Free Council of the Safety Codes Council, Safety Services has developed the Barrier-Free Design Guide to provide further interpretation and understanding of accessibility requirements under section 3.8. of the Alberta Building Code. The Guide also makes recommendations for best practice design solutions including residential living.</w:t>
      </w:r>
      <w:r w:rsidRPr="00A4603B">
        <w:rPr>
          <w:vertAlign w:val="superscript"/>
        </w:rPr>
        <w:footnoteReference w:id="111"/>
      </w:r>
      <w:r w:rsidRPr="00A4603B">
        <w:t xml:space="preserve"> </w:t>
      </w:r>
    </w:p>
    <w:p w:rsidR="00893821" w:rsidRPr="00A4603B" w:rsidRDefault="00893821" w:rsidP="00282992">
      <w:pPr>
        <w:pStyle w:val="Heading4"/>
      </w:pPr>
      <w:bookmarkStart w:id="189" w:name="_Toc417645329"/>
      <w:bookmarkStart w:id="190" w:name="_Toc418101151"/>
      <w:bookmarkStart w:id="191" w:name="_Toc417393265"/>
      <w:bookmarkStart w:id="192" w:name="_Toc417645328"/>
      <w:r w:rsidRPr="00A4603B">
        <w:t>The Service Dogs Act</w:t>
      </w:r>
      <w:r w:rsidRPr="00A4603B">
        <w:rPr>
          <w:vertAlign w:val="superscript"/>
        </w:rPr>
        <w:footnoteReference w:id="112"/>
      </w:r>
      <w:bookmarkEnd w:id="189"/>
      <w:bookmarkEnd w:id="190"/>
    </w:p>
    <w:p w:rsidR="00893821" w:rsidRPr="00A4603B" w:rsidRDefault="00893821" w:rsidP="00893821">
      <w:r w:rsidRPr="00A4603B">
        <w:t>The Service Dogs Act became law on January 1, 2009. It is a legislation that complements the Blind Persons Rights Act (BPRA) by providing Albertans with disabilities, who use qualified service dogs, the same right of access to public places. Individuals with disabilities who are accompanied by qualified service dogs must be allowed access to restaurants, taxis, buses or any other location where the general public is allowed. It is an offence to deny access to any public place to individuals who use qualified service dogs.</w:t>
      </w:r>
    </w:p>
    <w:p w:rsidR="00893821" w:rsidRPr="00A4603B" w:rsidRDefault="00893821" w:rsidP="00282992">
      <w:pPr>
        <w:pStyle w:val="Heading3"/>
      </w:pPr>
      <w:bookmarkStart w:id="193" w:name="_Toc418101152"/>
      <w:r w:rsidRPr="00A4603B">
        <w:t>Programs</w:t>
      </w:r>
      <w:bookmarkEnd w:id="193"/>
    </w:p>
    <w:p w:rsidR="00893821" w:rsidRPr="00A4603B" w:rsidRDefault="00893821" w:rsidP="00282992">
      <w:pPr>
        <w:pStyle w:val="Heading4"/>
        <w:rPr>
          <w:lang w:val="en-US"/>
        </w:rPr>
      </w:pPr>
      <w:bookmarkStart w:id="194" w:name="_Toc418101153"/>
      <w:r w:rsidRPr="00A4603B">
        <w:t>Alberta Disability Strategy</w:t>
      </w:r>
      <w:bookmarkEnd w:id="191"/>
      <w:bookmarkEnd w:id="192"/>
      <w:r w:rsidRPr="00A4603B">
        <w:rPr>
          <w:vertAlign w:val="superscript"/>
        </w:rPr>
        <w:footnoteReference w:id="113"/>
      </w:r>
      <w:bookmarkEnd w:id="194"/>
    </w:p>
    <w:p w:rsidR="00893821" w:rsidRPr="00A4603B" w:rsidRDefault="00893821" w:rsidP="00282992">
      <w:r w:rsidRPr="00A4603B">
        <w:t>Premier’s Council was established in 1988 as an advisory body to the provincial government. Council aims to improve the lives of persons with disabilities by listening to issues of the disability community and communicating these issues to government. Council represents persons with disabilities from across Alberta and is inclusive with respect to age and type of disability.</w:t>
      </w:r>
    </w:p>
    <w:p w:rsidR="00893821" w:rsidRPr="00A4603B" w:rsidRDefault="00893821" w:rsidP="00282992">
      <w:r w:rsidRPr="00A4603B">
        <w:t xml:space="preserve">On December 3, 2002, to coincide with the International Day of Persons with Disabilities, the Premier's Council released the Alberta Disability Strategy (ADS). The goal of ADS is </w:t>
      </w:r>
      <w:r w:rsidRPr="00A4603B">
        <w:lastRenderedPageBreak/>
        <w:t>to create an environment where full citizenship is possible through improvements in the areas of personal supports, financial supports, learning supports and employment.</w:t>
      </w:r>
    </w:p>
    <w:p w:rsidR="00893821" w:rsidRPr="00A4603B" w:rsidRDefault="00893821" w:rsidP="00282992">
      <w:pPr>
        <w:pStyle w:val="Heading4"/>
      </w:pPr>
      <w:bookmarkStart w:id="195" w:name="_Toc417645330"/>
      <w:bookmarkStart w:id="196" w:name="_Toc418101154"/>
      <w:r w:rsidRPr="00A4603B">
        <w:t>Government of Alberta 2013 – 2016 Strategic Plan</w:t>
      </w:r>
      <w:r w:rsidRPr="00A4603B">
        <w:rPr>
          <w:vertAlign w:val="superscript"/>
        </w:rPr>
        <w:footnoteReference w:id="114"/>
      </w:r>
      <w:bookmarkEnd w:id="195"/>
      <w:bookmarkEnd w:id="196"/>
    </w:p>
    <w:p w:rsidR="00893821" w:rsidRPr="00A4603B" w:rsidRDefault="00893821" w:rsidP="00282992">
      <w:r w:rsidRPr="00A4603B">
        <w:t>In Alberta’s 2013–16 Strategic Plan, the province indicated that it will focus on providing all Albertans with a primary care “home,” providing timely access to a primary health care team, integrating clinical and social supports, and supporting Albertans in improving and managing their health. Over the next three years, the province commits to developing and implementing a Primary Health Care Strategy and establishing family care clinics. These initiatives are expected to increase the percentage of Albertans who have access to and are satisfied with primary health care and to decrease the percentage of Albertans who access the emergency department due to lack of alternatives.</w:t>
      </w:r>
    </w:p>
    <w:p w:rsidR="00893821" w:rsidRPr="00A4603B" w:rsidRDefault="00893821" w:rsidP="00282992">
      <w:pPr>
        <w:pStyle w:val="Heading4"/>
      </w:pPr>
      <w:bookmarkStart w:id="197" w:name="_Toc417645331"/>
      <w:bookmarkStart w:id="198" w:name="_Toc418101155"/>
      <w:r w:rsidRPr="00A4603B">
        <w:t>Alberta Health Care Insurance Plan</w:t>
      </w:r>
      <w:r w:rsidRPr="00A4603B">
        <w:rPr>
          <w:vertAlign w:val="superscript"/>
        </w:rPr>
        <w:footnoteReference w:id="115"/>
      </w:r>
      <w:bookmarkEnd w:id="197"/>
      <w:bookmarkEnd w:id="198"/>
    </w:p>
    <w:p w:rsidR="00893821" w:rsidRPr="00A4603B" w:rsidRDefault="00893821" w:rsidP="00282992">
      <w:r w:rsidRPr="00A4603B">
        <w:t>In accordance with the Canada Health Act, Alberta has a publicly administered and funded health care system that guarantees Albertans receive universal access to medically necessary hospital and health care services. All new and returning Alberta residents must register for Alberta Health Care Insurance Plan (AHCIP) coverage to receive insured hospital and physician services.</w:t>
      </w:r>
    </w:p>
    <w:p w:rsidR="00893821" w:rsidRPr="00A4603B" w:rsidRDefault="00893821" w:rsidP="00282992">
      <w:pPr>
        <w:pStyle w:val="Heading4"/>
      </w:pPr>
      <w:bookmarkStart w:id="199" w:name="_Toc417645332"/>
      <w:bookmarkStart w:id="200" w:name="_Toc418101156"/>
      <w:r w:rsidRPr="00A4603B">
        <w:t>Alberta Aids to Daily Living</w:t>
      </w:r>
      <w:r w:rsidRPr="00A4603B">
        <w:rPr>
          <w:vertAlign w:val="superscript"/>
        </w:rPr>
        <w:footnoteReference w:id="116"/>
      </w:r>
      <w:bookmarkEnd w:id="199"/>
      <w:bookmarkEnd w:id="200"/>
    </w:p>
    <w:p w:rsidR="00893821" w:rsidRPr="00A4603B" w:rsidRDefault="00893821" w:rsidP="00282992">
      <w:r w:rsidRPr="00A4603B">
        <w:t>The program assists Albertans with a long-term disability, chronic illness or terminal illness to maintain their independence at home, in lodges or group homes by providing financial assistance to buy medical equipment and supplies.</w:t>
      </w:r>
    </w:p>
    <w:p w:rsidR="00893821" w:rsidRPr="00A4603B" w:rsidRDefault="00893821" w:rsidP="00282992">
      <w:pPr>
        <w:pStyle w:val="Heading4"/>
      </w:pPr>
      <w:bookmarkStart w:id="201" w:name="_Toc418101157"/>
      <w:r w:rsidRPr="00A4603B">
        <w:t>Foster and Kinship Care</w:t>
      </w:r>
      <w:r w:rsidRPr="00A4603B">
        <w:rPr>
          <w:vertAlign w:val="superscript"/>
        </w:rPr>
        <w:footnoteReference w:id="117"/>
      </w:r>
      <w:bookmarkEnd w:id="201"/>
    </w:p>
    <w:p w:rsidR="00893821" w:rsidRPr="00A4603B" w:rsidRDefault="00893821" w:rsidP="00893821">
      <w:r w:rsidRPr="00A4603B">
        <w:t>Some of the children and youth in foster care have specialized needs and behavioural challenges. The objective of this program is to assist foster parents in providing quality care, foster parent training is provided to help develop foster parenting skills. Foster parents are reimbursed for all training-related costs, including transportation, accommodation, meals and babysitting.</w:t>
      </w:r>
    </w:p>
    <w:p w:rsidR="00893821" w:rsidRPr="00A4603B" w:rsidRDefault="00893821" w:rsidP="00893821">
      <w:pPr>
        <w:rPr>
          <w:u w:val="single"/>
        </w:rPr>
      </w:pPr>
      <w:r w:rsidRPr="00A4603B">
        <w:t xml:space="preserve">Level 2 training is meant for foster parents for children or youth with higher needs, such as disabilities or behavioural challenges. Level 2 foster parents complete all core training as well as additional training related to the specific needs of the child in their </w:t>
      </w:r>
      <w:r w:rsidRPr="00A4603B">
        <w:lastRenderedPageBreak/>
        <w:t>care. Level 2 foster parents must complete a minimum of 12 hours of supplementary training each year.</w:t>
      </w:r>
    </w:p>
    <w:p w:rsidR="00893821" w:rsidRPr="00A4603B" w:rsidRDefault="00893821" w:rsidP="00282992">
      <w:pPr>
        <w:pStyle w:val="Heading2"/>
      </w:pPr>
      <w:bookmarkStart w:id="202" w:name="_Toc417393266"/>
      <w:bookmarkStart w:id="203" w:name="_Toc417645333"/>
      <w:bookmarkStart w:id="204" w:name="_Toc418101158"/>
      <w:bookmarkStart w:id="205" w:name="_Toc421805839"/>
      <w:bookmarkStart w:id="206" w:name="_Toc424669264"/>
      <w:bookmarkStart w:id="207" w:name="_Toc457553295"/>
      <w:r w:rsidRPr="00A4603B">
        <w:t>Saskatchewan</w:t>
      </w:r>
      <w:bookmarkEnd w:id="202"/>
      <w:bookmarkEnd w:id="203"/>
      <w:bookmarkEnd w:id="204"/>
      <w:bookmarkEnd w:id="205"/>
      <w:bookmarkEnd w:id="206"/>
      <w:bookmarkEnd w:id="207"/>
    </w:p>
    <w:p w:rsidR="00893821" w:rsidRPr="00A4603B" w:rsidRDefault="00893821" w:rsidP="00282992">
      <w:pPr>
        <w:pStyle w:val="Heading3"/>
      </w:pPr>
      <w:bookmarkStart w:id="208" w:name="_Toc418101159"/>
      <w:bookmarkStart w:id="209" w:name="_Toc417393267"/>
      <w:bookmarkStart w:id="210" w:name="_Toc417645334"/>
      <w:r w:rsidRPr="00A4603B">
        <w:t>Policies and Regulations</w:t>
      </w:r>
      <w:bookmarkEnd w:id="208"/>
    </w:p>
    <w:p w:rsidR="00893821" w:rsidRPr="00A4603B" w:rsidRDefault="00893821" w:rsidP="00282992">
      <w:pPr>
        <w:pStyle w:val="Heading4"/>
      </w:pPr>
      <w:bookmarkStart w:id="211" w:name="_Toc417393268"/>
      <w:bookmarkStart w:id="212" w:name="_Toc417645335"/>
      <w:bookmarkStart w:id="213" w:name="_Toc418101161"/>
      <w:bookmarkEnd w:id="209"/>
      <w:bookmarkEnd w:id="210"/>
      <w:r w:rsidRPr="00A4603B">
        <w:t>Uniform Building and Accessibility Standards Act</w:t>
      </w:r>
      <w:bookmarkEnd w:id="211"/>
      <w:bookmarkEnd w:id="212"/>
      <w:r w:rsidRPr="00A4603B">
        <w:rPr>
          <w:vertAlign w:val="superscript"/>
        </w:rPr>
        <w:footnoteReference w:id="118"/>
      </w:r>
      <w:bookmarkEnd w:id="213"/>
    </w:p>
    <w:p w:rsidR="00893821" w:rsidRPr="00A4603B" w:rsidRDefault="00893821" w:rsidP="00282992">
      <w:r w:rsidRPr="00A4603B">
        <w:t xml:space="preserve">The </w:t>
      </w:r>
      <w:r w:rsidRPr="00A4603B">
        <w:rPr>
          <w:i/>
        </w:rPr>
        <w:t>Uniform Building and Accessibility Standards Act</w:t>
      </w:r>
      <w:r w:rsidRPr="00A4603B">
        <w:t> (the UBAS Act) provides the legislative framework for the application of building and accessibility standards. It mandates the barrier-free standards to be complied with for all public service establishments. Application of building and accessibility standards is a shared responsibility.</w:t>
      </w:r>
    </w:p>
    <w:p w:rsidR="00893821" w:rsidRPr="00A4603B" w:rsidRDefault="00893821" w:rsidP="00282992">
      <w:pPr>
        <w:pStyle w:val="Heading4"/>
      </w:pPr>
      <w:bookmarkStart w:id="214" w:name="_Toc417393269"/>
      <w:bookmarkStart w:id="215" w:name="_Toc417645336"/>
      <w:bookmarkStart w:id="216" w:name="_Toc418101162"/>
      <w:r w:rsidRPr="00A4603B">
        <w:t>Saskatchewan Human Rights Code</w:t>
      </w:r>
      <w:bookmarkEnd w:id="214"/>
      <w:bookmarkEnd w:id="215"/>
      <w:r w:rsidRPr="00A4603B">
        <w:rPr>
          <w:vertAlign w:val="superscript"/>
        </w:rPr>
        <w:footnoteReference w:id="119"/>
      </w:r>
      <w:bookmarkEnd w:id="216"/>
    </w:p>
    <w:p w:rsidR="00893821" w:rsidRPr="00A4603B" w:rsidRDefault="00893821" w:rsidP="00282992">
      <w:r w:rsidRPr="00A4603B">
        <w:t xml:space="preserve">The </w:t>
      </w:r>
      <w:r w:rsidRPr="00A4603B">
        <w:rPr>
          <w:i/>
          <w:iCs/>
        </w:rPr>
        <w:t>Saskatchewan Human Rights Code</w:t>
      </w:r>
      <w:r w:rsidRPr="00A4603B">
        <w:t xml:space="preserve"> ensures that persons with disabilities have access to public services on an equal basis with others including equal access to transportation, communications, facilities and services. </w:t>
      </w:r>
    </w:p>
    <w:p w:rsidR="00893821" w:rsidRPr="00A4603B" w:rsidRDefault="00893821" w:rsidP="00282992"/>
    <w:p w:rsidR="00893821" w:rsidRPr="00A4603B" w:rsidRDefault="00893821" w:rsidP="00282992">
      <w:r w:rsidRPr="00A4603B">
        <w:t>The provisions of the Code take precedence over UBAS. Under the Code any building open to the public must be accessible. Where discrimination is on the basis of disability, the Code requires a service provider to take steps to accommodate the needs of people with disabilities unless those steps cause undue hardship. What constitutes undue hardship varies from case to case. Some factors the courts have considered to determine what constitutes undue hardship include:</w:t>
      </w:r>
    </w:p>
    <w:p w:rsidR="00893821" w:rsidRPr="00A4603B" w:rsidRDefault="00893821" w:rsidP="00BC5BD4">
      <w:pPr>
        <w:pStyle w:val="ListParagraph"/>
        <w:numPr>
          <w:ilvl w:val="0"/>
          <w:numId w:val="63"/>
        </w:numPr>
      </w:pPr>
      <w:r w:rsidRPr="00A4603B">
        <w:t>A threat to health or safety,</w:t>
      </w:r>
    </w:p>
    <w:p w:rsidR="00893821" w:rsidRPr="00A4603B" w:rsidRDefault="00893821" w:rsidP="00BC5BD4">
      <w:pPr>
        <w:pStyle w:val="ListParagraph"/>
        <w:numPr>
          <w:ilvl w:val="0"/>
          <w:numId w:val="63"/>
        </w:numPr>
      </w:pPr>
      <w:r w:rsidRPr="00A4603B">
        <w:t>Major economic impact,</w:t>
      </w:r>
    </w:p>
    <w:p w:rsidR="00893821" w:rsidRPr="00A4603B" w:rsidRDefault="00893821" w:rsidP="00BC5BD4">
      <w:pPr>
        <w:pStyle w:val="ListParagraph"/>
        <w:numPr>
          <w:ilvl w:val="0"/>
          <w:numId w:val="63"/>
        </w:numPr>
      </w:pPr>
      <w:r w:rsidRPr="00A4603B">
        <w:t>Past efforts to accommodate, and</w:t>
      </w:r>
    </w:p>
    <w:p w:rsidR="00893821" w:rsidRPr="00A4603B" w:rsidRDefault="00893821" w:rsidP="00BC5BD4">
      <w:pPr>
        <w:pStyle w:val="ListParagraph"/>
        <w:numPr>
          <w:ilvl w:val="0"/>
          <w:numId w:val="63"/>
        </w:numPr>
      </w:pPr>
      <w:r w:rsidRPr="00A4603B">
        <w:t>Facilities and size of organization or workplace</w:t>
      </w:r>
    </w:p>
    <w:p w:rsidR="00893821" w:rsidRPr="00A4603B" w:rsidRDefault="00893821" w:rsidP="00282992">
      <w:r w:rsidRPr="00A4603B">
        <w:t xml:space="preserve">Since the Code is complaint-based, the duty to accommodate is only enforced when someone files a complaint of discrimination. However, remedies for individual </w:t>
      </w:r>
      <w:r w:rsidRPr="00A4603B">
        <w:lastRenderedPageBreak/>
        <w:t xml:space="preserve">complaints often benefit many people. In the vast majority of cases, the parties negotiate accommodating measures that are within the businesses’ means and are acceptable to the person with the disability. People who obtain a building permit are often unaware of their additional legal obligations under the Human Rights Code. The Commission recognizes this is a problem. This is one reason for the Commission’s renewed focus on accessibility. </w:t>
      </w:r>
    </w:p>
    <w:p w:rsidR="00893821" w:rsidRPr="00A4603B" w:rsidRDefault="00893821" w:rsidP="00282992">
      <w:pPr>
        <w:pStyle w:val="Heading4"/>
      </w:pPr>
      <w:r w:rsidRPr="00A4603B">
        <w:t>Saskatchewan Disability Strategy</w:t>
      </w:r>
    </w:p>
    <w:p w:rsidR="00893821" w:rsidRPr="00A4603B" w:rsidRDefault="00893821" w:rsidP="00893821">
      <w:r w:rsidRPr="00A4603B">
        <w:t>The Disability Strategy looks to address and identify the support and service needs of children and adults who experience disability – whether physical, sensory, psychiatric, cognitive or intellectual. It is expected to be released in 2015.</w:t>
      </w:r>
      <w:r w:rsidRPr="00A4603B">
        <w:rPr>
          <w:vertAlign w:val="superscript"/>
        </w:rPr>
        <w:footnoteReference w:id="120"/>
      </w:r>
    </w:p>
    <w:p w:rsidR="00893821" w:rsidRPr="00A4603B" w:rsidRDefault="00893821" w:rsidP="00282992">
      <w:pPr>
        <w:pStyle w:val="Heading3"/>
        <w:ind w:firstLine="720"/>
      </w:pPr>
      <w:bookmarkStart w:id="217" w:name="_Toc418101163"/>
      <w:r w:rsidRPr="00A4603B">
        <w:t>Programs</w:t>
      </w:r>
      <w:bookmarkEnd w:id="217"/>
    </w:p>
    <w:p w:rsidR="00893821" w:rsidRPr="00A4603B" w:rsidRDefault="00893821" w:rsidP="00282992">
      <w:pPr>
        <w:pStyle w:val="Heading4"/>
      </w:pPr>
      <w:bookmarkStart w:id="218" w:name="_Toc417645337"/>
      <w:bookmarkStart w:id="219" w:name="_Toc418101164"/>
      <w:r w:rsidRPr="00A4603B">
        <w:t xml:space="preserve">Saskatchewan Aids to Independent Living </w:t>
      </w:r>
      <w:r w:rsidRPr="00A4603B">
        <w:rPr>
          <w:vertAlign w:val="superscript"/>
        </w:rPr>
        <w:footnoteReference w:id="121"/>
      </w:r>
      <w:bookmarkEnd w:id="218"/>
      <w:bookmarkEnd w:id="219"/>
    </w:p>
    <w:p w:rsidR="00893821" w:rsidRPr="00A4603B" w:rsidRDefault="00893821" w:rsidP="00893821">
      <w:r w:rsidRPr="00A4603B">
        <w:t>Saskatchewan Aids to Independent Living (SAIL) provides assistance to people with physical disabilities to live a more active and independent lifestyle. It also helps people in the management of certain chronic health conditions. The objectives of the program are to:</w:t>
      </w:r>
    </w:p>
    <w:p w:rsidR="00893821" w:rsidRPr="00A4603B" w:rsidRDefault="00893821" w:rsidP="00BC5BD4">
      <w:pPr>
        <w:pStyle w:val="ListParagraph"/>
        <w:numPr>
          <w:ilvl w:val="0"/>
          <w:numId w:val="64"/>
        </w:numPr>
      </w:pPr>
      <w:r w:rsidRPr="00A4603B">
        <w:t xml:space="preserve">Provide people with physical disabilities and certain chronic health conditions a basic level of coverage for disability related equipment, devices, products, and supplies in a cost effective and timely manner. </w:t>
      </w:r>
    </w:p>
    <w:p w:rsidR="00893821" w:rsidRPr="00A4603B" w:rsidRDefault="00893821" w:rsidP="00BC5BD4">
      <w:pPr>
        <w:pStyle w:val="ListParagraph"/>
        <w:numPr>
          <w:ilvl w:val="0"/>
          <w:numId w:val="64"/>
        </w:numPr>
      </w:pPr>
      <w:r w:rsidRPr="00A4603B">
        <w:t xml:space="preserve">Improve affordability of disability supports. </w:t>
      </w:r>
    </w:p>
    <w:p w:rsidR="00893821" w:rsidRPr="00A4603B" w:rsidRDefault="00893821" w:rsidP="00BC5BD4">
      <w:pPr>
        <w:pStyle w:val="ListParagraph"/>
        <w:numPr>
          <w:ilvl w:val="0"/>
          <w:numId w:val="64"/>
        </w:numPr>
      </w:pPr>
      <w:r w:rsidRPr="00A4603B">
        <w:t xml:space="preserve">Ensure easy access to benefits by maintaining effective co-ordination with health professionals and provider agencies in the community and institutions. </w:t>
      </w:r>
    </w:p>
    <w:p w:rsidR="00893821" w:rsidRPr="00A4603B" w:rsidRDefault="00893821" w:rsidP="00BC5BD4">
      <w:pPr>
        <w:pStyle w:val="ListParagraph"/>
        <w:numPr>
          <w:ilvl w:val="0"/>
          <w:numId w:val="64"/>
        </w:numPr>
      </w:pPr>
      <w:r w:rsidRPr="00A4603B">
        <w:t xml:space="preserve">Help facilitate discharge from hospital so people can return to their homes. </w:t>
      </w:r>
    </w:p>
    <w:p w:rsidR="00893821" w:rsidRPr="00A4603B" w:rsidRDefault="00893821" w:rsidP="00BC5BD4">
      <w:pPr>
        <w:pStyle w:val="ListParagraph"/>
        <w:numPr>
          <w:ilvl w:val="0"/>
          <w:numId w:val="64"/>
        </w:numPr>
      </w:pPr>
      <w:r w:rsidRPr="00A4603B">
        <w:t>Ensure appropriate and reasonable use of SAIL benefits.</w:t>
      </w:r>
    </w:p>
    <w:p w:rsidR="00893821" w:rsidRPr="00A4603B" w:rsidRDefault="00893821" w:rsidP="00893821"/>
    <w:p w:rsidR="00893821" w:rsidRPr="00A4603B" w:rsidRDefault="00893821" w:rsidP="00893821">
      <w:r w:rsidRPr="00A4603B">
        <w:t>The Ministry of Health offers universal benefits to people who require them. Programs include:</w:t>
      </w:r>
    </w:p>
    <w:p w:rsidR="00893821" w:rsidRPr="00A4603B" w:rsidRDefault="00893821" w:rsidP="00BC5BD4">
      <w:pPr>
        <w:pStyle w:val="ListParagraph"/>
        <w:numPr>
          <w:ilvl w:val="0"/>
          <w:numId w:val="65"/>
        </w:numPr>
      </w:pPr>
      <w:r w:rsidRPr="00A4603B">
        <w:t>Prosthetics and Orthotics Program</w:t>
      </w:r>
    </w:p>
    <w:p w:rsidR="00893821" w:rsidRPr="00A4603B" w:rsidRDefault="00893821" w:rsidP="00BC5BD4">
      <w:pPr>
        <w:pStyle w:val="ListParagraph"/>
        <w:numPr>
          <w:ilvl w:val="0"/>
          <w:numId w:val="65"/>
        </w:numPr>
      </w:pPr>
      <w:r w:rsidRPr="00A4603B">
        <w:t>Mobility and Assistive Devices (Special Needs Equipment) Program</w:t>
      </w:r>
    </w:p>
    <w:p w:rsidR="00893821" w:rsidRPr="00A4603B" w:rsidRDefault="00893821" w:rsidP="00BC5BD4">
      <w:pPr>
        <w:pStyle w:val="ListParagraph"/>
        <w:numPr>
          <w:ilvl w:val="0"/>
          <w:numId w:val="65"/>
        </w:numPr>
      </w:pPr>
      <w:r w:rsidRPr="00A4603B">
        <w:lastRenderedPageBreak/>
        <w:t>Therapeutic Nutritional Products Program</w:t>
      </w:r>
    </w:p>
    <w:p w:rsidR="00893821" w:rsidRPr="00A4603B" w:rsidRDefault="00893821" w:rsidP="00BC5BD4">
      <w:pPr>
        <w:pStyle w:val="ListParagraph"/>
        <w:numPr>
          <w:ilvl w:val="0"/>
          <w:numId w:val="65"/>
        </w:numPr>
      </w:pPr>
      <w:r w:rsidRPr="00A4603B">
        <w:t>Respiratory Equipment Program</w:t>
      </w:r>
    </w:p>
    <w:p w:rsidR="00893821" w:rsidRPr="00A4603B" w:rsidRDefault="00893821" w:rsidP="00BC5BD4">
      <w:pPr>
        <w:pStyle w:val="ListParagraph"/>
        <w:numPr>
          <w:ilvl w:val="0"/>
          <w:numId w:val="65"/>
        </w:numPr>
      </w:pPr>
      <w:r w:rsidRPr="00A4603B">
        <w:t>Home Oxygen Program</w:t>
      </w:r>
    </w:p>
    <w:p w:rsidR="00893821" w:rsidRPr="00A4603B" w:rsidRDefault="00893821" w:rsidP="00BC5BD4">
      <w:pPr>
        <w:pStyle w:val="ListParagraph"/>
        <w:numPr>
          <w:ilvl w:val="0"/>
          <w:numId w:val="65"/>
        </w:numPr>
      </w:pPr>
      <w:r w:rsidRPr="00A4603B">
        <w:t>Children’s Enteral Feeding Pump Program, and</w:t>
      </w:r>
    </w:p>
    <w:p w:rsidR="00893821" w:rsidRPr="00A4603B" w:rsidRDefault="00893821" w:rsidP="00BC5BD4">
      <w:pPr>
        <w:pStyle w:val="ListParagraph"/>
        <w:numPr>
          <w:ilvl w:val="0"/>
          <w:numId w:val="65"/>
        </w:numPr>
      </w:pPr>
      <w:r w:rsidRPr="00A4603B">
        <w:t>Compression Garment Program.</w:t>
      </w:r>
    </w:p>
    <w:p w:rsidR="00893821" w:rsidRPr="00A4603B" w:rsidRDefault="00893821" w:rsidP="00893821"/>
    <w:p w:rsidR="00893821" w:rsidRPr="00A4603B" w:rsidRDefault="00893821" w:rsidP="00893821">
      <w:r w:rsidRPr="00A4603B">
        <w:t xml:space="preserve">The Ministry provides these special benefits to a qualified applicant who meets specific program eligibility criteria. Programs include: </w:t>
      </w:r>
    </w:p>
    <w:p w:rsidR="00893821" w:rsidRPr="00A4603B" w:rsidRDefault="00893821" w:rsidP="00BC5BD4">
      <w:pPr>
        <w:pStyle w:val="ListParagraph"/>
        <w:numPr>
          <w:ilvl w:val="0"/>
          <w:numId w:val="66"/>
        </w:numPr>
      </w:pPr>
      <w:r w:rsidRPr="00A4603B">
        <w:t>Paraplegia Program</w:t>
      </w:r>
    </w:p>
    <w:p w:rsidR="00893821" w:rsidRPr="00A4603B" w:rsidRDefault="00893821" w:rsidP="00BC5BD4">
      <w:pPr>
        <w:pStyle w:val="ListParagraph"/>
        <w:numPr>
          <w:ilvl w:val="0"/>
          <w:numId w:val="66"/>
        </w:numPr>
      </w:pPr>
      <w:r w:rsidRPr="00A4603B">
        <w:t>Cystic Fibrosis Program</w:t>
      </w:r>
    </w:p>
    <w:p w:rsidR="00893821" w:rsidRPr="00A4603B" w:rsidRDefault="00893821" w:rsidP="00BC5BD4">
      <w:pPr>
        <w:pStyle w:val="ListParagraph"/>
        <w:numPr>
          <w:ilvl w:val="0"/>
          <w:numId w:val="66"/>
        </w:numPr>
      </w:pPr>
      <w:r w:rsidRPr="00A4603B">
        <w:t>Chronic End-Stage Renal Disease Program</w:t>
      </w:r>
    </w:p>
    <w:p w:rsidR="00893821" w:rsidRPr="00A4603B" w:rsidRDefault="00893821" w:rsidP="00BC5BD4">
      <w:pPr>
        <w:pStyle w:val="ListParagraph"/>
        <w:numPr>
          <w:ilvl w:val="0"/>
          <w:numId w:val="66"/>
        </w:numPr>
      </w:pPr>
      <w:r w:rsidRPr="00A4603B">
        <w:t>Ostomy Program</w:t>
      </w:r>
    </w:p>
    <w:p w:rsidR="00893821" w:rsidRPr="00A4603B" w:rsidRDefault="00893821" w:rsidP="00BC5BD4">
      <w:pPr>
        <w:pStyle w:val="ListParagraph"/>
        <w:numPr>
          <w:ilvl w:val="0"/>
          <w:numId w:val="66"/>
        </w:numPr>
      </w:pPr>
      <w:r w:rsidRPr="00A4603B">
        <w:t>Haemophilia Program</w:t>
      </w:r>
    </w:p>
    <w:p w:rsidR="00893821" w:rsidRPr="00A4603B" w:rsidRDefault="00893821" w:rsidP="00BC5BD4">
      <w:pPr>
        <w:pStyle w:val="ListParagraph"/>
        <w:numPr>
          <w:ilvl w:val="0"/>
          <w:numId w:val="66"/>
        </w:numPr>
      </w:pPr>
      <w:r w:rsidRPr="00A4603B">
        <w:t>Aids to the Blind, and</w:t>
      </w:r>
    </w:p>
    <w:p w:rsidR="00893821" w:rsidRPr="00A4603B" w:rsidRDefault="00893821" w:rsidP="00BC5BD4">
      <w:pPr>
        <w:pStyle w:val="ListParagraph"/>
        <w:numPr>
          <w:ilvl w:val="0"/>
          <w:numId w:val="66"/>
        </w:numPr>
      </w:pPr>
      <w:r w:rsidRPr="00A4603B">
        <w:t>Saskatchewan Insulin Pump Program.</w:t>
      </w:r>
    </w:p>
    <w:p w:rsidR="00893821" w:rsidRPr="00A4603B" w:rsidRDefault="00893821" w:rsidP="00893821"/>
    <w:p w:rsidR="00893821" w:rsidRPr="00A4603B" w:rsidRDefault="00893821" w:rsidP="00282992">
      <w:pPr>
        <w:pStyle w:val="Heading2"/>
      </w:pPr>
      <w:bookmarkStart w:id="220" w:name="_Toc417393270"/>
      <w:bookmarkStart w:id="221" w:name="_Toc417645338"/>
      <w:bookmarkStart w:id="222" w:name="_Toc418101165"/>
      <w:bookmarkStart w:id="223" w:name="_Toc421805840"/>
      <w:bookmarkStart w:id="224" w:name="_Toc424669265"/>
      <w:bookmarkStart w:id="225" w:name="_Toc457553296"/>
      <w:r w:rsidRPr="00A4603B">
        <w:t>Manitoba</w:t>
      </w:r>
      <w:bookmarkEnd w:id="220"/>
      <w:bookmarkEnd w:id="221"/>
      <w:bookmarkEnd w:id="222"/>
      <w:bookmarkEnd w:id="223"/>
      <w:bookmarkEnd w:id="224"/>
      <w:bookmarkEnd w:id="225"/>
    </w:p>
    <w:p w:rsidR="00893821" w:rsidRPr="00A4603B" w:rsidRDefault="00893821" w:rsidP="00CA0953">
      <w:pPr>
        <w:pStyle w:val="Heading3"/>
      </w:pPr>
      <w:bookmarkStart w:id="226" w:name="_Toc418101166"/>
      <w:r w:rsidRPr="00A4603B">
        <w:t>Policies and Regulations</w:t>
      </w:r>
      <w:bookmarkEnd w:id="226"/>
    </w:p>
    <w:p w:rsidR="00893821" w:rsidRPr="00A4603B" w:rsidRDefault="00893821" w:rsidP="00CA0953">
      <w:pPr>
        <w:pStyle w:val="Heading4"/>
      </w:pPr>
      <w:bookmarkStart w:id="227" w:name="_Toc417645339"/>
      <w:bookmarkStart w:id="228" w:name="_Toc418101167"/>
      <w:r w:rsidRPr="00A4603B">
        <w:t>Manitoba Policy on Access to Government Publications, Events and Services (MPAG)</w:t>
      </w:r>
      <w:bookmarkEnd w:id="227"/>
      <w:r w:rsidRPr="00A4603B">
        <w:rPr>
          <w:vertAlign w:val="superscript"/>
        </w:rPr>
        <w:footnoteReference w:id="122"/>
      </w:r>
      <w:bookmarkEnd w:id="228"/>
    </w:p>
    <w:p w:rsidR="00893821" w:rsidRPr="00A4603B" w:rsidRDefault="00893821" w:rsidP="00CA0953">
      <w:pPr>
        <w:rPr>
          <w:b/>
        </w:rPr>
      </w:pPr>
      <w:r w:rsidRPr="00A4603B">
        <w:t>The Manitoba Policy on Access to Government Publications, Events and Services (MPAG) has the purpose of ensuring equal access by Manitobans with disabilities to information, public meetings, and other services provided by government.</w:t>
      </w:r>
    </w:p>
    <w:p w:rsidR="00893821" w:rsidRPr="00A4603B" w:rsidRDefault="00893821" w:rsidP="00CA0953">
      <w:pPr>
        <w:pStyle w:val="Heading4"/>
      </w:pPr>
      <w:bookmarkStart w:id="229" w:name="_Toc417393271"/>
      <w:bookmarkStart w:id="230" w:name="_Toc417645340"/>
      <w:bookmarkStart w:id="231" w:name="_Toc418101168"/>
      <w:r w:rsidRPr="00A4603B">
        <w:t>The Accessibility for Manitobans Act</w:t>
      </w:r>
      <w:bookmarkEnd w:id="229"/>
      <w:bookmarkEnd w:id="230"/>
      <w:r w:rsidRPr="00A4603B">
        <w:rPr>
          <w:vertAlign w:val="superscript"/>
        </w:rPr>
        <w:footnoteReference w:id="123"/>
      </w:r>
      <w:bookmarkEnd w:id="231"/>
    </w:p>
    <w:p w:rsidR="00893821" w:rsidRPr="00A4603B" w:rsidRDefault="00893821" w:rsidP="00CA0953">
      <w:r w:rsidRPr="00A4603B">
        <w:t>The Accessibility for Manitobans Act (AMA) became law on December 5, 2013. Under this landmark legislation, the Manitoba government will develop mandatory accessibility standards. Each standard will address barriers for Manitobans in key areas of daily living. Standards will apply to Manitoba’s private and public sector organizations.</w:t>
      </w:r>
    </w:p>
    <w:p w:rsidR="00893821" w:rsidRPr="00A4603B" w:rsidRDefault="00893821" w:rsidP="00CA0953">
      <w:r w:rsidRPr="00A4603B">
        <w:lastRenderedPageBreak/>
        <w:t>For 2016, and every second year after that, the act will require Manitoba government and broader public sector organizations to prepare accessibility plans that address the identification, prevention and removal of barriers. Public sector organizations include municipalities, public transportation organizations, colleges and universities, hospitals and school boards.</w:t>
      </w:r>
    </w:p>
    <w:p w:rsidR="00893821" w:rsidRPr="00A4603B" w:rsidRDefault="00893821" w:rsidP="00CA0953">
      <w:r w:rsidRPr="00A4603B">
        <w:t>The Accessible Built Environment standard under this act address access into and within buildings and outdoor spaces and is expected to build on Manitoba’s Building Code. The standard could include things like counter height, aisle and door width, parking and signs.</w:t>
      </w:r>
    </w:p>
    <w:p w:rsidR="00893821" w:rsidRPr="00A4603B" w:rsidRDefault="00893821" w:rsidP="00CA0953">
      <w:pPr>
        <w:pStyle w:val="Heading4"/>
      </w:pPr>
      <w:bookmarkStart w:id="232" w:name="_Toc417393272"/>
      <w:bookmarkStart w:id="233" w:name="_Toc417645341"/>
      <w:bookmarkStart w:id="234" w:name="_Toc418101169"/>
      <w:r w:rsidRPr="00A4603B">
        <w:t>Manitoba Policy on Access to Government Publications, Events, and Services</w:t>
      </w:r>
      <w:bookmarkEnd w:id="232"/>
      <w:bookmarkEnd w:id="233"/>
      <w:r w:rsidRPr="00A4603B">
        <w:rPr>
          <w:vertAlign w:val="superscript"/>
        </w:rPr>
        <w:footnoteReference w:id="124"/>
      </w:r>
      <w:bookmarkEnd w:id="234"/>
    </w:p>
    <w:p w:rsidR="00893821" w:rsidRPr="00A4603B" w:rsidRDefault="00893821" w:rsidP="00CA0953">
      <w:r w:rsidRPr="00A4603B">
        <w:t xml:space="preserve">The </w:t>
      </w:r>
      <w:r w:rsidRPr="00A4603B">
        <w:rPr>
          <w:i/>
        </w:rPr>
        <w:t>Manitoba Policy on Access to Government Publications, Events, and Services</w:t>
      </w:r>
      <w:r w:rsidRPr="00A4603B">
        <w:t xml:space="preserve"> instructs the quality of interaction between government bodies and Manitobans with disabilities when providing information, organizing events (including public meetings), and offering services. The policy is aimed at eliminating barriers faced by Manitobans with disabilities. It addresses the way people with disabilities are treated by government, but does not address program entitlements. </w:t>
      </w:r>
    </w:p>
    <w:p w:rsidR="00893821" w:rsidRPr="00A4603B" w:rsidRDefault="00893821" w:rsidP="00CA0953">
      <w:pPr>
        <w:pStyle w:val="Heading3"/>
      </w:pPr>
      <w:bookmarkStart w:id="235" w:name="_Toc418101170"/>
      <w:r w:rsidRPr="00A4603B">
        <w:t>Programs</w:t>
      </w:r>
      <w:bookmarkEnd w:id="235"/>
    </w:p>
    <w:p w:rsidR="00893821" w:rsidRPr="00A4603B" w:rsidRDefault="00893821" w:rsidP="00CA0953">
      <w:pPr>
        <w:pStyle w:val="Heading4"/>
      </w:pPr>
      <w:bookmarkStart w:id="236" w:name="_Toc417393273"/>
      <w:bookmarkStart w:id="237" w:name="_Toc417645342"/>
      <w:bookmarkStart w:id="238" w:name="_Toc418101171"/>
      <w:r w:rsidRPr="00A4603B">
        <w:t>Manitoba Access Awareness Week</w:t>
      </w:r>
      <w:bookmarkEnd w:id="236"/>
      <w:bookmarkEnd w:id="237"/>
      <w:r w:rsidRPr="00A4603B">
        <w:rPr>
          <w:vertAlign w:val="superscript"/>
        </w:rPr>
        <w:footnoteReference w:id="125"/>
      </w:r>
      <w:bookmarkEnd w:id="238"/>
    </w:p>
    <w:p w:rsidR="00893821" w:rsidRPr="00A4603B" w:rsidRDefault="00893821" w:rsidP="00CA0953">
      <w:r w:rsidRPr="00A4603B">
        <w:t>Manitoba Access Awareness Week (MAAW) is celebrated annually to raise awareness of the barriers people with disabilities face that affect their full participation in society and to promote the removal of these barriers. Public events provide disability awareness training and promote leadership among organizations and businesses to make Manitoba a more inclusive society.</w:t>
      </w:r>
    </w:p>
    <w:p w:rsidR="00893821" w:rsidRPr="00A4603B" w:rsidRDefault="00893821" w:rsidP="00CA0953">
      <w:pPr>
        <w:pStyle w:val="Heading4"/>
      </w:pPr>
      <w:bookmarkStart w:id="239" w:name="_Toc417645343"/>
      <w:bookmarkStart w:id="240" w:name="_Toc418101172"/>
      <w:r w:rsidRPr="00A4603B">
        <w:t>Disability and Health Supports Unit</w:t>
      </w:r>
      <w:r w:rsidRPr="00A4603B">
        <w:rPr>
          <w:vertAlign w:val="superscript"/>
        </w:rPr>
        <w:footnoteReference w:id="126"/>
      </w:r>
      <w:bookmarkEnd w:id="239"/>
      <w:bookmarkEnd w:id="240"/>
    </w:p>
    <w:p w:rsidR="00893821" w:rsidRPr="00A4603B" w:rsidRDefault="00893821" w:rsidP="00CA0953">
      <w:r w:rsidRPr="00A4603B">
        <w:t>The Disability and Health Supports Unit offers a streamlined, one-stop-shop to help eligible program participants throughout Manitoba access the disability and health-related supplies and equipment they need in a consistent, fair, efficient manner.</w:t>
      </w:r>
    </w:p>
    <w:p w:rsidR="00893821" w:rsidRPr="00A4603B" w:rsidRDefault="00893821" w:rsidP="00CA0953">
      <w:pPr>
        <w:pStyle w:val="Heading4"/>
      </w:pPr>
      <w:bookmarkStart w:id="241" w:name="_Toc417645344"/>
      <w:bookmarkStart w:id="242" w:name="_Toc418101173"/>
      <w:r w:rsidRPr="00A4603B">
        <w:t>Home Care</w:t>
      </w:r>
      <w:r w:rsidRPr="00A4603B">
        <w:rPr>
          <w:vertAlign w:val="superscript"/>
        </w:rPr>
        <w:footnoteReference w:id="127"/>
      </w:r>
      <w:bookmarkEnd w:id="241"/>
      <w:bookmarkEnd w:id="242"/>
    </w:p>
    <w:p w:rsidR="00893821" w:rsidRPr="00A4603B" w:rsidRDefault="00893821" w:rsidP="00CA0953">
      <w:r w:rsidRPr="00A4603B">
        <w:lastRenderedPageBreak/>
        <w:t>The Manitoba Home Care Program provides home support to individuals, regardless of age, who require health services or assistance with activities of daily living. Home Care works with individuals and provides assistance to help them stay in their homes for as long as is safely possible.</w:t>
      </w:r>
    </w:p>
    <w:p w:rsidR="00893821" w:rsidRPr="00A4603B" w:rsidRDefault="00893821" w:rsidP="00CA0953">
      <w:pPr>
        <w:pStyle w:val="Heading4"/>
        <w:rPr>
          <w:lang w:val="en-US"/>
        </w:rPr>
      </w:pPr>
      <w:bookmarkStart w:id="243" w:name="_Toc418101174"/>
      <w:r w:rsidRPr="00A4603B">
        <w:t>Eyeglass Program</w:t>
      </w:r>
      <w:r w:rsidRPr="00A4603B">
        <w:rPr>
          <w:vertAlign w:val="superscript"/>
        </w:rPr>
        <w:footnoteReference w:id="128"/>
      </w:r>
      <w:bookmarkEnd w:id="243"/>
    </w:p>
    <w:p w:rsidR="00893821" w:rsidRPr="00A4603B" w:rsidRDefault="00893821" w:rsidP="00CA0953">
      <w:r w:rsidRPr="00A4603B">
        <w:t xml:space="preserve">The Eyeglass Program provides limited financial assistance toward the purchase of eyeglasses for Manitoba residents who are 65 years of age, and older. Benefits are based on a fixed fee schedule for dispensing fees, frames and lenses. Rebates are never calculated according to the cost of the glasses. The total allowable amount, based on this fee schedule, is subject to a deductible. Once the deductible has been applied, Manitoba Health will reimburse 80% of the remainder of the allowable total. The deductible applies once a year (April 1 to March 31) per family. If additional glasses are required within the 12 month period, one does not have to pay the deductible again. </w:t>
      </w:r>
    </w:p>
    <w:p w:rsidR="00893821" w:rsidRPr="00A4603B" w:rsidRDefault="00893821" w:rsidP="00CA0953">
      <w:pPr>
        <w:pStyle w:val="Heading4"/>
      </w:pPr>
      <w:bookmarkStart w:id="244" w:name="_Toc418101175"/>
      <w:r w:rsidRPr="00A4603B">
        <w:t>Children’s Hearing Aid Program</w:t>
      </w:r>
      <w:r w:rsidRPr="00A4603B">
        <w:rPr>
          <w:vertAlign w:val="superscript"/>
        </w:rPr>
        <w:footnoteReference w:id="129"/>
      </w:r>
      <w:bookmarkEnd w:id="244"/>
    </w:p>
    <w:p w:rsidR="00893821" w:rsidRPr="00A4603B" w:rsidRDefault="00893821" w:rsidP="00CA0953">
      <w:r w:rsidRPr="00A4603B">
        <w:t>Manitoba Health’s Hearing Aid Program provides hearing aids (analog or digital; ear moulds and ear impressions) to Manitoba residents under the age of 18 who require a hearing aid, as prescribed by an otolaryngologist or audiologist. Manitoba Health, Healthy Living and Seniors will reimburse:</w:t>
      </w:r>
    </w:p>
    <w:p w:rsidR="00893821" w:rsidRPr="00A4603B" w:rsidRDefault="00893821" w:rsidP="00BC5BD4">
      <w:pPr>
        <w:pStyle w:val="ListParagraph"/>
        <w:numPr>
          <w:ilvl w:val="0"/>
          <w:numId w:val="67"/>
        </w:numPr>
      </w:pPr>
      <w:r w:rsidRPr="00A4603B">
        <w:t>80 percent of a fixed amount for an analog device, up to a maximum of $500 per ear</w:t>
      </w:r>
    </w:p>
    <w:p w:rsidR="00893821" w:rsidRPr="00A4603B" w:rsidRDefault="00893821" w:rsidP="00BC5BD4">
      <w:pPr>
        <w:pStyle w:val="ListParagraph"/>
        <w:numPr>
          <w:ilvl w:val="0"/>
          <w:numId w:val="67"/>
        </w:numPr>
      </w:pPr>
      <w:r w:rsidRPr="00A4603B">
        <w:t>80 percent of a fixed amount for a digital or analog programmable device, up to a maximum of $1800</w:t>
      </w:r>
    </w:p>
    <w:p w:rsidR="00893821" w:rsidRPr="00A4603B" w:rsidRDefault="00893821" w:rsidP="00BC5BD4">
      <w:pPr>
        <w:pStyle w:val="ListParagraph"/>
        <w:numPr>
          <w:ilvl w:val="0"/>
          <w:numId w:val="67"/>
        </w:numPr>
      </w:pPr>
      <w:r w:rsidRPr="00A4603B">
        <w:t>80 percent of a fixed amount for additional services, such as dispensing fees, ear molds, and ear impressions.</w:t>
      </w:r>
    </w:p>
    <w:p w:rsidR="00893821" w:rsidRPr="00A4603B" w:rsidRDefault="00893821" w:rsidP="00CA0953">
      <w:pPr>
        <w:pStyle w:val="Heading4"/>
      </w:pPr>
      <w:bookmarkStart w:id="245" w:name="_Toc418101176"/>
      <w:r w:rsidRPr="00A4603B">
        <w:t>Orthopaedic Shoes Program</w:t>
      </w:r>
      <w:r w:rsidRPr="00A4603B">
        <w:rPr>
          <w:vertAlign w:val="superscript"/>
        </w:rPr>
        <w:footnoteReference w:id="130"/>
      </w:r>
      <w:bookmarkEnd w:id="245"/>
    </w:p>
    <w:p w:rsidR="00893821" w:rsidRPr="00A4603B" w:rsidRDefault="00893821" w:rsidP="00CA0953">
      <w:r w:rsidRPr="00A4603B">
        <w:t xml:space="preserve">Hearing Aid Program provides hearing aids (analog or digital; ear moulds and ear impressions) to Manitoba residents under the age of 18 who require a hearing aid, as prescribed by an otolaryngologist or audiologist. </w:t>
      </w:r>
      <w:r w:rsidRPr="00A4603B">
        <w:rPr>
          <w:lang w:val="en-US"/>
        </w:rPr>
        <w:t>Manitoba Health, Healthy Living and Seniors rebates the following amounts:</w:t>
      </w:r>
    </w:p>
    <w:p w:rsidR="00893821" w:rsidRPr="00CA0953" w:rsidRDefault="00893821" w:rsidP="00BC5BD4">
      <w:pPr>
        <w:pStyle w:val="ListParagraph"/>
        <w:numPr>
          <w:ilvl w:val="0"/>
          <w:numId w:val="68"/>
        </w:numPr>
        <w:rPr>
          <w:lang w:val="en-US"/>
        </w:rPr>
      </w:pPr>
      <w:r w:rsidRPr="00CA0953">
        <w:rPr>
          <w:lang w:val="en-US"/>
        </w:rPr>
        <w:t xml:space="preserve">50 percent of the cost of stock shoes up to a maximum of $27.80 </w:t>
      </w:r>
    </w:p>
    <w:p w:rsidR="00893821" w:rsidRPr="00CA0953" w:rsidRDefault="00893821" w:rsidP="00BC5BD4">
      <w:pPr>
        <w:pStyle w:val="ListParagraph"/>
        <w:numPr>
          <w:ilvl w:val="0"/>
          <w:numId w:val="68"/>
        </w:numPr>
        <w:rPr>
          <w:lang w:val="en-US"/>
        </w:rPr>
      </w:pPr>
      <w:r w:rsidRPr="00CA0953">
        <w:rPr>
          <w:lang w:val="en-US"/>
        </w:rPr>
        <w:lastRenderedPageBreak/>
        <w:t xml:space="preserve">50 percent of the cost of shoes for children with different sized feet to a maximum of $41.80 </w:t>
      </w:r>
    </w:p>
    <w:p w:rsidR="00893821" w:rsidRPr="00CA0953" w:rsidRDefault="00893821" w:rsidP="00BC5BD4">
      <w:pPr>
        <w:pStyle w:val="ListParagraph"/>
        <w:numPr>
          <w:ilvl w:val="0"/>
          <w:numId w:val="68"/>
        </w:numPr>
        <w:rPr>
          <w:lang w:val="en-US"/>
        </w:rPr>
      </w:pPr>
      <w:r w:rsidRPr="00CA0953">
        <w:rPr>
          <w:lang w:val="en-US"/>
        </w:rPr>
        <w:t xml:space="preserve">50 percent of the cost of custom-made shoes to a maximum of $139.00 </w:t>
      </w:r>
    </w:p>
    <w:p w:rsidR="00893821" w:rsidRPr="00A4603B" w:rsidRDefault="00893821" w:rsidP="00CA0953">
      <w:pPr>
        <w:rPr>
          <w:lang w:val="en-US"/>
        </w:rPr>
      </w:pPr>
      <w:r w:rsidRPr="00A4603B">
        <w:rPr>
          <w:lang w:val="en-US"/>
        </w:rPr>
        <w:t>An allowance of $5.55 per pair of shoes is also provided for modifications.</w:t>
      </w:r>
    </w:p>
    <w:p w:rsidR="00893821" w:rsidRPr="00A4603B" w:rsidRDefault="00893821" w:rsidP="00CA0953">
      <w:pPr>
        <w:pStyle w:val="Heading4"/>
      </w:pPr>
      <w:bookmarkStart w:id="246" w:name="_Toc418101177"/>
      <w:r w:rsidRPr="00A4603B">
        <w:t>Infant Contact Lens Program</w:t>
      </w:r>
      <w:r w:rsidRPr="00A4603B">
        <w:rPr>
          <w:vertAlign w:val="superscript"/>
        </w:rPr>
        <w:footnoteReference w:id="131"/>
      </w:r>
      <w:bookmarkEnd w:id="246"/>
    </w:p>
    <w:p w:rsidR="00893821" w:rsidRPr="00A4603B" w:rsidRDefault="00893821" w:rsidP="00CA0953">
      <w:r w:rsidRPr="00A4603B">
        <w:t>Contact lenses for congenital disorders in infants are eligible for rebate when prescribed by an ophthalmologist and the costs are not paid through other provincial or federal programs. Manitoba Health, Healthy Living and Seniors will provide one lens per eye, per infant.  The maximum allowable reimbursement is $190.00 for a single lens and $380.00 for bilateral lenses.</w:t>
      </w:r>
    </w:p>
    <w:p w:rsidR="00893821" w:rsidRPr="00A4603B" w:rsidRDefault="00893821" w:rsidP="00CA0953">
      <w:pPr>
        <w:pStyle w:val="Heading4"/>
      </w:pPr>
      <w:bookmarkStart w:id="247" w:name="_Toc418101178"/>
      <w:r w:rsidRPr="00A4603B">
        <w:t>Telecommunications Program</w:t>
      </w:r>
      <w:r w:rsidRPr="00A4603B">
        <w:rPr>
          <w:vertAlign w:val="superscript"/>
        </w:rPr>
        <w:footnoteReference w:id="132"/>
      </w:r>
      <w:bookmarkEnd w:id="247"/>
    </w:p>
    <w:p w:rsidR="00893821" w:rsidRPr="00A4603B" w:rsidRDefault="00893821" w:rsidP="00893821">
      <w:r w:rsidRPr="00A4603B">
        <w:t>Manitoba residents who are profoundly deaf or speech impaired as diagnosed by a medical practitioner specializing in otolaryngology or an audiologist and do not have the costs paid through other provincial or federal programs are eligible for this program.</w:t>
      </w:r>
    </w:p>
    <w:p w:rsidR="00893821" w:rsidRPr="00A4603B" w:rsidRDefault="00893821" w:rsidP="00893821">
      <w:r w:rsidRPr="00A4603B">
        <w:t>Manitoba Health, Healthy Living and Seniors provides assistance towards the cost of telecommunications equipment which allows telephone conversations to be conducted by keyboard and display terminal instead of voice.  Manitoba Health, Healthy Living and Seniors will pay 80 per cent of the equipment cost to a maximum allowable rebate of $428.00.</w:t>
      </w:r>
    </w:p>
    <w:p w:rsidR="00893821" w:rsidRPr="00A4603B" w:rsidRDefault="00893821" w:rsidP="00CA0953">
      <w:pPr>
        <w:pStyle w:val="Heading2"/>
      </w:pPr>
      <w:bookmarkStart w:id="248" w:name="_Toc417645352"/>
      <w:bookmarkStart w:id="249" w:name="_Toc418101179"/>
      <w:bookmarkStart w:id="250" w:name="_Toc421805841"/>
      <w:bookmarkStart w:id="251" w:name="_Toc424669266"/>
      <w:bookmarkStart w:id="252" w:name="_Toc457553297"/>
      <w:bookmarkStart w:id="253" w:name="_Toc417393274"/>
      <w:bookmarkStart w:id="254" w:name="_Toc417645345"/>
      <w:r w:rsidRPr="00A4603B">
        <w:t>New Brunswick</w:t>
      </w:r>
      <w:bookmarkEnd w:id="248"/>
      <w:bookmarkEnd w:id="249"/>
      <w:bookmarkEnd w:id="250"/>
      <w:bookmarkEnd w:id="251"/>
      <w:bookmarkEnd w:id="252"/>
    </w:p>
    <w:p w:rsidR="00893821" w:rsidRPr="00A4603B" w:rsidRDefault="00893821" w:rsidP="00E060A7">
      <w:pPr>
        <w:pStyle w:val="Heading3"/>
      </w:pPr>
      <w:bookmarkStart w:id="255" w:name="_Toc418101180"/>
      <w:bookmarkStart w:id="256" w:name="_Toc417393278"/>
      <w:bookmarkStart w:id="257" w:name="_Toc417645353"/>
      <w:r w:rsidRPr="00A4603B">
        <w:t>Policies and Regulations</w:t>
      </w:r>
      <w:bookmarkEnd w:id="255"/>
    </w:p>
    <w:p w:rsidR="00893821" w:rsidRPr="00A4603B" w:rsidRDefault="00893821" w:rsidP="00E060A7">
      <w:pPr>
        <w:pStyle w:val="Heading4"/>
      </w:pPr>
      <w:bookmarkStart w:id="258" w:name="_Toc418101181"/>
      <w:r w:rsidRPr="00A4603B">
        <w:t>Barrier-Free Design Building Code Regulation - Community Planning Act</w:t>
      </w:r>
      <w:bookmarkEnd w:id="256"/>
      <w:bookmarkEnd w:id="257"/>
      <w:r w:rsidRPr="00A4603B">
        <w:rPr>
          <w:vertAlign w:val="superscript"/>
        </w:rPr>
        <w:footnoteReference w:id="133"/>
      </w:r>
      <w:bookmarkEnd w:id="258"/>
    </w:p>
    <w:p w:rsidR="00893821" w:rsidRPr="00A4603B" w:rsidRDefault="00893821" w:rsidP="00E060A7">
      <w:pPr>
        <w:rPr>
          <w:i/>
        </w:rPr>
      </w:pPr>
      <w:r w:rsidRPr="00A4603B">
        <w:t xml:space="preserve">Under section 59 of the </w:t>
      </w:r>
      <w:r w:rsidRPr="00A4603B">
        <w:rPr>
          <w:i/>
        </w:rPr>
        <w:t>Community Planning Act</w:t>
      </w:r>
      <w:r w:rsidRPr="00A4603B">
        <w:t xml:space="preserve">, the Lieutenant-Governor in Council has made and approved the </w:t>
      </w:r>
      <w:r w:rsidRPr="00A4603B">
        <w:rPr>
          <w:i/>
        </w:rPr>
        <w:t xml:space="preserve">Barrier-Free Design Building Code Regulation. </w:t>
      </w:r>
      <w:r w:rsidRPr="00A4603B">
        <w:t xml:space="preserve">This regulation is largely based on the </w:t>
      </w:r>
      <w:r w:rsidRPr="00A4603B">
        <w:rPr>
          <w:i/>
        </w:rPr>
        <w:t xml:space="preserve">Nova Scotia Building Code Regulation. </w:t>
      </w:r>
      <w:r w:rsidRPr="00A4603B">
        <w:t>Section 3.8</w:t>
      </w:r>
      <w:r w:rsidRPr="00A4603B">
        <w:rPr>
          <w:i/>
        </w:rPr>
        <w:t xml:space="preserve"> </w:t>
      </w:r>
      <w:r w:rsidRPr="00A4603B">
        <w:t xml:space="preserve">of the </w:t>
      </w:r>
      <w:r w:rsidRPr="00A4603B">
        <w:rPr>
          <w:i/>
        </w:rPr>
        <w:t>Barrier-Free Design Building Code Regulation</w:t>
      </w:r>
      <w:r w:rsidRPr="00A4603B">
        <w:t>, deals with the barrier-free stipulations, design standards, and requirements in the built-environment of a building.</w:t>
      </w:r>
      <w:bookmarkStart w:id="259" w:name="_Toc417393279"/>
      <w:bookmarkStart w:id="260" w:name="_Toc417645354"/>
      <w:bookmarkStart w:id="261" w:name="_Toc418101182"/>
    </w:p>
    <w:p w:rsidR="00893821" w:rsidRPr="00A4603B" w:rsidRDefault="00893821" w:rsidP="00E060A7">
      <w:pPr>
        <w:pStyle w:val="Heading4"/>
      </w:pPr>
      <w:r w:rsidRPr="00A4603B">
        <w:t>Design Standards for Nursing Homes</w:t>
      </w:r>
      <w:bookmarkEnd w:id="259"/>
      <w:bookmarkEnd w:id="260"/>
      <w:r w:rsidRPr="00A4603B">
        <w:rPr>
          <w:vertAlign w:val="superscript"/>
        </w:rPr>
        <w:footnoteReference w:id="134"/>
      </w:r>
      <w:bookmarkEnd w:id="261"/>
    </w:p>
    <w:p w:rsidR="00893821" w:rsidRPr="00A4603B" w:rsidRDefault="00893821" w:rsidP="00E060A7">
      <w:r w:rsidRPr="00A4603B">
        <w:lastRenderedPageBreak/>
        <w:t xml:space="preserve">According to the Design Standards for Nursing Homes, prepared by Department of Supply and Services, the following shall apply for all new construction and major renovation projects. </w:t>
      </w:r>
    </w:p>
    <w:p w:rsidR="00893821" w:rsidRPr="00A4603B" w:rsidRDefault="00893821" w:rsidP="00BC5BD4">
      <w:pPr>
        <w:pStyle w:val="ListParagraph"/>
        <w:numPr>
          <w:ilvl w:val="0"/>
          <w:numId w:val="69"/>
        </w:numPr>
      </w:pPr>
      <w:r w:rsidRPr="00A4603B">
        <w:t>Existing conditions may restrict the implementation of some of these requirements; any deletions shall be approved by the nursing home, Department of Social Development, and Department of Supply and Services</w:t>
      </w:r>
    </w:p>
    <w:p w:rsidR="00893821" w:rsidRPr="00A4603B" w:rsidRDefault="00893821" w:rsidP="00BC5BD4">
      <w:pPr>
        <w:pStyle w:val="ListParagraph"/>
        <w:numPr>
          <w:ilvl w:val="0"/>
          <w:numId w:val="69"/>
        </w:numPr>
      </w:pPr>
      <w:r w:rsidRPr="00A4603B">
        <w:t xml:space="preserve">All floor areas are to be accessible. Levels at different elevations on the same storey are to be connected by ramps or elevators. Wherever possible, Universal Design principles are encouraged. Minimize use of ramps. </w:t>
      </w:r>
    </w:p>
    <w:p w:rsidR="00893821" w:rsidRPr="00A4603B" w:rsidRDefault="00893821" w:rsidP="00BC5BD4">
      <w:pPr>
        <w:pStyle w:val="ListParagraph"/>
        <w:numPr>
          <w:ilvl w:val="0"/>
          <w:numId w:val="69"/>
        </w:numPr>
      </w:pPr>
      <w:r w:rsidRPr="00A4603B">
        <w:t xml:space="preserve">In existing Buildings only; vertical platform lifts may be an acceptable solution but must be verified with DSD and the Department of Public Safety’s Chief Elevator Inspector. </w:t>
      </w:r>
    </w:p>
    <w:p w:rsidR="00893821" w:rsidRPr="00A4603B" w:rsidRDefault="00893821" w:rsidP="00BC5BD4">
      <w:pPr>
        <w:pStyle w:val="ListParagraph"/>
        <w:numPr>
          <w:ilvl w:val="0"/>
          <w:numId w:val="69"/>
        </w:numPr>
      </w:pPr>
      <w:r w:rsidRPr="00A4603B">
        <w:t xml:space="preserve">Ancillary items such as bulletin boards and lockers shall be suitable designed to enable barrier free usage. </w:t>
      </w:r>
    </w:p>
    <w:p w:rsidR="00893821" w:rsidRPr="00A4603B" w:rsidRDefault="00893821" w:rsidP="00BC5BD4">
      <w:pPr>
        <w:pStyle w:val="ListParagraph"/>
        <w:numPr>
          <w:ilvl w:val="0"/>
          <w:numId w:val="69"/>
        </w:numPr>
      </w:pPr>
      <w:r w:rsidRPr="00A4603B">
        <w:t xml:space="preserve">All washrooms are to be designed to provide barrier free access. </w:t>
      </w:r>
    </w:p>
    <w:p w:rsidR="00893821" w:rsidRPr="00A4603B" w:rsidRDefault="00893821" w:rsidP="00BC5BD4">
      <w:pPr>
        <w:pStyle w:val="ListParagraph"/>
        <w:numPr>
          <w:ilvl w:val="0"/>
          <w:numId w:val="69"/>
        </w:numPr>
      </w:pPr>
      <w:r w:rsidRPr="00A4603B">
        <w:t xml:space="preserve">All staff washrooms (both male and female) are to be barrier-free accessible. </w:t>
      </w:r>
    </w:p>
    <w:p w:rsidR="00893821" w:rsidRPr="00A4603B" w:rsidRDefault="00893821" w:rsidP="00BC5BD4">
      <w:pPr>
        <w:pStyle w:val="ListParagraph"/>
        <w:numPr>
          <w:ilvl w:val="0"/>
          <w:numId w:val="69"/>
        </w:numPr>
      </w:pPr>
      <w:r w:rsidRPr="00A4603B">
        <w:t xml:space="preserve">All public entrances to the nursing home shall be designed to be barrier-free accessible. This includes automatic door operators and buttons. </w:t>
      </w:r>
    </w:p>
    <w:p w:rsidR="00893821" w:rsidRPr="00A4603B" w:rsidRDefault="00893821" w:rsidP="00BC5BD4">
      <w:pPr>
        <w:pStyle w:val="ListParagraph"/>
        <w:numPr>
          <w:ilvl w:val="0"/>
          <w:numId w:val="69"/>
        </w:numPr>
      </w:pPr>
      <w:r w:rsidRPr="00A4603B">
        <w:t>All public corridors are to have a minimum clear width of 2440 mm.</w:t>
      </w:r>
    </w:p>
    <w:p w:rsidR="00893821" w:rsidRPr="00A4603B" w:rsidRDefault="00893821" w:rsidP="00E060A7">
      <w:pPr>
        <w:pStyle w:val="Heading4"/>
      </w:pPr>
      <w:bookmarkStart w:id="262" w:name="_Toc417393280"/>
      <w:bookmarkStart w:id="263" w:name="_Toc417645355"/>
      <w:bookmarkStart w:id="264" w:name="_Toc418101183"/>
      <w:r w:rsidRPr="00A4603B">
        <w:t>Human Rights Act</w:t>
      </w:r>
      <w:bookmarkEnd w:id="262"/>
      <w:bookmarkEnd w:id="263"/>
      <w:bookmarkEnd w:id="264"/>
    </w:p>
    <w:p w:rsidR="00893821" w:rsidRPr="00A4603B" w:rsidRDefault="00893821" w:rsidP="00E060A7">
      <w:r w:rsidRPr="00A4603B">
        <w:t>The New Brunswick Human Rights Act stipulates a right to accessible workplaces, public transit, schools, libraries, restaurants, shops, hotels, theatres etc., and places an obligation on businesses and government to make their facilities accessible. Failure to provide equal access to a facility, including a workplace is a violation of the Human Rights Act, and can form the basis of a human rights complaint.</w:t>
      </w:r>
    </w:p>
    <w:p w:rsidR="00893821" w:rsidRPr="00A4603B" w:rsidRDefault="00893821" w:rsidP="00E060A7">
      <w:r w:rsidRPr="00A4603B">
        <w:t xml:space="preserve">The Human Rights Act applies to both new and existing buildings. It supersedes all other laws in New Brunswick, so meeting </w:t>
      </w:r>
      <w:r w:rsidRPr="00A4603B">
        <w:rPr>
          <w:i/>
        </w:rPr>
        <w:t>Building Code</w:t>
      </w:r>
      <w:r w:rsidRPr="00A4603B">
        <w:t xml:space="preserve"> requirements is not enough if the result still discriminates. Even when building code barrier-free requirements were met, judgments have been made against building owners for not providing sufficient access for persons with disabilities.</w:t>
      </w:r>
      <w:r w:rsidRPr="00A4603B">
        <w:rPr>
          <w:vertAlign w:val="superscript"/>
        </w:rPr>
        <w:footnoteReference w:id="135"/>
      </w:r>
    </w:p>
    <w:p w:rsidR="00893821" w:rsidRPr="00A4603B" w:rsidRDefault="00893821" w:rsidP="00E060A7">
      <w:r w:rsidRPr="00A4603B">
        <w:lastRenderedPageBreak/>
        <w:t>The Province also identifies various steps being taken under its Disability Action Plan.</w:t>
      </w:r>
      <w:r w:rsidRPr="00A4603B">
        <w:rPr>
          <w:vertAlign w:val="superscript"/>
        </w:rPr>
        <w:footnoteReference w:id="136"/>
      </w:r>
      <w:r w:rsidRPr="00A4603B">
        <w:t xml:space="preserve"> </w:t>
      </w:r>
    </w:p>
    <w:p w:rsidR="00893821" w:rsidRPr="00A4603B" w:rsidRDefault="00893821" w:rsidP="00E060A7">
      <w:pPr>
        <w:pStyle w:val="Heading3"/>
      </w:pPr>
      <w:bookmarkStart w:id="265" w:name="_Toc417645357"/>
      <w:bookmarkStart w:id="266" w:name="_Toc418101184"/>
      <w:r w:rsidRPr="00A4603B">
        <w:t>Programs</w:t>
      </w:r>
      <w:bookmarkEnd w:id="265"/>
      <w:bookmarkEnd w:id="266"/>
    </w:p>
    <w:p w:rsidR="00893821" w:rsidRPr="00A4603B" w:rsidRDefault="00893821" w:rsidP="00E060A7">
      <w:pPr>
        <w:pStyle w:val="Heading4"/>
      </w:pPr>
      <w:bookmarkStart w:id="267" w:name="_Toc417645356"/>
      <w:bookmarkStart w:id="268" w:name="_Toc418101185"/>
      <w:bookmarkStart w:id="269" w:name="_Toc417645358"/>
      <w:r w:rsidRPr="00A4603B">
        <w:t>Disability Action Plan – Status Update (December 2013)</w:t>
      </w:r>
      <w:bookmarkEnd w:id="267"/>
      <w:r w:rsidRPr="00A4603B">
        <w:rPr>
          <w:vertAlign w:val="superscript"/>
        </w:rPr>
        <w:footnoteReference w:id="137"/>
      </w:r>
      <w:bookmarkEnd w:id="268"/>
    </w:p>
    <w:p w:rsidR="00893821" w:rsidRPr="00A4603B" w:rsidRDefault="00893821" w:rsidP="00E060A7">
      <w:r w:rsidRPr="00A4603B">
        <w:t xml:space="preserve">The action plan resulted from an extensive consultation and engagement processes including a stakeholder’s summit, public dialogue session, and meetings with community organizations as well as consideration for close to 400 individually completed questionnaires. The report outlines 41 recommendations for action by the Government of New Brunswick. Recommendations are led by 11 Departments and by the Office of the Premier and the Premier’s Council on the Status of Disabled Persons. </w:t>
      </w:r>
    </w:p>
    <w:p w:rsidR="00893821" w:rsidRPr="00A4603B" w:rsidRDefault="00893821" w:rsidP="00E060A7">
      <w:r w:rsidRPr="00A4603B">
        <w:t>The recommendations are focused in eight specific categories of action, including Mental Health.</w:t>
      </w:r>
    </w:p>
    <w:p w:rsidR="00893821" w:rsidRPr="00A4603B" w:rsidRDefault="00893821" w:rsidP="00E060A7">
      <w:pPr>
        <w:rPr>
          <w:u w:val="single"/>
        </w:rPr>
      </w:pPr>
      <w:r w:rsidRPr="00A4603B">
        <w:t>Recommendation: The Department of Health in partnership with the Department of Culture, Tourism &amp; Healthy Living will fully implement the plan of action for Mental Health in New Brunswick for 2011-2018, in an effort to develop and promote coordinated mental health &amp; wellness services for the prevention and/or treatment of persons with mental illness. In addition, special attention should be placed on the unique mental health needs faced by persons with disabilities and their families, such as children and youth, brain injury survivors, those with fetal alcohol syndrome, spinal cord injuries, degenerative neurological disorders, chronic diseases, etc.</w:t>
      </w:r>
    </w:p>
    <w:p w:rsidR="00893821" w:rsidRPr="00A4603B" w:rsidRDefault="00893821" w:rsidP="00BC5BD4">
      <w:pPr>
        <w:pStyle w:val="ListParagraph"/>
        <w:numPr>
          <w:ilvl w:val="0"/>
          <w:numId w:val="70"/>
        </w:numPr>
      </w:pPr>
      <w:r w:rsidRPr="00A4603B">
        <w:t>A public progress report for Year 1 &amp; 2 was released in May 2013</w:t>
      </w:r>
      <w:r w:rsidRPr="00A4603B">
        <w:rPr>
          <w:vertAlign w:val="superscript"/>
        </w:rPr>
        <w:footnoteReference w:id="138"/>
      </w:r>
    </w:p>
    <w:p w:rsidR="00893821" w:rsidRPr="00A4603B" w:rsidRDefault="00893821" w:rsidP="00BC5BD4">
      <w:pPr>
        <w:pStyle w:val="ListParagraph"/>
        <w:numPr>
          <w:ilvl w:val="0"/>
          <w:numId w:val="70"/>
        </w:numPr>
      </w:pPr>
      <w:r w:rsidRPr="00A4603B">
        <w:t>Department of Health (DOH) is specifically aligned to address issues of treatment and targeted prevention</w:t>
      </w:r>
    </w:p>
    <w:p w:rsidR="00893821" w:rsidRPr="00A4603B" w:rsidRDefault="00893821" w:rsidP="00BC5BD4">
      <w:pPr>
        <w:pStyle w:val="ListParagraph"/>
        <w:numPr>
          <w:ilvl w:val="0"/>
          <w:numId w:val="70"/>
        </w:numPr>
      </w:pPr>
      <w:r w:rsidRPr="00A4603B">
        <w:t>The new Department of Healthy and Inclusive Communities (HIC) has a pillar on mental fitness aimed at the general population and are developing activities to address this issue</w:t>
      </w:r>
    </w:p>
    <w:p w:rsidR="00893821" w:rsidRPr="00A4603B" w:rsidRDefault="00893821" w:rsidP="00BC5BD4">
      <w:pPr>
        <w:pStyle w:val="ListParagraph"/>
        <w:numPr>
          <w:ilvl w:val="0"/>
          <w:numId w:val="70"/>
        </w:numPr>
      </w:pPr>
      <w:r w:rsidRPr="00A4603B">
        <w:t>NB Youth Engagement has developed an e-book in both languages outlining the issues of youth resiliency</w:t>
      </w:r>
    </w:p>
    <w:p w:rsidR="00893821" w:rsidRPr="00A4603B" w:rsidRDefault="00893821" w:rsidP="00BC5BD4">
      <w:pPr>
        <w:pStyle w:val="ListParagraph"/>
        <w:numPr>
          <w:ilvl w:val="0"/>
          <w:numId w:val="70"/>
        </w:numPr>
      </w:pPr>
      <w:r w:rsidRPr="00A4603B">
        <w:t>Deputy Minister’s committee completes year to year commitments which are continually updated four times per year from the director’s level and two times per year at a DM Meeting.</w:t>
      </w:r>
    </w:p>
    <w:p w:rsidR="00893821" w:rsidRPr="00A4603B" w:rsidRDefault="00893821" w:rsidP="00E060A7">
      <w:r w:rsidRPr="00A4603B">
        <w:lastRenderedPageBreak/>
        <w:t xml:space="preserve"> Mental Health Action Plan update – First 2 years</w:t>
      </w:r>
    </w:p>
    <w:p w:rsidR="00893821" w:rsidRPr="00A4603B" w:rsidRDefault="00893821" w:rsidP="00BC5BD4">
      <w:pPr>
        <w:pStyle w:val="ListParagraph"/>
        <w:numPr>
          <w:ilvl w:val="0"/>
          <w:numId w:val="71"/>
        </w:numPr>
      </w:pPr>
      <w:r w:rsidRPr="00A4603B">
        <w:t>An investment of $760,000 to implement early psychosis intervention services provincially. Early psychosis intervention will allow for timely access for young adults when they and their families are faced with the challenges and changes that occur as a result of a serious mental illness.</w:t>
      </w:r>
    </w:p>
    <w:p w:rsidR="00893821" w:rsidRPr="00A4603B" w:rsidRDefault="00893821" w:rsidP="00BC5BD4">
      <w:pPr>
        <w:pStyle w:val="ListParagraph"/>
        <w:numPr>
          <w:ilvl w:val="0"/>
          <w:numId w:val="71"/>
        </w:numPr>
      </w:pPr>
      <w:r w:rsidRPr="00A4603B">
        <w:t>An investment of $400,000 to develop community-based beds for youth who have a not-criminally responsible (NCR) designation in New Brunswick, thus ensuring that treatment and placement occur within a community setting.</w:t>
      </w:r>
    </w:p>
    <w:p w:rsidR="00893821" w:rsidRPr="00A4603B" w:rsidRDefault="00893821" w:rsidP="00BC5BD4">
      <w:pPr>
        <w:pStyle w:val="ListParagraph"/>
        <w:numPr>
          <w:ilvl w:val="0"/>
          <w:numId w:val="71"/>
        </w:numPr>
      </w:pPr>
      <w:r w:rsidRPr="00A4603B">
        <w:t>Discussions and improved program planning in regard to housing, income, employment and education for persons living with mental illness.</w:t>
      </w:r>
    </w:p>
    <w:p w:rsidR="00893821" w:rsidRPr="00A4603B" w:rsidRDefault="00893821" w:rsidP="00BC5BD4">
      <w:pPr>
        <w:pStyle w:val="ListParagraph"/>
        <w:numPr>
          <w:ilvl w:val="0"/>
          <w:numId w:val="71"/>
        </w:numPr>
      </w:pPr>
      <w:r w:rsidRPr="00A4603B">
        <w:t>Collaboration with the regional health authorities to redefine and improve outcomes to services available to New Brunswickers.</w:t>
      </w:r>
    </w:p>
    <w:p w:rsidR="00893821" w:rsidRPr="00A4603B" w:rsidRDefault="00893821" w:rsidP="00E060A7">
      <w:pPr>
        <w:rPr>
          <w:u w:val="single"/>
        </w:rPr>
      </w:pPr>
      <w:r w:rsidRPr="00A4603B">
        <w:t>Recommendation: The existing and newly constructed Restigouche Hospital Centre will provide safe, healthy, and therapeutic acute care for all patients using newly adopted holistic care model. That same standard of therapeutic care will be extended to those patients under psychiatric assessment as well as those found “Not Criminally Responsible”.</w:t>
      </w:r>
    </w:p>
    <w:p w:rsidR="00893821" w:rsidRPr="00A4603B" w:rsidRDefault="00893821" w:rsidP="00BC5BD4">
      <w:pPr>
        <w:pStyle w:val="ListParagraph"/>
        <w:numPr>
          <w:ilvl w:val="0"/>
          <w:numId w:val="72"/>
        </w:numPr>
      </w:pPr>
      <w:r w:rsidRPr="00A4603B">
        <w:t>Restigouche Hospital Centre has implemented a new model of care which is based on Recovery Process Model. The Mental health recovery model enables the person with a mental health issue to live a meaningful life in a community of their choice while striving to achieve their fullest potential</w:t>
      </w:r>
    </w:p>
    <w:p w:rsidR="00893821" w:rsidRPr="00A4603B" w:rsidRDefault="00893821" w:rsidP="00BC5BD4">
      <w:pPr>
        <w:pStyle w:val="ListParagraph"/>
        <w:numPr>
          <w:ilvl w:val="0"/>
          <w:numId w:val="72"/>
        </w:numPr>
      </w:pPr>
      <w:r w:rsidRPr="00A4603B">
        <w:t>Justice and Attorney General and Social Development are among the regularly consulted departmental stakeholders.</w:t>
      </w:r>
    </w:p>
    <w:p w:rsidR="00893821" w:rsidRPr="00A4603B" w:rsidRDefault="00893821" w:rsidP="00BC5BD4">
      <w:pPr>
        <w:pStyle w:val="ListParagraph"/>
        <w:numPr>
          <w:ilvl w:val="0"/>
          <w:numId w:val="72"/>
        </w:numPr>
      </w:pPr>
      <w:r w:rsidRPr="00A4603B">
        <w:t>Continue the roll out of the Action Plan for Mental Health in New Brunswick 2011-2018. The action plan is in year 3 and places the person at the centre of their treatment; including new targets; and incorporates a plan to increase access to specialized services across the province. It will serve as a roadmap towards building a system that is centered on the needs of New Brunswickers</w:t>
      </w:r>
    </w:p>
    <w:p w:rsidR="00893821" w:rsidRPr="00A4603B" w:rsidRDefault="00893821" w:rsidP="00E060A7">
      <w:pPr>
        <w:rPr>
          <w:u w:val="single"/>
        </w:rPr>
      </w:pPr>
      <w:r w:rsidRPr="00A4603B">
        <w:t>Recommendation: Efforts will continue to discharge patients who have the capacity to live in supported community housing with automatic case management and follow up through the formal Community Mental Health Services system. Patients will not be discharged until a complete, comprehensive community plan has been prepared.</w:t>
      </w:r>
    </w:p>
    <w:p w:rsidR="00893821" w:rsidRPr="00A4603B" w:rsidRDefault="00893821" w:rsidP="00BC5BD4">
      <w:pPr>
        <w:pStyle w:val="ListParagraph"/>
        <w:numPr>
          <w:ilvl w:val="0"/>
          <w:numId w:val="73"/>
        </w:numPr>
      </w:pPr>
      <w:r w:rsidRPr="00A4603B">
        <w:t xml:space="preserve">Through the Action Plan for Mental Health in New Brunswick, Government has supported the addiction and mental health system to move towards a recovery </w:t>
      </w:r>
      <w:r w:rsidRPr="00A4603B">
        <w:lastRenderedPageBreak/>
        <w:t>approach to care. DOH is moving towards this goal in collaboration with the two Regional Health Authorities (RHA’s)</w:t>
      </w:r>
    </w:p>
    <w:p w:rsidR="00893821" w:rsidRPr="00A4603B" w:rsidRDefault="00893821" w:rsidP="00BC5BD4">
      <w:pPr>
        <w:pStyle w:val="ListParagraph"/>
        <w:numPr>
          <w:ilvl w:val="0"/>
          <w:numId w:val="73"/>
        </w:numPr>
      </w:pPr>
      <w:r w:rsidRPr="00A4603B">
        <w:t>This recovery approach will be implemented within all Community Addiction and Mental Health Centers, psychiatric units and 2 tertiary hospitals. There will be continued collaboration and partnership with other departments as well as stakeholders in promoting this recovery approach.</w:t>
      </w:r>
    </w:p>
    <w:p w:rsidR="00893821" w:rsidRPr="00A4603B" w:rsidRDefault="00893821" w:rsidP="00BC5BD4">
      <w:pPr>
        <w:pStyle w:val="ListParagraph"/>
        <w:numPr>
          <w:ilvl w:val="0"/>
          <w:numId w:val="73"/>
        </w:numPr>
      </w:pPr>
      <w:r w:rsidRPr="00A4603B">
        <w:t>Work is currently being done to promote continuity of care when a client is discharged to their community.</w:t>
      </w:r>
    </w:p>
    <w:p w:rsidR="00893821" w:rsidRPr="00A4603B" w:rsidRDefault="00893821" w:rsidP="00E060A7">
      <w:pPr>
        <w:pStyle w:val="Heading4"/>
      </w:pPr>
      <w:bookmarkStart w:id="270" w:name="_Toc418101186"/>
      <w:r w:rsidRPr="00A4603B">
        <w:t>Health Services Convalescent/Rehabilitation Program</w:t>
      </w:r>
      <w:r w:rsidRPr="00A4603B">
        <w:rPr>
          <w:vertAlign w:val="superscript"/>
        </w:rPr>
        <w:footnoteReference w:id="139"/>
      </w:r>
      <w:bookmarkEnd w:id="269"/>
      <w:bookmarkEnd w:id="270"/>
    </w:p>
    <w:p w:rsidR="00893821" w:rsidRPr="00A4603B" w:rsidRDefault="00893821" w:rsidP="00E060A7">
      <w:r w:rsidRPr="00A4603B">
        <w:t xml:space="preserve">This program assists clients of Social Development department (Persons with Disabilities) with the provision and maintenance of specific convalescent and rehabilitation items and services which are not covered by other agencies or private health insurance plans. Equipment may be provided from the Recycling Program, or provided new, when recycled equipment is not available. </w:t>
      </w:r>
    </w:p>
    <w:p w:rsidR="00893821" w:rsidRPr="00A4603B" w:rsidRDefault="00893821" w:rsidP="00E060A7"/>
    <w:p w:rsidR="00CA0953" w:rsidRPr="00A4603B" w:rsidRDefault="00CA0953" w:rsidP="00E060A7">
      <w:pPr>
        <w:pStyle w:val="Heading5"/>
        <w:rPr>
          <w:rFonts w:cstheme="minorBidi"/>
        </w:rPr>
      </w:pPr>
      <w:r w:rsidRPr="00A4603B">
        <w:t>Benefits covered</w:t>
      </w:r>
    </w:p>
    <w:p w:rsidR="00CA0953" w:rsidRPr="00A4603B" w:rsidRDefault="00CA0953" w:rsidP="00BC5BD4">
      <w:pPr>
        <w:pStyle w:val="ListParagraph"/>
        <w:numPr>
          <w:ilvl w:val="0"/>
          <w:numId w:val="74"/>
        </w:numPr>
      </w:pPr>
      <w:r w:rsidRPr="00A4603B">
        <w:t xml:space="preserve">Canes, crutches, walkers, gait trainers </w:t>
      </w:r>
    </w:p>
    <w:p w:rsidR="00CA0953" w:rsidRPr="00A4603B" w:rsidRDefault="00CA0953" w:rsidP="00BC5BD4">
      <w:pPr>
        <w:pStyle w:val="ListParagraph"/>
        <w:numPr>
          <w:ilvl w:val="0"/>
          <w:numId w:val="74"/>
        </w:numPr>
      </w:pPr>
      <w:r w:rsidRPr="00A4603B">
        <w:t xml:space="preserve">Raised toilet seats, reducer rings, toiler risers, toilet safety frame, commodes, tub transfer bench, bath benches and chairs, hand held showers, bath lifts, shower commodes </w:t>
      </w:r>
    </w:p>
    <w:p w:rsidR="00CA0953" w:rsidRPr="00A4603B" w:rsidRDefault="00CA0953" w:rsidP="00BC5BD4">
      <w:pPr>
        <w:pStyle w:val="ListParagraph"/>
        <w:numPr>
          <w:ilvl w:val="0"/>
          <w:numId w:val="74"/>
        </w:numPr>
      </w:pPr>
      <w:r w:rsidRPr="00A4603B">
        <w:t xml:space="preserve">Arco rail, M-rail, Smart rail, trapeze bar, grab bars, wall mounted supports, super poles, supine stander, prone stander, hydraulic standing frame </w:t>
      </w:r>
    </w:p>
    <w:p w:rsidR="00CA0953" w:rsidRPr="00A4603B" w:rsidRDefault="00CA0953" w:rsidP="00BC5BD4">
      <w:pPr>
        <w:pStyle w:val="ListParagraph"/>
        <w:numPr>
          <w:ilvl w:val="0"/>
          <w:numId w:val="74"/>
        </w:numPr>
      </w:pPr>
      <w:r w:rsidRPr="00A4603B">
        <w:t xml:space="preserve">Transfer boards, disc and belts, standing transfer aid, portable manual lift, power patient lifts, ceiling mounted lifts, slings </w:t>
      </w:r>
    </w:p>
    <w:p w:rsidR="00CA0953" w:rsidRPr="00A4603B" w:rsidRDefault="00CA0953" w:rsidP="00BC5BD4">
      <w:pPr>
        <w:pStyle w:val="ListParagraph"/>
        <w:numPr>
          <w:ilvl w:val="0"/>
          <w:numId w:val="74"/>
        </w:numPr>
      </w:pPr>
      <w:r w:rsidRPr="00A4603B">
        <w:t xml:space="preserve">Tens machines and supplies, burn garments &amp; dressings, infusion pump rental and supplies </w:t>
      </w:r>
    </w:p>
    <w:p w:rsidR="00CA0953" w:rsidRPr="00A4603B" w:rsidRDefault="00CA0953" w:rsidP="00BC5BD4">
      <w:pPr>
        <w:pStyle w:val="ListParagraph"/>
        <w:numPr>
          <w:ilvl w:val="0"/>
          <w:numId w:val="74"/>
        </w:numPr>
      </w:pPr>
      <w:r w:rsidRPr="00A4603B">
        <w:t xml:space="preserve">Emergency Response Systems </w:t>
      </w:r>
    </w:p>
    <w:p w:rsidR="00CA0953" w:rsidRPr="00A4603B" w:rsidRDefault="00CA0953" w:rsidP="00BC5BD4">
      <w:pPr>
        <w:pStyle w:val="ListParagraph"/>
        <w:numPr>
          <w:ilvl w:val="0"/>
          <w:numId w:val="74"/>
        </w:numPr>
      </w:pPr>
      <w:r w:rsidRPr="00A4603B">
        <w:t xml:space="preserve">Compression stockings and sleeves </w:t>
      </w:r>
    </w:p>
    <w:p w:rsidR="00CA0953" w:rsidRPr="00A4603B" w:rsidRDefault="00CA0953" w:rsidP="00BC5BD4">
      <w:pPr>
        <w:pStyle w:val="ListParagraph"/>
        <w:numPr>
          <w:ilvl w:val="0"/>
          <w:numId w:val="74"/>
        </w:numPr>
      </w:pPr>
      <w:r w:rsidRPr="00A4603B">
        <w:t xml:space="preserve">Blood Pressure Monitors, Port-o-cath supplies, medical helmets, pressure relief cushions outside a wheelchair </w:t>
      </w:r>
    </w:p>
    <w:p w:rsidR="00CA0953" w:rsidRPr="00A4603B" w:rsidRDefault="00CA0953" w:rsidP="00BC5BD4">
      <w:pPr>
        <w:pStyle w:val="ListParagraph"/>
        <w:numPr>
          <w:ilvl w:val="0"/>
          <w:numId w:val="74"/>
        </w:numPr>
      </w:pPr>
      <w:r w:rsidRPr="00A4603B">
        <w:t xml:space="preserve">Hospital beds </w:t>
      </w:r>
    </w:p>
    <w:p w:rsidR="00CA0953" w:rsidRPr="00A4603B" w:rsidRDefault="00CA0953" w:rsidP="00BC5BD4">
      <w:pPr>
        <w:pStyle w:val="ListParagraph"/>
        <w:numPr>
          <w:ilvl w:val="0"/>
          <w:numId w:val="74"/>
        </w:numPr>
      </w:pPr>
      <w:r w:rsidRPr="00A4603B">
        <w:t xml:space="preserve">Reactive and active support surfaces (for pressure reduction) </w:t>
      </w:r>
    </w:p>
    <w:p w:rsidR="00CA0953" w:rsidRPr="00CA0953" w:rsidRDefault="00CA0953" w:rsidP="00E060A7">
      <w:pPr>
        <w:pStyle w:val="Heading5"/>
      </w:pPr>
      <w:r w:rsidRPr="00CA0953">
        <w:t>Benefits not covered</w:t>
      </w:r>
    </w:p>
    <w:p w:rsidR="00CA0953" w:rsidRPr="00CA0953" w:rsidRDefault="00CA0953" w:rsidP="00BC5BD4">
      <w:pPr>
        <w:pStyle w:val="ListParagraph"/>
        <w:numPr>
          <w:ilvl w:val="0"/>
          <w:numId w:val="74"/>
        </w:numPr>
      </w:pPr>
      <w:r w:rsidRPr="00CA0953">
        <w:t xml:space="preserve">Lift chairs </w:t>
      </w:r>
    </w:p>
    <w:p w:rsidR="00CA0953" w:rsidRPr="00CA0953" w:rsidRDefault="00CA0953" w:rsidP="00BC5BD4">
      <w:pPr>
        <w:pStyle w:val="ListParagraph"/>
        <w:numPr>
          <w:ilvl w:val="0"/>
          <w:numId w:val="74"/>
        </w:numPr>
      </w:pPr>
      <w:r w:rsidRPr="00CA0953">
        <w:lastRenderedPageBreak/>
        <w:t xml:space="preserve">Stair lifts </w:t>
      </w:r>
    </w:p>
    <w:p w:rsidR="00CA0953" w:rsidRPr="00CA0953" w:rsidRDefault="00CA0953" w:rsidP="00BC5BD4">
      <w:pPr>
        <w:pStyle w:val="ListParagraph"/>
        <w:numPr>
          <w:ilvl w:val="0"/>
          <w:numId w:val="74"/>
        </w:numPr>
      </w:pPr>
      <w:r w:rsidRPr="00CA0953">
        <w:t xml:space="preserve">Exercise equipment </w:t>
      </w:r>
    </w:p>
    <w:p w:rsidR="00CA0953" w:rsidRPr="00CA0953" w:rsidRDefault="00CA0953" w:rsidP="00BC5BD4">
      <w:pPr>
        <w:pStyle w:val="ListParagraph"/>
        <w:numPr>
          <w:ilvl w:val="0"/>
          <w:numId w:val="74"/>
        </w:numPr>
      </w:pPr>
      <w:r w:rsidRPr="00CA0953">
        <w:t xml:space="preserve">Adaptive aids </w:t>
      </w:r>
    </w:p>
    <w:p w:rsidR="00CA0953" w:rsidRPr="00CA0953" w:rsidRDefault="00CA0953" w:rsidP="00BC5BD4">
      <w:pPr>
        <w:pStyle w:val="ListParagraph"/>
        <w:numPr>
          <w:ilvl w:val="0"/>
          <w:numId w:val="74"/>
        </w:numPr>
      </w:pPr>
      <w:r w:rsidRPr="00CA0953">
        <w:t xml:space="preserve">Communication equipment </w:t>
      </w:r>
    </w:p>
    <w:p w:rsidR="00CA0953" w:rsidRPr="00CA0953" w:rsidRDefault="00CA0953" w:rsidP="00BC5BD4">
      <w:pPr>
        <w:pStyle w:val="ListParagraph"/>
        <w:numPr>
          <w:ilvl w:val="0"/>
          <w:numId w:val="74"/>
        </w:numPr>
      </w:pPr>
      <w:r w:rsidRPr="00CA0953">
        <w:t xml:space="preserve">Wigs </w:t>
      </w:r>
    </w:p>
    <w:p w:rsidR="00CA0953" w:rsidRPr="00CA0953" w:rsidRDefault="00CA0953" w:rsidP="00BC5BD4">
      <w:pPr>
        <w:pStyle w:val="ListParagraph"/>
        <w:numPr>
          <w:ilvl w:val="0"/>
          <w:numId w:val="74"/>
        </w:numPr>
      </w:pPr>
      <w:r w:rsidRPr="00CA0953">
        <w:t xml:space="preserve">CircaAid products </w:t>
      </w:r>
    </w:p>
    <w:p w:rsidR="00CA0953" w:rsidRPr="00CA0953" w:rsidRDefault="00CA0953" w:rsidP="00BC5BD4">
      <w:pPr>
        <w:pStyle w:val="ListParagraph"/>
        <w:numPr>
          <w:ilvl w:val="0"/>
          <w:numId w:val="74"/>
        </w:numPr>
      </w:pPr>
      <w:r w:rsidRPr="00CA0953">
        <w:t xml:space="preserve">Compression hose accessories (gloves, donning devices) </w:t>
      </w:r>
    </w:p>
    <w:p w:rsidR="00CA0953" w:rsidRPr="00CA0953" w:rsidRDefault="00CA0953" w:rsidP="00BC5BD4">
      <w:pPr>
        <w:pStyle w:val="ListParagraph"/>
        <w:numPr>
          <w:ilvl w:val="0"/>
          <w:numId w:val="74"/>
        </w:numPr>
      </w:pPr>
      <w:r w:rsidRPr="00CA0953">
        <w:t xml:space="preserve">Equipment required for short term use </w:t>
      </w:r>
    </w:p>
    <w:p w:rsidR="00CA0953" w:rsidRPr="00CA0953" w:rsidRDefault="00CA0953" w:rsidP="00BC5BD4">
      <w:pPr>
        <w:pStyle w:val="ListParagraph"/>
        <w:numPr>
          <w:ilvl w:val="0"/>
          <w:numId w:val="74"/>
        </w:numPr>
      </w:pPr>
      <w:r w:rsidRPr="00CA0953">
        <w:t xml:space="preserve">Equipment that is not patient specific for clients in adult residential facilities </w:t>
      </w:r>
    </w:p>
    <w:p w:rsidR="00893821" w:rsidRPr="00A4603B" w:rsidRDefault="00893821" w:rsidP="00E060A7">
      <w:r w:rsidRPr="00A4603B">
        <w:t>All recyclable equipment purchased by this department belongs to the Recycling Program. Before any equipment purchase will be considered, clients (or their representatives) must sign an agreement to return the item to the Recycling Program once it is no longer required. Most equipment available under this program is eligible once every 5 years. Ongoing services normally paid monthly. There is no cost to eligible clients for entitled services.</w:t>
      </w:r>
    </w:p>
    <w:p w:rsidR="00893821" w:rsidRPr="00A4603B" w:rsidRDefault="00893821" w:rsidP="00E060A7">
      <w:pPr>
        <w:pStyle w:val="Heading4"/>
      </w:pPr>
      <w:bookmarkStart w:id="271" w:name="_Toc417645359"/>
      <w:bookmarkStart w:id="272" w:name="_Toc418101187"/>
      <w:r w:rsidRPr="00A4603B">
        <w:t>Health Services Hearing Aid Program</w:t>
      </w:r>
      <w:r w:rsidRPr="00A4603B">
        <w:rPr>
          <w:vertAlign w:val="superscript"/>
        </w:rPr>
        <w:footnoteReference w:id="140"/>
      </w:r>
      <w:bookmarkEnd w:id="271"/>
      <w:bookmarkEnd w:id="272"/>
    </w:p>
    <w:p w:rsidR="00893821" w:rsidRPr="00A4603B" w:rsidRDefault="00893821" w:rsidP="00E060A7">
      <w:r w:rsidRPr="00A4603B">
        <w:t xml:space="preserve">This program assists clients of this department with coverage for the purchase and maintenance of hearing aids services which are not covered by other agencies or private health insurance plans. </w:t>
      </w:r>
    </w:p>
    <w:p w:rsidR="00CA0953" w:rsidRPr="00A4603B" w:rsidRDefault="00CA0953" w:rsidP="00E060A7">
      <w:pPr>
        <w:pStyle w:val="Heading5"/>
        <w:rPr>
          <w:rFonts w:cstheme="minorBidi"/>
        </w:rPr>
      </w:pPr>
      <w:r w:rsidRPr="00A4603B">
        <w:t>Benefits covered</w:t>
      </w:r>
    </w:p>
    <w:p w:rsidR="00CA0953" w:rsidRPr="00CA0953" w:rsidRDefault="00CA0953" w:rsidP="00BC5BD4">
      <w:pPr>
        <w:pStyle w:val="ListParagraph"/>
        <w:numPr>
          <w:ilvl w:val="0"/>
          <w:numId w:val="75"/>
        </w:numPr>
      </w:pPr>
      <w:r w:rsidRPr="00CA0953">
        <w:t>Behind the Ear (BTE) hearing aids</w:t>
      </w:r>
    </w:p>
    <w:p w:rsidR="00CA0953" w:rsidRPr="00CA0953" w:rsidRDefault="00CA0953" w:rsidP="00BC5BD4">
      <w:pPr>
        <w:pStyle w:val="ListParagraph"/>
        <w:numPr>
          <w:ilvl w:val="0"/>
          <w:numId w:val="75"/>
        </w:numPr>
      </w:pPr>
      <w:r w:rsidRPr="00CA0953">
        <w:t>In the Ear (ITE) hearing aids</w:t>
      </w:r>
    </w:p>
    <w:p w:rsidR="00CA0953" w:rsidRPr="00CA0953" w:rsidRDefault="00CA0953" w:rsidP="00BC5BD4">
      <w:pPr>
        <w:pStyle w:val="ListParagraph"/>
        <w:numPr>
          <w:ilvl w:val="0"/>
          <w:numId w:val="75"/>
        </w:numPr>
      </w:pPr>
      <w:r w:rsidRPr="00CA0953">
        <w:t xml:space="preserve">In the Canal (ITC) hearing aids </w:t>
      </w:r>
    </w:p>
    <w:p w:rsidR="00CA0953" w:rsidRPr="00CA0953" w:rsidRDefault="00CA0953" w:rsidP="00BC5BD4">
      <w:pPr>
        <w:pStyle w:val="ListParagraph"/>
        <w:numPr>
          <w:ilvl w:val="0"/>
          <w:numId w:val="75"/>
        </w:numPr>
      </w:pPr>
      <w:r w:rsidRPr="00CA0953">
        <w:t>Repairs</w:t>
      </w:r>
    </w:p>
    <w:p w:rsidR="00CA0953" w:rsidRPr="00CA0953" w:rsidRDefault="00CA0953" w:rsidP="00BC5BD4">
      <w:pPr>
        <w:pStyle w:val="ListParagraph"/>
        <w:numPr>
          <w:ilvl w:val="0"/>
          <w:numId w:val="75"/>
        </w:numPr>
      </w:pPr>
      <w:r w:rsidRPr="00CA0953">
        <w:t xml:space="preserve">Ear molds </w:t>
      </w:r>
    </w:p>
    <w:p w:rsidR="00CA0953" w:rsidRPr="00CA0953" w:rsidRDefault="00CA0953" w:rsidP="00E060A7">
      <w:pPr>
        <w:pStyle w:val="Heading5"/>
      </w:pPr>
      <w:r w:rsidRPr="00CA0953">
        <w:t>Benefits not covered</w:t>
      </w:r>
    </w:p>
    <w:p w:rsidR="00CA0953" w:rsidRDefault="00CA0953" w:rsidP="00BC5BD4">
      <w:pPr>
        <w:pStyle w:val="ListParagraph"/>
        <w:numPr>
          <w:ilvl w:val="0"/>
          <w:numId w:val="75"/>
        </w:numPr>
      </w:pPr>
      <w:r>
        <w:t xml:space="preserve">CIC, BAHA or BI-CROS hearing aids </w:t>
      </w:r>
    </w:p>
    <w:p w:rsidR="00CA0953" w:rsidRDefault="00CA0953" w:rsidP="00BC5BD4">
      <w:pPr>
        <w:pStyle w:val="ListParagraph"/>
        <w:numPr>
          <w:ilvl w:val="0"/>
          <w:numId w:val="75"/>
        </w:numPr>
      </w:pPr>
      <w:r>
        <w:t xml:space="preserve">Personal FM systems </w:t>
      </w:r>
    </w:p>
    <w:p w:rsidR="00CA0953" w:rsidRDefault="00CA0953" w:rsidP="00BC5BD4">
      <w:pPr>
        <w:pStyle w:val="ListParagraph"/>
        <w:numPr>
          <w:ilvl w:val="0"/>
          <w:numId w:val="75"/>
        </w:numPr>
      </w:pPr>
      <w:r>
        <w:t xml:space="preserve">Cochlear implants </w:t>
      </w:r>
    </w:p>
    <w:p w:rsidR="00CA0953" w:rsidRDefault="00CA0953" w:rsidP="00BC5BD4">
      <w:pPr>
        <w:pStyle w:val="ListParagraph"/>
        <w:numPr>
          <w:ilvl w:val="0"/>
          <w:numId w:val="75"/>
        </w:numPr>
      </w:pPr>
      <w:r>
        <w:t xml:space="preserve">Hearing aids for cochlear implants </w:t>
      </w:r>
    </w:p>
    <w:p w:rsidR="00CA0953" w:rsidRDefault="00CA0953" w:rsidP="00BC5BD4">
      <w:pPr>
        <w:pStyle w:val="ListParagraph"/>
        <w:numPr>
          <w:ilvl w:val="0"/>
          <w:numId w:val="75"/>
        </w:numPr>
      </w:pPr>
      <w:r>
        <w:t xml:space="preserve">Batteries for hearing aids or cochlear implants </w:t>
      </w:r>
    </w:p>
    <w:p w:rsidR="00CA0953" w:rsidRDefault="00CA0953" w:rsidP="00BC5BD4">
      <w:pPr>
        <w:pStyle w:val="ListParagraph"/>
        <w:numPr>
          <w:ilvl w:val="0"/>
          <w:numId w:val="75"/>
        </w:numPr>
      </w:pPr>
      <w:r>
        <w:t xml:space="preserve">Hooks, filters or tubing </w:t>
      </w:r>
    </w:p>
    <w:p w:rsidR="00893821" w:rsidRDefault="00CA0953" w:rsidP="00BC5BD4">
      <w:pPr>
        <w:pStyle w:val="ListParagraph"/>
        <w:numPr>
          <w:ilvl w:val="0"/>
          <w:numId w:val="75"/>
        </w:numPr>
        <w:rPr>
          <w:lang w:val="fr-CA"/>
        </w:rPr>
      </w:pPr>
      <w:r w:rsidRPr="00CA0953">
        <w:rPr>
          <w:lang w:val="fr-CA"/>
        </w:rPr>
        <w:t>Convenience options such as T-coil, directional microphone, etc.</w:t>
      </w:r>
    </w:p>
    <w:p w:rsidR="00CA0953" w:rsidRPr="00CA0953" w:rsidRDefault="00CA0953" w:rsidP="00BC5BD4">
      <w:pPr>
        <w:pStyle w:val="ListParagraph"/>
        <w:numPr>
          <w:ilvl w:val="0"/>
          <w:numId w:val="75"/>
        </w:numPr>
        <w:rPr>
          <w:lang w:val="fr-CA"/>
        </w:rPr>
      </w:pPr>
      <w:r w:rsidRPr="00CA0953">
        <w:rPr>
          <w:lang w:val="fr-CA"/>
        </w:rPr>
        <w:lastRenderedPageBreak/>
        <w:t xml:space="preserve">Cleaning/drying </w:t>
      </w:r>
    </w:p>
    <w:p w:rsidR="00CA0953" w:rsidRPr="00CA0953" w:rsidRDefault="00CA0953" w:rsidP="00BC5BD4">
      <w:pPr>
        <w:pStyle w:val="ListParagraph"/>
        <w:numPr>
          <w:ilvl w:val="0"/>
          <w:numId w:val="75"/>
        </w:numPr>
        <w:rPr>
          <w:lang w:val="fr-CA"/>
        </w:rPr>
      </w:pPr>
      <w:r w:rsidRPr="00CA0953">
        <w:rPr>
          <w:lang w:val="fr-CA"/>
        </w:rPr>
        <w:t xml:space="preserve">Pocket Talkers </w:t>
      </w:r>
    </w:p>
    <w:p w:rsidR="00CA0953" w:rsidRPr="00CA0953" w:rsidRDefault="00CA0953" w:rsidP="00BC5BD4">
      <w:pPr>
        <w:pStyle w:val="ListParagraph"/>
        <w:numPr>
          <w:ilvl w:val="0"/>
          <w:numId w:val="75"/>
        </w:numPr>
        <w:rPr>
          <w:lang w:val="fr-CA"/>
        </w:rPr>
      </w:pPr>
      <w:r w:rsidRPr="00CA0953">
        <w:rPr>
          <w:lang w:val="fr-CA"/>
        </w:rPr>
        <w:t>Hearing tests or evaluations</w:t>
      </w:r>
    </w:p>
    <w:p w:rsidR="00893821" w:rsidRPr="00A4603B" w:rsidRDefault="00893821" w:rsidP="00E060A7">
      <w:r w:rsidRPr="00A4603B">
        <w:t xml:space="preserve">Hearing Aids are payable once every 5 years. Repairs are eligible as required once the manufacturer’s warranty expires. Ear molds are paid once a year for adults and twice a year for children. There is no cost to eligible clients for entitled hearing aid services. </w:t>
      </w:r>
    </w:p>
    <w:p w:rsidR="00893821" w:rsidRPr="00A4603B" w:rsidRDefault="00893821" w:rsidP="00E060A7">
      <w:pPr>
        <w:pStyle w:val="Heading4"/>
      </w:pPr>
      <w:bookmarkStart w:id="273" w:name="_Toc417645360"/>
      <w:bookmarkStart w:id="274" w:name="_Toc418101188"/>
      <w:r w:rsidRPr="00A4603B">
        <w:t>Health Services Orthopedic Program</w:t>
      </w:r>
      <w:r w:rsidRPr="00A4603B">
        <w:rPr>
          <w:vertAlign w:val="superscript"/>
        </w:rPr>
        <w:footnoteReference w:id="141"/>
      </w:r>
      <w:bookmarkEnd w:id="273"/>
      <w:bookmarkEnd w:id="274"/>
    </w:p>
    <w:p w:rsidR="00893821" w:rsidRPr="00A4603B" w:rsidRDefault="00893821" w:rsidP="00E060A7">
      <w:r w:rsidRPr="00A4603B">
        <w:t xml:space="preserve">This program assists clients of this department with the coverage of orthopedic items which are not covered by other agencies or private health insurance plans. </w:t>
      </w:r>
    </w:p>
    <w:p w:rsidR="00893821" w:rsidRDefault="00893821" w:rsidP="00E060A7">
      <w:r w:rsidRPr="00A4603B">
        <w:t xml:space="preserve">Most items are eligible once every 2 years for adults and once a year for children. Modifications and repairs are paid as required but quantities and frequencies are monitored. There is no cost to eligible clients for entitled orthopedic services. </w:t>
      </w:r>
    </w:p>
    <w:p w:rsidR="00CA0953" w:rsidRPr="00A4603B" w:rsidRDefault="00CA0953" w:rsidP="00E060A7">
      <w:pPr>
        <w:pStyle w:val="Heading5"/>
        <w:rPr>
          <w:rFonts w:cstheme="minorBidi"/>
        </w:rPr>
      </w:pPr>
      <w:r w:rsidRPr="00A4603B">
        <w:t>Benefits covered</w:t>
      </w:r>
    </w:p>
    <w:p w:rsidR="00CA0953" w:rsidRDefault="00CA0953" w:rsidP="00BC5BD4">
      <w:pPr>
        <w:pStyle w:val="ListParagraph"/>
        <w:numPr>
          <w:ilvl w:val="0"/>
          <w:numId w:val="75"/>
        </w:numPr>
      </w:pPr>
      <w:r>
        <w:t xml:space="preserve">Specific custom fitted braces and supports </w:t>
      </w:r>
    </w:p>
    <w:p w:rsidR="00CA0953" w:rsidRDefault="00CA0953" w:rsidP="00BC5BD4">
      <w:pPr>
        <w:pStyle w:val="ListParagraph"/>
        <w:numPr>
          <w:ilvl w:val="0"/>
          <w:numId w:val="75"/>
        </w:numPr>
      </w:pPr>
      <w:r>
        <w:t xml:space="preserve">Custom made braces </w:t>
      </w:r>
    </w:p>
    <w:p w:rsidR="00CA0953" w:rsidRDefault="00CA0953" w:rsidP="00BC5BD4">
      <w:pPr>
        <w:pStyle w:val="ListParagraph"/>
        <w:numPr>
          <w:ilvl w:val="0"/>
          <w:numId w:val="75"/>
        </w:numPr>
      </w:pPr>
      <w:r>
        <w:t xml:space="preserve">Therapeutic and Orthopedic design footwear </w:t>
      </w:r>
    </w:p>
    <w:p w:rsidR="00CA0953" w:rsidRDefault="00CA0953" w:rsidP="00BC5BD4">
      <w:pPr>
        <w:pStyle w:val="ListParagraph"/>
        <w:numPr>
          <w:ilvl w:val="0"/>
          <w:numId w:val="75"/>
        </w:numPr>
      </w:pPr>
      <w:r>
        <w:t xml:space="preserve">Custom made shoes and insoles </w:t>
      </w:r>
    </w:p>
    <w:p w:rsidR="00CA0953" w:rsidRPr="00CA0953" w:rsidRDefault="00CA0953" w:rsidP="00BC5BD4">
      <w:pPr>
        <w:pStyle w:val="ListParagraph"/>
        <w:numPr>
          <w:ilvl w:val="0"/>
          <w:numId w:val="75"/>
        </w:numPr>
      </w:pPr>
      <w:r>
        <w:t>Modifications &amp; Repairs</w:t>
      </w:r>
      <w:r w:rsidRPr="00CA0953">
        <w:t xml:space="preserve"> </w:t>
      </w:r>
    </w:p>
    <w:p w:rsidR="00CA0953" w:rsidRPr="00CA0953" w:rsidRDefault="00CA0953" w:rsidP="00E060A7">
      <w:pPr>
        <w:pStyle w:val="Heading5"/>
      </w:pPr>
      <w:r w:rsidRPr="00CA0953">
        <w:t>Benefits not covered</w:t>
      </w:r>
    </w:p>
    <w:p w:rsidR="00CA0953" w:rsidRDefault="00CA0953" w:rsidP="00BC5BD4">
      <w:pPr>
        <w:pStyle w:val="ListParagraph"/>
        <w:numPr>
          <w:ilvl w:val="0"/>
          <w:numId w:val="75"/>
        </w:numPr>
      </w:pPr>
      <w:r>
        <w:t xml:space="preserve">Support bras </w:t>
      </w:r>
    </w:p>
    <w:p w:rsidR="00CA0953" w:rsidRDefault="00CA0953" w:rsidP="00BC5BD4">
      <w:pPr>
        <w:pStyle w:val="ListParagraph"/>
        <w:numPr>
          <w:ilvl w:val="0"/>
          <w:numId w:val="75"/>
        </w:numPr>
      </w:pPr>
      <w:r>
        <w:t xml:space="preserve">Cervical pillows </w:t>
      </w:r>
    </w:p>
    <w:p w:rsidR="00CA0953" w:rsidRDefault="00CA0953" w:rsidP="00BC5BD4">
      <w:pPr>
        <w:pStyle w:val="ListParagraph"/>
        <w:numPr>
          <w:ilvl w:val="0"/>
          <w:numId w:val="75"/>
        </w:numPr>
      </w:pPr>
      <w:r>
        <w:t xml:space="preserve">Soft or unfitted supports and braces </w:t>
      </w:r>
    </w:p>
    <w:p w:rsidR="00CA0953" w:rsidRDefault="00CA0953" w:rsidP="00BC5BD4">
      <w:pPr>
        <w:pStyle w:val="ListParagraph"/>
        <w:numPr>
          <w:ilvl w:val="0"/>
          <w:numId w:val="75"/>
        </w:numPr>
      </w:pPr>
      <w:r>
        <w:t xml:space="preserve">Non-custom insoles </w:t>
      </w:r>
    </w:p>
    <w:p w:rsidR="00CA0953" w:rsidRDefault="00CA0953" w:rsidP="00BC5BD4">
      <w:pPr>
        <w:pStyle w:val="ListParagraph"/>
        <w:numPr>
          <w:ilvl w:val="0"/>
          <w:numId w:val="75"/>
        </w:numPr>
      </w:pPr>
      <w:r>
        <w:t xml:space="preserve">Non-custom wrist braces and splints braces and supports for short term use </w:t>
      </w:r>
    </w:p>
    <w:p w:rsidR="00CA0953" w:rsidRPr="00A4603B" w:rsidRDefault="00CA0953" w:rsidP="00BC5BD4">
      <w:pPr>
        <w:pStyle w:val="ListParagraph"/>
        <w:numPr>
          <w:ilvl w:val="0"/>
          <w:numId w:val="75"/>
        </w:numPr>
      </w:pPr>
      <w:r>
        <w:t>Braces and supports for sports purposes</w:t>
      </w:r>
    </w:p>
    <w:p w:rsidR="00893821" w:rsidRPr="00A4603B" w:rsidRDefault="00893821" w:rsidP="00E060A7"/>
    <w:p w:rsidR="00893821" w:rsidRPr="00A4603B" w:rsidRDefault="00893821" w:rsidP="00E060A7">
      <w:pPr>
        <w:pStyle w:val="Heading4"/>
      </w:pPr>
      <w:bookmarkStart w:id="275" w:name="_Toc417645361"/>
      <w:bookmarkStart w:id="276" w:name="_Toc418101189"/>
      <w:r w:rsidRPr="00A4603B">
        <w:t>Health Services Prosthetic Program</w:t>
      </w:r>
      <w:r w:rsidRPr="00A4603B">
        <w:rPr>
          <w:vertAlign w:val="superscript"/>
        </w:rPr>
        <w:footnoteReference w:id="142"/>
      </w:r>
      <w:bookmarkEnd w:id="275"/>
      <w:bookmarkEnd w:id="276"/>
    </w:p>
    <w:p w:rsidR="00893821" w:rsidRPr="00A4603B" w:rsidRDefault="00893821" w:rsidP="00E060A7">
      <w:r w:rsidRPr="00A4603B">
        <w:t>This program assists clients of this department with coverage for specific prosthetic services that are not covered by other agencies or private health insurance plans. There is no cost to eligible clients for entitled prosthetic services.</w:t>
      </w:r>
    </w:p>
    <w:p w:rsidR="00CA0953" w:rsidRPr="00A4603B" w:rsidRDefault="00CA0953" w:rsidP="00E060A7">
      <w:pPr>
        <w:pStyle w:val="Heading5"/>
      </w:pPr>
      <w:r w:rsidRPr="00A4603B">
        <w:lastRenderedPageBreak/>
        <w:t>Benefits covered</w:t>
      </w:r>
    </w:p>
    <w:p w:rsidR="00CA0953" w:rsidRPr="00A4603B" w:rsidRDefault="00CA0953" w:rsidP="00BC5BD4">
      <w:pPr>
        <w:pStyle w:val="ListParagraph"/>
        <w:numPr>
          <w:ilvl w:val="0"/>
          <w:numId w:val="76"/>
        </w:numPr>
      </w:pPr>
      <w:r w:rsidRPr="00A4603B">
        <w:t xml:space="preserve">Limb prostheses (arm, leg, foot) </w:t>
      </w:r>
    </w:p>
    <w:p w:rsidR="00CA0953" w:rsidRPr="00CA0953" w:rsidRDefault="00CA0953" w:rsidP="00BC5BD4">
      <w:pPr>
        <w:pStyle w:val="ListParagraph"/>
        <w:numPr>
          <w:ilvl w:val="0"/>
          <w:numId w:val="76"/>
        </w:numPr>
        <w:rPr>
          <w:lang w:val="fr-FR"/>
        </w:rPr>
      </w:pPr>
      <w:r w:rsidRPr="00CA0953">
        <w:rPr>
          <w:lang w:val="fr-FR"/>
        </w:rPr>
        <w:t xml:space="preserve">Artificial larynx (Servox device, voice prostheses) </w:t>
      </w:r>
    </w:p>
    <w:p w:rsidR="00CA0953" w:rsidRPr="00A4603B" w:rsidRDefault="00CA0953" w:rsidP="00BC5BD4">
      <w:pPr>
        <w:pStyle w:val="ListParagraph"/>
        <w:numPr>
          <w:ilvl w:val="0"/>
          <w:numId w:val="76"/>
        </w:numPr>
      </w:pPr>
      <w:r w:rsidRPr="00A4603B">
        <w:t xml:space="preserve">Ocular prostheses (artificial eye) </w:t>
      </w:r>
    </w:p>
    <w:p w:rsidR="00CA0953" w:rsidRPr="00A4603B" w:rsidRDefault="00CA0953" w:rsidP="00BC5BD4">
      <w:pPr>
        <w:pStyle w:val="ListParagraph"/>
        <w:numPr>
          <w:ilvl w:val="0"/>
          <w:numId w:val="76"/>
        </w:numPr>
      </w:pPr>
      <w:r w:rsidRPr="00A4603B">
        <w:t xml:space="preserve">Breast prostheses and 1 bra </w:t>
      </w:r>
    </w:p>
    <w:p w:rsidR="00CA0953" w:rsidRDefault="00CA0953" w:rsidP="00BC5BD4">
      <w:pPr>
        <w:pStyle w:val="ListParagraph"/>
        <w:numPr>
          <w:ilvl w:val="0"/>
          <w:numId w:val="76"/>
        </w:numPr>
      </w:pPr>
      <w:r>
        <w:t>Modifications and repairs</w:t>
      </w:r>
    </w:p>
    <w:p w:rsidR="00CA0953" w:rsidRPr="00A4603B" w:rsidRDefault="00CA0953" w:rsidP="00E060A7">
      <w:pPr>
        <w:pStyle w:val="Heading5"/>
      </w:pPr>
      <w:r w:rsidRPr="00A4603B">
        <w:t>Benefits not covered</w:t>
      </w:r>
    </w:p>
    <w:p w:rsidR="00CA0953" w:rsidRPr="00A4603B" w:rsidRDefault="00CA0953" w:rsidP="00BC5BD4">
      <w:pPr>
        <w:pStyle w:val="ListParagraph"/>
        <w:numPr>
          <w:ilvl w:val="0"/>
          <w:numId w:val="76"/>
        </w:numPr>
      </w:pPr>
      <w:r w:rsidRPr="00A4603B">
        <w:t xml:space="preserve">Myo-electric prostheses </w:t>
      </w:r>
    </w:p>
    <w:p w:rsidR="00CA0953" w:rsidRPr="00A4603B" w:rsidRDefault="00CA0953" w:rsidP="00BC5BD4">
      <w:pPr>
        <w:pStyle w:val="ListParagraph"/>
        <w:numPr>
          <w:ilvl w:val="0"/>
          <w:numId w:val="76"/>
        </w:numPr>
      </w:pPr>
      <w:r w:rsidRPr="00A4603B">
        <w:t xml:space="preserve">Prosthetic limbs are payable once every 5 years </w:t>
      </w:r>
    </w:p>
    <w:p w:rsidR="00CA0953" w:rsidRPr="00A4603B" w:rsidRDefault="00CA0953" w:rsidP="00BC5BD4">
      <w:pPr>
        <w:pStyle w:val="ListParagraph"/>
        <w:numPr>
          <w:ilvl w:val="0"/>
          <w:numId w:val="76"/>
        </w:numPr>
      </w:pPr>
      <w:r w:rsidRPr="00A4603B">
        <w:t xml:space="preserve">Artificial larynxes and artificial eyes are eligible every 3 years </w:t>
      </w:r>
    </w:p>
    <w:p w:rsidR="00CA0953" w:rsidRPr="00A4603B" w:rsidRDefault="00CA0953" w:rsidP="00BC5BD4">
      <w:pPr>
        <w:pStyle w:val="ListParagraph"/>
        <w:numPr>
          <w:ilvl w:val="0"/>
          <w:numId w:val="76"/>
        </w:numPr>
      </w:pPr>
      <w:r w:rsidRPr="00A4603B">
        <w:t xml:space="preserve">Breast prostheses and bras are eligible once every 2 years </w:t>
      </w:r>
    </w:p>
    <w:p w:rsidR="00CA0953" w:rsidRPr="00A4603B" w:rsidRDefault="00CA0953" w:rsidP="00BC5BD4">
      <w:pPr>
        <w:pStyle w:val="ListParagraph"/>
        <w:numPr>
          <w:ilvl w:val="0"/>
          <w:numId w:val="76"/>
        </w:numPr>
      </w:pPr>
      <w:r w:rsidRPr="00A4603B">
        <w:t xml:space="preserve">Modifications and repairs are considered as required </w:t>
      </w:r>
    </w:p>
    <w:p w:rsidR="00893821" w:rsidRPr="00A4603B" w:rsidRDefault="00893821" w:rsidP="00E060A7"/>
    <w:p w:rsidR="00893821" w:rsidRPr="00A4603B" w:rsidRDefault="00893821" w:rsidP="00E060A7">
      <w:pPr>
        <w:rPr>
          <w:i/>
        </w:rPr>
      </w:pPr>
      <w:bookmarkStart w:id="277" w:name="_Toc417645362"/>
      <w:bookmarkStart w:id="278" w:name="_Toc418101190"/>
      <w:r w:rsidRPr="00A4603B">
        <w:rPr>
          <w:i/>
        </w:rPr>
        <w:t>Health Services Wheelchair/Seating Program</w:t>
      </w:r>
      <w:r w:rsidRPr="00A4603B">
        <w:rPr>
          <w:i/>
          <w:vertAlign w:val="superscript"/>
        </w:rPr>
        <w:footnoteReference w:id="143"/>
      </w:r>
      <w:bookmarkEnd w:id="277"/>
      <w:bookmarkEnd w:id="278"/>
    </w:p>
    <w:p w:rsidR="00893821" w:rsidRPr="00A4603B" w:rsidRDefault="00893821" w:rsidP="00E060A7">
      <w:r w:rsidRPr="00A4603B">
        <w:t>This program assists clients of this department with coverage for specific wheelchair and seating related benefits which are not covered by other agencies or private health insurance plans. Equipment may be provided from the Recycling Program, or provided new, when recycled equipment is not available.</w:t>
      </w:r>
    </w:p>
    <w:p w:rsidR="00E060A7" w:rsidRPr="00A4603B" w:rsidRDefault="00E060A7" w:rsidP="00E060A7">
      <w:pPr>
        <w:pStyle w:val="Heading5"/>
      </w:pPr>
      <w:r w:rsidRPr="00A4603B">
        <w:t>Benefits covered</w:t>
      </w:r>
    </w:p>
    <w:p w:rsidR="00E060A7" w:rsidRPr="00A4603B" w:rsidRDefault="00E060A7" w:rsidP="00BC5BD4">
      <w:pPr>
        <w:pStyle w:val="ListParagraph"/>
        <w:numPr>
          <w:ilvl w:val="0"/>
          <w:numId w:val="77"/>
        </w:numPr>
      </w:pPr>
      <w:r w:rsidRPr="00A4603B">
        <w:t xml:space="preserve">Manual wheelchairs </w:t>
      </w:r>
    </w:p>
    <w:p w:rsidR="00E060A7" w:rsidRPr="00A4603B" w:rsidRDefault="00E060A7" w:rsidP="00BC5BD4">
      <w:pPr>
        <w:pStyle w:val="ListParagraph"/>
        <w:numPr>
          <w:ilvl w:val="0"/>
          <w:numId w:val="77"/>
        </w:numPr>
      </w:pPr>
      <w:r w:rsidRPr="00A4603B">
        <w:t xml:space="preserve">Power wheelchairs </w:t>
      </w:r>
    </w:p>
    <w:p w:rsidR="00E060A7" w:rsidRPr="00A4603B" w:rsidRDefault="00E060A7" w:rsidP="00BC5BD4">
      <w:pPr>
        <w:pStyle w:val="ListParagraph"/>
        <w:numPr>
          <w:ilvl w:val="0"/>
          <w:numId w:val="77"/>
        </w:numPr>
      </w:pPr>
      <w:r w:rsidRPr="00A4603B">
        <w:t xml:space="preserve">Four-wheeled scooters </w:t>
      </w:r>
    </w:p>
    <w:p w:rsidR="00E060A7" w:rsidRPr="00A4603B" w:rsidRDefault="00E060A7" w:rsidP="00BC5BD4">
      <w:pPr>
        <w:pStyle w:val="ListParagraph"/>
        <w:numPr>
          <w:ilvl w:val="0"/>
          <w:numId w:val="77"/>
        </w:numPr>
      </w:pPr>
      <w:r w:rsidRPr="00A4603B">
        <w:t xml:space="preserve">Rehabilitation strollers </w:t>
      </w:r>
    </w:p>
    <w:p w:rsidR="00E060A7" w:rsidRPr="00A4603B" w:rsidRDefault="00E060A7" w:rsidP="00BC5BD4">
      <w:pPr>
        <w:pStyle w:val="ListParagraph"/>
        <w:numPr>
          <w:ilvl w:val="0"/>
          <w:numId w:val="77"/>
        </w:numPr>
      </w:pPr>
      <w:r w:rsidRPr="00A4603B">
        <w:t xml:space="preserve">Seating and positioning aids components </w:t>
      </w:r>
    </w:p>
    <w:p w:rsidR="00E060A7" w:rsidRPr="00A4603B" w:rsidRDefault="00E060A7" w:rsidP="00BC5BD4">
      <w:pPr>
        <w:pStyle w:val="ListParagraph"/>
        <w:numPr>
          <w:ilvl w:val="0"/>
          <w:numId w:val="77"/>
        </w:numPr>
      </w:pPr>
      <w:r w:rsidRPr="00A4603B">
        <w:t xml:space="preserve">Modifications and repairs </w:t>
      </w:r>
    </w:p>
    <w:p w:rsidR="00E060A7" w:rsidRDefault="00E060A7" w:rsidP="00BC5BD4">
      <w:pPr>
        <w:pStyle w:val="ListParagraph"/>
        <w:numPr>
          <w:ilvl w:val="0"/>
          <w:numId w:val="77"/>
        </w:numPr>
      </w:pPr>
      <w:r>
        <w:t>Rentals</w:t>
      </w:r>
    </w:p>
    <w:p w:rsidR="00E060A7" w:rsidRPr="00A4603B" w:rsidRDefault="00E060A7" w:rsidP="00E060A7">
      <w:pPr>
        <w:pStyle w:val="Heading5"/>
      </w:pPr>
      <w:r w:rsidRPr="00A4603B">
        <w:t>Benefits not covered</w:t>
      </w:r>
    </w:p>
    <w:p w:rsidR="00E060A7" w:rsidRPr="00A4603B" w:rsidRDefault="00E060A7" w:rsidP="00BC5BD4">
      <w:pPr>
        <w:pStyle w:val="ListParagraph"/>
        <w:numPr>
          <w:ilvl w:val="0"/>
          <w:numId w:val="78"/>
        </w:numPr>
      </w:pPr>
      <w:r w:rsidRPr="00A4603B">
        <w:t xml:space="preserve">Geriatric wheelchairs </w:t>
      </w:r>
    </w:p>
    <w:p w:rsidR="00E060A7" w:rsidRPr="00A4603B" w:rsidRDefault="00E060A7" w:rsidP="00BC5BD4">
      <w:pPr>
        <w:pStyle w:val="ListParagraph"/>
        <w:numPr>
          <w:ilvl w:val="0"/>
          <w:numId w:val="78"/>
        </w:numPr>
      </w:pPr>
      <w:r w:rsidRPr="00A4603B">
        <w:t xml:space="preserve">Lift chairs and “Lazy Boy” style chairs </w:t>
      </w:r>
    </w:p>
    <w:p w:rsidR="00E060A7" w:rsidRPr="00A4603B" w:rsidRDefault="00E060A7" w:rsidP="00BC5BD4">
      <w:pPr>
        <w:pStyle w:val="ListParagraph"/>
        <w:numPr>
          <w:ilvl w:val="0"/>
          <w:numId w:val="78"/>
        </w:numPr>
      </w:pPr>
      <w:r w:rsidRPr="00A4603B">
        <w:t xml:space="preserve">Stand up wheelchairs </w:t>
      </w:r>
    </w:p>
    <w:p w:rsidR="00E060A7" w:rsidRPr="00A4603B" w:rsidRDefault="00E060A7" w:rsidP="00BC5BD4">
      <w:pPr>
        <w:pStyle w:val="ListParagraph"/>
        <w:numPr>
          <w:ilvl w:val="0"/>
          <w:numId w:val="78"/>
        </w:numPr>
      </w:pPr>
      <w:r w:rsidRPr="00A4603B">
        <w:t xml:space="preserve">Car seats </w:t>
      </w:r>
    </w:p>
    <w:p w:rsidR="00E060A7" w:rsidRPr="00A4603B" w:rsidRDefault="00E060A7" w:rsidP="00BC5BD4">
      <w:pPr>
        <w:pStyle w:val="ListParagraph"/>
        <w:numPr>
          <w:ilvl w:val="0"/>
          <w:numId w:val="78"/>
        </w:numPr>
      </w:pPr>
      <w:r w:rsidRPr="00A4603B">
        <w:t xml:space="preserve">Back up wheelchairs </w:t>
      </w:r>
    </w:p>
    <w:p w:rsidR="00E060A7" w:rsidRPr="00A4603B" w:rsidRDefault="00E060A7" w:rsidP="00BC5BD4">
      <w:pPr>
        <w:pStyle w:val="ListParagraph"/>
        <w:numPr>
          <w:ilvl w:val="0"/>
          <w:numId w:val="78"/>
        </w:numPr>
      </w:pPr>
      <w:r w:rsidRPr="00A4603B">
        <w:lastRenderedPageBreak/>
        <w:t xml:space="preserve">Transport wheelchairs </w:t>
      </w:r>
    </w:p>
    <w:p w:rsidR="00E060A7" w:rsidRPr="00A4603B" w:rsidRDefault="00E060A7" w:rsidP="00BC5BD4">
      <w:pPr>
        <w:pStyle w:val="ListParagraph"/>
        <w:numPr>
          <w:ilvl w:val="0"/>
          <w:numId w:val="78"/>
        </w:numPr>
      </w:pPr>
      <w:r w:rsidRPr="00A4603B">
        <w:t xml:space="preserve">Three-wheeled scooters </w:t>
      </w:r>
    </w:p>
    <w:p w:rsidR="00E060A7" w:rsidRPr="00A4603B" w:rsidRDefault="00E060A7" w:rsidP="00BC5BD4">
      <w:pPr>
        <w:pStyle w:val="ListParagraph"/>
        <w:numPr>
          <w:ilvl w:val="0"/>
          <w:numId w:val="78"/>
        </w:numPr>
      </w:pPr>
      <w:r w:rsidRPr="00A4603B">
        <w:t xml:space="preserve">Electronics for environmental control </w:t>
      </w:r>
    </w:p>
    <w:p w:rsidR="00E060A7" w:rsidRPr="00A4603B" w:rsidRDefault="00E060A7" w:rsidP="00BC5BD4">
      <w:pPr>
        <w:pStyle w:val="ListParagraph"/>
        <w:numPr>
          <w:ilvl w:val="0"/>
          <w:numId w:val="78"/>
        </w:numPr>
      </w:pPr>
      <w:r w:rsidRPr="00A4603B">
        <w:t xml:space="preserve">Attendant </w:t>
      </w:r>
    </w:p>
    <w:p w:rsidR="00E060A7" w:rsidRPr="00A4603B" w:rsidRDefault="00E060A7" w:rsidP="00BC5BD4">
      <w:pPr>
        <w:pStyle w:val="ListParagraph"/>
        <w:numPr>
          <w:ilvl w:val="0"/>
          <w:numId w:val="78"/>
        </w:numPr>
      </w:pPr>
      <w:r w:rsidRPr="00A4603B">
        <w:t xml:space="preserve">Accessories that are not prescribed for medical or safety reasons </w:t>
      </w:r>
    </w:p>
    <w:p w:rsidR="00E060A7" w:rsidRPr="00A4603B" w:rsidRDefault="00E060A7" w:rsidP="00BC5BD4">
      <w:pPr>
        <w:pStyle w:val="ListParagraph"/>
        <w:numPr>
          <w:ilvl w:val="0"/>
          <w:numId w:val="78"/>
        </w:numPr>
      </w:pPr>
      <w:r w:rsidRPr="00A4603B">
        <w:t xml:space="preserve">Any equipment for short term use </w:t>
      </w:r>
    </w:p>
    <w:p w:rsidR="00E060A7" w:rsidRPr="00A4603B" w:rsidRDefault="00E060A7" w:rsidP="00BC5BD4">
      <w:pPr>
        <w:pStyle w:val="ListParagraph"/>
        <w:numPr>
          <w:ilvl w:val="0"/>
          <w:numId w:val="78"/>
        </w:numPr>
      </w:pPr>
      <w:r w:rsidRPr="00A4603B">
        <w:t>Back packs, storage pouches, baskets, etc.</w:t>
      </w:r>
    </w:p>
    <w:p w:rsidR="00893821" w:rsidRPr="00A4603B" w:rsidRDefault="00893821" w:rsidP="00E060A7">
      <w:r w:rsidRPr="00A4603B">
        <w:t xml:space="preserve">All recyclable equipment purchased by this department belongs to the Recycling Program. Before any equipment purchase will be considered, clients (or their representatives) must sign an agreement to return the item to the Recycling Program once it is no longer required. </w:t>
      </w:r>
    </w:p>
    <w:p w:rsidR="00893821" w:rsidRPr="00A4603B" w:rsidRDefault="00893821" w:rsidP="00BC5BD4">
      <w:pPr>
        <w:pStyle w:val="ListParagraph"/>
        <w:numPr>
          <w:ilvl w:val="0"/>
          <w:numId w:val="79"/>
        </w:numPr>
      </w:pPr>
      <w:r w:rsidRPr="00A4603B">
        <w:t xml:space="preserve">Wheelchairs are considered once every 5 years. </w:t>
      </w:r>
    </w:p>
    <w:p w:rsidR="00893821" w:rsidRPr="00A4603B" w:rsidRDefault="00893821" w:rsidP="00BC5BD4">
      <w:pPr>
        <w:pStyle w:val="ListParagraph"/>
        <w:numPr>
          <w:ilvl w:val="0"/>
          <w:numId w:val="79"/>
        </w:numPr>
      </w:pPr>
      <w:r w:rsidRPr="00A4603B">
        <w:t xml:space="preserve">Seating and accessories are eligible every 2 years. </w:t>
      </w:r>
    </w:p>
    <w:p w:rsidR="00893821" w:rsidRPr="00A4603B" w:rsidRDefault="00893821" w:rsidP="00BC5BD4">
      <w:pPr>
        <w:pStyle w:val="ListParagraph"/>
        <w:numPr>
          <w:ilvl w:val="0"/>
          <w:numId w:val="79"/>
        </w:numPr>
      </w:pPr>
      <w:r w:rsidRPr="00A4603B">
        <w:t xml:space="preserve">Repairs and modifications can be considered as required. </w:t>
      </w:r>
    </w:p>
    <w:p w:rsidR="00893821" w:rsidRPr="00A4603B" w:rsidRDefault="00893821" w:rsidP="00BC5BD4">
      <w:pPr>
        <w:pStyle w:val="ListParagraph"/>
        <w:numPr>
          <w:ilvl w:val="0"/>
          <w:numId w:val="79"/>
        </w:numPr>
      </w:pPr>
      <w:r w:rsidRPr="00A4603B">
        <w:t>There is no cost to eligible clients for entitled wheelchair or seating services.</w:t>
      </w:r>
    </w:p>
    <w:p w:rsidR="00893821" w:rsidRPr="00A4603B" w:rsidRDefault="00893821" w:rsidP="00E060A7">
      <w:pPr>
        <w:pStyle w:val="Heading4"/>
      </w:pPr>
      <w:bookmarkStart w:id="279" w:name="_Toc417645363"/>
      <w:bookmarkStart w:id="280" w:name="_Toc418101191"/>
      <w:r w:rsidRPr="00A4603B">
        <w:t>Prescription Drug Program - Children in Care of Minister of Social Development and Special Needs Children</w:t>
      </w:r>
      <w:r w:rsidRPr="00A4603B">
        <w:rPr>
          <w:vertAlign w:val="superscript"/>
        </w:rPr>
        <w:footnoteReference w:id="144"/>
      </w:r>
      <w:bookmarkEnd w:id="279"/>
      <w:bookmarkEnd w:id="280"/>
    </w:p>
    <w:p w:rsidR="00893821" w:rsidRPr="00A4603B" w:rsidRDefault="00893821" w:rsidP="00893821">
      <w:r w:rsidRPr="00A4603B">
        <w:t>The Prescription Drug Program provides drug coverage to eligible residents of New Brunswick. The New Brunswick Prescription Drug Program Formulary lists the drugs which are eligible for coverage for each plan. Prescriptions for these drugs must be filled by a pharmacy or designated dispensing physician in New Brunswick in order to be reimbursed. There are no co-payments or fees associated with this plan.</w:t>
      </w:r>
    </w:p>
    <w:p w:rsidR="00893821" w:rsidRPr="00A4603B" w:rsidRDefault="00893821" w:rsidP="00E060A7">
      <w:pPr>
        <w:pStyle w:val="Heading2"/>
      </w:pPr>
      <w:bookmarkStart w:id="281" w:name="_Toc418101192"/>
      <w:bookmarkStart w:id="282" w:name="_Toc421805842"/>
      <w:bookmarkStart w:id="283" w:name="_Toc424669267"/>
      <w:bookmarkStart w:id="284" w:name="_Toc457553298"/>
      <w:r w:rsidRPr="00A4603B">
        <w:t>Nova Scotia</w:t>
      </w:r>
      <w:bookmarkEnd w:id="253"/>
      <w:bookmarkEnd w:id="254"/>
      <w:bookmarkEnd w:id="281"/>
      <w:bookmarkEnd w:id="282"/>
      <w:bookmarkEnd w:id="283"/>
      <w:bookmarkEnd w:id="284"/>
    </w:p>
    <w:p w:rsidR="00893821" w:rsidRPr="00A4603B" w:rsidRDefault="00893821" w:rsidP="00E060A7">
      <w:pPr>
        <w:pStyle w:val="Heading3"/>
      </w:pPr>
      <w:bookmarkStart w:id="285" w:name="_Toc418101193"/>
      <w:bookmarkStart w:id="286" w:name="_Toc417393275"/>
      <w:r w:rsidRPr="00A4603B">
        <w:t>Policies and Regulations</w:t>
      </w:r>
      <w:bookmarkEnd w:id="285"/>
    </w:p>
    <w:p w:rsidR="00893821" w:rsidRPr="00A4603B" w:rsidRDefault="00893821" w:rsidP="00E060A7">
      <w:pPr>
        <w:pStyle w:val="Heading4"/>
      </w:pPr>
      <w:bookmarkStart w:id="287" w:name="_Toc417645346"/>
      <w:bookmarkStart w:id="288" w:name="_Toc418101194"/>
      <w:r w:rsidRPr="00A4603B">
        <w:t>Prescription Drug Coverage (Pharmacare)</w:t>
      </w:r>
      <w:r w:rsidRPr="00A4603B">
        <w:rPr>
          <w:vertAlign w:val="superscript"/>
        </w:rPr>
        <w:footnoteReference w:id="145"/>
      </w:r>
      <w:bookmarkEnd w:id="287"/>
      <w:bookmarkEnd w:id="288"/>
    </w:p>
    <w:p w:rsidR="00893821" w:rsidRPr="00A4603B" w:rsidRDefault="00893821" w:rsidP="00E060A7">
      <w:r w:rsidRPr="00A4603B">
        <w:t>The Department of Community Services provides prescription drug coverage, known as Pharmacare, to:</w:t>
      </w:r>
    </w:p>
    <w:p w:rsidR="00893821" w:rsidRPr="00A4603B" w:rsidRDefault="00893821" w:rsidP="00BC5BD4">
      <w:pPr>
        <w:pStyle w:val="ListParagraph"/>
        <w:numPr>
          <w:ilvl w:val="0"/>
          <w:numId w:val="80"/>
        </w:numPr>
      </w:pPr>
      <w:r w:rsidRPr="00A4603B">
        <w:t xml:space="preserve">Income Assistance clients (which includes Extended Pharmacare and Transitional Pharmacare clients) </w:t>
      </w:r>
    </w:p>
    <w:p w:rsidR="00893821" w:rsidRPr="00A4603B" w:rsidRDefault="00893821" w:rsidP="00BC5BD4">
      <w:pPr>
        <w:pStyle w:val="ListParagraph"/>
        <w:numPr>
          <w:ilvl w:val="0"/>
          <w:numId w:val="80"/>
        </w:numPr>
      </w:pPr>
      <w:r w:rsidRPr="00A4603B">
        <w:t xml:space="preserve">Disability Support Program clients </w:t>
      </w:r>
    </w:p>
    <w:p w:rsidR="00893821" w:rsidRPr="00A4603B" w:rsidRDefault="00893821" w:rsidP="00BC5BD4">
      <w:pPr>
        <w:pStyle w:val="ListParagraph"/>
        <w:numPr>
          <w:ilvl w:val="0"/>
          <w:numId w:val="80"/>
        </w:numPr>
      </w:pPr>
      <w:r w:rsidRPr="00A4603B">
        <w:lastRenderedPageBreak/>
        <w:t xml:space="preserve">Children in the care of child welfare through either a district office of the Department of Community Services or a Children's Aid Society/Family and Children's Services agency </w:t>
      </w:r>
    </w:p>
    <w:p w:rsidR="00893821" w:rsidRPr="00A4603B" w:rsidRDefault="00893821" w:rsidP="00BC5BD4">
      <w:pPr>
        <w:pStyle w:val="ListParagraph"/>
        <w:numPr>
          <w:ilvl w:val="0"/>
          <w:numId w:val="80"/>
        </w:numPr>
      </w:pPr>
      <w:r w:rsidRPr="00A4603B">
        <w:t>Low Income Pharmacare for Children clients</w:t>
      </w:r>
    </w:p>
    <w:p w:rsidR="00893821" w:rsidRPr="00A4603B" w:rsidRDefault="00893821" w:rsidP="00E060A7">
      <w:pPr>
        <w:pStyle w:val="Heading4"/>
      </w:pPr>
      <w:r w:rsidRPr="00A4603B">
        <w:t>Social Assistance Act</w:t>
      </w:r>
    </w:p>
    <w:p w:rsidR="00893821" w:rsidRPr="00A4603B" w:rsidRDefault="00893821" w:rsidP="00E060A7">
      <w:r w:rsidRPr="00A4603B">
        <w:t>For clients of the Disability Support Program, the Act (SA) is used to guide decisions about who is eligible to receive benefits.</w:t>
      </w:r>
    </w:p>
    <w:p w:rsidR="00893821" w:rsidRPr="00A4603B" w:rsidRDefault="00893821" w:rsidP="00E060A7">
      <w:pPr>
        <w:pStyle w:val="Heading4"/>
      </w:pPr>
      <w:bookmarkStart w:id="289" w:name="_Toc417645347"/>
      <w:bookmarkStart w:id="290" w:name="_Toc418101195"/>
      <w:r w:rsidRPr="00A4603B">
        <w:t>Standards for Mental Health Services in Nova Scotia</w:t>
      </w:r>
      <w:r w:rsidRPr="00A4603B">
        <w:rPr>
          <w:vertAlign w:val="superscript"/>
        </w:rPr>
        <w:footnoteReference w:id="146"/>
      </w:r>
      <w:bookmarkEnd w:id="289"/>
      <w:bookmarkEnd w:id="290"/>
    </w:p>
    <w:p w:rsidR="00893821" w:rsidRPr="00A4603B" w:rsidRDefault="00893821" w:rsidP="00E060A7">
      <w:r w:rsidRPr="00A4603B">
        <w:t>System-level standards for mental health services in Nova Scotia (NS) have been drafted by the Core Programs Standards Working Group of the Mental Health Steering Committee. Numerous system stakeholders were involved in reaching consensus on standards based on the best available information regarding effectiveness and/or best practice, balanced by the perspective of consumers, expert practitioners and educators. Input will continue to be sought and revisions will take place every five years to keep pace with best practice evidence.</w:t>
      </w:r>
    </w:p>
    <w:p w:rsidR="00893821" w:rsidRPr="00A4603B" w:rsidRDefault="00893821" w:rsidP="00E060A7">
      <w:r w:rsidRPr="00A4603B">
        <w:t xml:space="preserve">Core program standards form the foundation for long-term improvement in mental health services and define the key service components to be achieved within each of the core programs. An overarching set of generic standards represent the preferred conditions relevant to all mental health service delivery. Core programs are accessible to all Nova Scotians as part of a comprehensive mental health system. </w:t>
      </w:r>
    </w:p>
    <w:p w:rsidR="00893821" w:rsidRPr="00A4603B" w:rsidRDefault="00893821" w:rsidP="00E060A7">
      <w:r w:rsidRPr="00A4603B">
        <w:t>The June 2010 Auditor General (AG) Report “A Summary of the Current State of Mental Health and Addictions Services in Nova Scotia” recommended the revision of standards for the treatment of people with mental illness in Nova Scotia. The revision of the System Level Standards for Community Supports responds directly to the AG Recommendation #4.6, “The Department of Health should review the mental health standards to ensure each standard is measurable, specific and can be evaluated.” The previous standards from July, 2009 were a minor revision from the 2003 version.</w:t>
      </w:r>
    </w:p>
    <w:p w:rsidR="00893821" w:rsidRPr="00A4603B" w:rsidRDefault="00893821" w:rsidP="00E060A7">
      <w:pPr>
        <w:pStyle w:val="Heading4"/>
      </w:pPr>
      <w:bookmarkStart w:id="291" w:name="_Toc417645348"/>
      <w:bookmarkStart w:id="292" w:name="_Toc418101196"/>
      <w:r w:rsidRPr="00A4603B">
        <w:t>Nova Scotia Building Code Regulations</w:t>
      </w:r>
      <w:bookmarkEnd w:id="286"/>
      <w:bookmarkEnd w:id="291"/>
      <w:r w:rsidRPr="00A4603B">
        <w:rPr>
          <w:vertAlign w:val="superscript"/>
        </w:rPr>
        <w:footnoteReference w:id="147"/>
      </w:r>
      <w:bookmarkEnd w:id="292"/>
    </w:p>
    <w:p w:rsidR="00893821" w:rsidRPr="00A4603B" w:rsidRDefault="00893821" w:rsidP="00E060A7">
      <w:r w:rsidRPr="00A4603B">
        <w:t>Section 3.8</w:t>
      </w:r>
      <w:r w:rsidRPr="00A4603B">
        <w:rPr>
          <w:i/>
        </w:rPr>
        <w:t xml:space="preserve"> </w:t>
      </w:r>
      <w:r w:rsidRPr="00A4603B">
        <w:t xml:space="preserve">of the </w:t>
      </w:r>
      <w:r w:rsidRPr="00A4603B">
        <w:rPr>
          <w:i/>
        </w:rPr>
        <w:t>Nova Scotia Building Code Regulations</w:t>
      </w:r>
      <w:r w:rsidRPr="00A4603B">
        <w:t>, deals with barrier-free stipulations, design standards, and requirements of the built-environment of a building.</w:t>
      </w:r>
    </w:p>
    <w:p w:rsidR="00893821" w:rsidRPr="00A4603B" w:rsidRDefault="00893821" w:rsidP="00E060A7">
      <w:pPr>
        <w:pStyle w:val="Heading4"/>
      </w:pPr>
      <w:bookmarkStart w:id="293" w:name="_Toc417393276"/>
      <w:bookmarkStart w:id="294" w:name="_Toc417645349"/>
      <w:bookmarkStart w:id="295" w:name="_Toc418101197"/>
      <w:r w:rsidRPr="00A4603B">
        <w:t>Accessibility Legislation</w:t>
      </w:r>
      <w:bookmarkEnd w:id="293"/>
      <w:bookmarkEnd w:id="294"/>
      <w:bookmarkEnd w:id="295"/>
      <w:r w:rsidRPr="00A4603B">
        <w:rPr>
          <w:vertAlign w:val="superscript"/>
        </w:rPr>
        <w:footnoteReference w:id="148"/>
      </w:r>
    </w:p>
    <w:p w:rsidR="00893821" w:rsidRPr="00A4603B" w:rsidRDefault="00893821" w:rsidP="00E060A7">
      <w:r w:rsidRPr="00A4603B">
        <w:lastRenderedPageBreak/>
        <w:t xml:space="preserve">Accessibility legislation is about a new law, regulations, standards and policies that will systematically identify, remove and prevent barriers that stop individuals from full participation in all aspects of Nova Scotia life. The Minister’s Advisory Panel is examining issues related to access to information, communications, labour market and employment opportunities, removing structural barriers in the built environment, attitudes and public awareness, transportation, client services, and housing. </w:t>
      </w:r>
    </w:p>
    <w:p w:rsidR="00893821" w:rsidRPr="00A4603B" w:rsidRDefault="00893821" w:rsidP="00E060A7">
      <w:r w:rsidRPr="00A4603B">
        <w:t xml:space="preserve">A discussion paper has been developed and was the basis for public consultations that wrapped up on December 3, 2014. A report to the Minister of Community Services will be delivered which will include recommendations based on what was heard in the public consultations. The province will use the report to develop accessibility legislation that will be introduced in spring 2016. </w:t>
      </w:r>
    </w:p>
    <w:p w:rsidR="00893821" w:rsidRPr="00A4603B" w:rsidRDefault="00893821" w:rsidP="00E060A7">
      <w:pPr>
        <w:pStyle w:val="Heading4"/>
      </w:pPr>
      <w:r w:rsidRPr="00A4603B">
        <w:t>Disability Support Program Policy</w:t>
      </w:r>
    </w:p>
    <w:p w:rsidR="00893821" w:rsidRPr="00A4603B" w:rsidRDefault="00893821" w:rsidP="00893821">
      <w:r w:rsidRPr="00A4603B">
        <w:t>This policy provides support to individuals with intellectual/physical disabilities and/or long term mental illness. It includes information on program, financial eligibility and basic and special needs.</w:t>
      </w:r>
      <w:r w:rsidRPr="00A4603B">
        <w:rPr>
          <w:vertAlign w:val="superscript"/>
        </w:rPr>
        <w:footnoteReference w:id="149"/>
      </w:r>
    </w:p>
    <w:p w:rsidR="00893821" w:rsidRPr="00A4603B" w:rsidRDefault="00893821" w:rsidP="00E060A7">
      <w:pPr>
        <w:pStyle w:val="Heading3"/>
      </w:pPr>
      <w:bookmarkStart w:id="296" w:name="_Toc417645350"/>
      <w:bookmarkStart w:id="297" w:name="_Toc418101198"/>
      <w:bookmarkStart w:id="298" w:name="_Toc417393277"/>
      <w:r w:rsidRPr="00A4603B">
        <w:t>Programs</w:t>
      </w:r>
      <w:bookmarkEnd w:id="296"/>
      <w:bookmarkEnd w:id="297"/>
    </w:p>
    <w:p w:rsidR="00893821" w:rsidRPr="00A4603B" w:rsidRDefault="00893821" w:rsidP="00E060A7">
      <w:pPr>
        <w:pStyle w:val="Heading4"/>
      </w:pPr>
      <w:bookmarkStart w:id="299" w:name="_Toc417645351"/>
      <w:bookmarkStart w:id="300" w:name="_Toc418101199"/>
      <w:r w:rsidRPr="00A4603B">
        <w:t>Wheelchair Recycling Program</w:t>
      </w:r>
      <w:r w:rsidRPr="00A4603B">
        <w:rPr>
          <w:vertAlign w:val="superscript"/>
        </w:rPr>
        <w:footnoteReference w:id="150"/>
      </w:r>
      <w:bookmarkEnd w:id="299"/>
      <w:bookmarkEnd w:id="300"/>
    </w:p>
    <w:p w:rsidR="00893821" w:rsidRPr="00A4603B" w:rsidRDefault="00893821" w:rsidP="00893821">
      <w:r w:rsidRPr="00A4603B">
        <w:t>The children’s wheelchair recycling program provides wheelchairs to children who need a chair for the first time or who have outgrown their current chair. The program was developed under the guidance of an advisory committee that includes the Abilities Foundation, Canadian Paraplegic Association, Nova Scotia League of Equal Opportunities, IWK Health Centre, Muscular Dystrophy Society, the Disabled Persons Commission and the Department of Community Services.</w:t>
      </w:r>
    </w:p>
    <w:p w:rsidR="00893821" w:rsidRPr="00A4603B" w:rsidRDefault="00893821" w:rsidP="00893821">
      <w:r w:rsidRPr="00A4603B">
        <w:t xml:space="preserve">This is a demonstration project funded by the Department of Community Services and administered by the Abilities Foundation of Nova Scotia. The wheelchair recycling program provides wheelchairs to children and adults with a net family income that falls within program guidelines. </w:t>
      </w:r>
    </w:p>
    <w:p w:rsidR="00E060A7" w:rsidRPr="00E90492" w:rsidRDefault="00E060A7" w:rsidP="00E060A7">
      <w:pPr>
        <w:pStyle w:val="Heading2"/>
      </w:pPr>
      <w:bookmarkStart w:id="301" w:name="_Toc417393281"/>
      <w:bookmarkStart w:id="302" w:name="_Toc417645364"/>
      <w:bookmarkStart w:id="303" w:name="_Toc418101200"/>
      <w:bookmarkStart w:id="304" w:name="_Toc421805843"/>
      <w:bookmarkStart w:id="305" w:name="_Toc424669268"/>
      <w:bookmarkStart w:id="306" w:name="_Toc457553299"/>
      <w:bookmarkEnd w:id="298"/>
      <w:r w:rsidRPr="00E90492">
        <w:t>Newfoundland and Labrador</w:t>
      </w:r>
      <w:bookmarkEnd w:id="301"/>
      <w:bookmarkEnd w:id="302"/>
      <w:bookmarkEnd w:id="303"/>
      <w:bookmarkEnd w:id="304"/>
      <w:bookmarkEnd w:id="305"/>
      <w:bookmarkEnd w:id="306"/>
    </w:p>
    <w:p w:rsidR="00E060A7" w:rsidRPr="001D6333" w:rsidRDefault="00E060A7" w:rsidP="009256DE">
      <w:pPr>
        <w:pStyle w:val="Heading3"/>
        <w:rPr>
          <w:rFonts w:eastAsia="Univers 45 Light"/>
        </w:rPr>
      </w:pPr>
      <w:bookmarkStart w:id="307" w:name="_Toc418101201"/>
      <w:bookmarkStart w:id="308" w:name="_Toc417393282"/>
      <w:bookmarkStart w:id="309" w:name="_Toc417645365"/>
      <w:r w:rsidRPr="00E90492">
        <w:rPr>
          <w:rFonts w:eastAsia="Univers 45 Light"/>
        </w:rPr>
        <w:t>Policies and Regulations</w:t>
      </w:r>
      <w:bookmarkEnd w:id="307"/>
    </w:p>
    <w:p w:rsidR="00E060A7" w:rsidRPr="00E90492" w:rsidRDefault="00E060A7" w:rsidP="009256DE">
      <w:pPr>
        <w:pStyle w:val="Heading4"/>
      </w:pPr>
      <w:bookmarkStart w:id="310" w:name="_Toc418101202"/>
      <w:r w:rsidRPr="00E90492">
        <w:t>Buildings Accessibility Regulations</w:t>
      </w:r>
      <w:bookmarkEnd w:id="308"/>
      <w:bookmarkEnd w:id="309"/>
      <w:bookmarkEnd w:id="310"/>
    </w:p>
    <w:p w:rsidR="00E060A7" w:rsidRPr="001031B6" w:rsidRDefault="00E060A7" w:rsidP="00E060A7">
      <w:pPr>
        <w:contextualSpacing/>
        <w:jc w:val="both"/>
        <w:rPr>
          <w:szCs w:val="20"/>
        </w:rPr>
      </w:pPr>
      <w:r w:rsidRPr="00E90492">
        <w:lastRenderedPageBreak/>
        <w:t>A public building having a total floor area, incorporating all storeys, between the exterior walls of greater than 600 square metres measured from and including the lowest floor to which the public and employees employed in</w:t>
      </w:r>
      <w:r>
        <w:t xml:space="preserve"> the building have access shall (1) </w:t>
      </w:r>
      <w:r w:rsidRPr="001031B6">
        <w:rPr>
          <w:szCs w:val="20"/>
        </w:rPr>
        <w:t>from an entrance that is ordinarily used by the public and employees employed in the building and capable of accommodating persons with disabilities provide an acceptable means of making accessible to persons with disabilities all floors to which the public and employees employed in the building have lawful access; and</w:t>
      </w:r>
      <w:r>
        <w:rPr>
          <w:szCs w:val="20"/>
        </w:rPr>
        <w:t xml:space="preserve"> (2)</w:t>
      </w:r>
      <w:r>
        <w:rPr>
          <w:rFonts w:eastAsia="Calibri"/>
          <w:szCs w:val="20"/>
        </w:rPr>
        <w:t>i</w:t>
      </w:r>
      <w:r w:rsidRPr="00941DD3">
        <w:rPr>
          <w:szCs w:val="20"/>
        </w:rPr>
        <w:t>n respect of floors that are required to be accessible to persons with disabilities, have those floors at the same level throughout or have any levels of those floors connected by a ramp.</w:t>
      </w:r>
      <w:r>
        <w:rPr>
          <w:rStyle w:val="FootnoteReference"/>
          <w:szCs w:val="20"/>
        </w:rPr>
        <w:footnoteReference w:id="151"/>
      </w:r>
    </w:p>
    <w:p w:rsidR="00E060A7" w:rsidRPr="00E90492" w:rsidRDefault="00E060A7" w:rsidP="009256DE">
      <w:pPr>
        <w:pStyle w:val="Heading3"/>
        <w:rPr>
          <w:rFonts w:eastAsia="Univers 45 Light"/>
        </w:rPr>
      </w:pPr>
      <w:bookmarkStart w:id="311" w:name="_Toc417645366"/>
      <w:bookmarkStart w:id="312" w:name="_Toc418101203"/>
      <w:r w:rsidRPr="00E90492">
        <w:rPr>
          <w:rFonts w:eastAsia="Univers 45 Light"/>
        </w:rPr>
        <w:t>Programs</w:t>
      </w:r>
      <w:bookmarkEnd w:id="311"/>
      <w:bookmarkEnd w:id="312"/>
    </w:p>
    <w:p w:rsidR="00E060A7" w:rsidRPr="00E90492" w:rsidRDefault="00E060A7" w:rsidP="009256DE">
      <w:pPr>
        <w:jc w:val="both"/>
      </w:pPr>
      <w:r>
        <w:t>The following p</w:t>
      </w:r>
      <w:r w:rsidRPr="00E90492">
        <w:t>rograms may be accessed by Persons with Disabilities who meet program eligibility criteria and funded through the Department of Health and Community Services:</w:t>
      </w:r>
      <w:r w:rsidRPr="00E90492">
        <w:rPr>
          <w:vertAlign w:val="superscript"/>
        </w:rPr>
        <w:footnoteReference w:id="152"/>
      </w:r>
    </w:p>
    <w:p w:rsidR="00E060A7" w:rsidRPr="00E90492" w:rsidRDefault="00E060A7" w:rsidP="009256DE">
      <w:pPr>
        <w:pStyle w:val="Heading4"/>
      </w:pPr>
      <w:bookmarkStart w:id="313" w:name="_Toc417645367"/>
      <w:bookmarkStart w:id="314" w:name="_Toc418101204"/>
      <w:r w:rsidRPr="00E90492">
        <w:t>Newfoundland and Labrador Prescription Drug Program</w:t>
      </w:r>
      <w:bookmarkEnd w:id="313"/>
      <w:bookmarkEnd w:id="314"/>
    </w:p>
    <w:p w:rsidR="00E060A7" w:rsidRPr="00E90492" w:rsidRDefault="00E060A7" w:rsidP="009256DE">
      <w:pPr>
        <w:jc w:val="both"/>
      </w:pPr>
      <w:r w:rsidRPr="00E90492">
        <w:t>The Newfoundland and Labrador Prescription Drug Program provides assistance in the purchase of pharmaceuticals, and some related medical supplies to residents who qualify for benefit coverage. The focus of the program is that residents of the province should not be denied access to health care because of financial need.</w:t>
      </w:r>
      <w:r w:rsidRPr="00E90492">
        <w:rPr>
          <w:vertAlign w:val="superscript"/>
        </w:rPr>
        <w:footnoteReference w:id="153"/>
      </w:r>
    </w:p>
    <w:p w:rsidR="00E060A7" w:rsidRPr="00E90492" w:rsidRDefault="00E060A7" w:rsidP="009256DE">
      <w:pPr>
        <w:pStyle w:val="Heading4"/>
      </w:pPr>
      <w:bookmarkStart w:id="315" w:name="_Toc417645368"/>
      <w:bookmarkStart w:id="316" w:name="_Toc418101205"/>
      <w:r w:rsidRPr="00E90492">
        <w:t>Special Assistance Program – Medical Equipment and Supplies</w:t>
      </w:r>
      <w:bookmarkEnd w:id="315"/>
      <w:bookmarkEnd w:id="316"/>
    </w:p>
    <w:p w:rsidR="00E060A7" w:rsidRPr="00E90492" w:rsidRDefault="00E060A7" w:rsidP="009256DE">
      <w:pPr>
        <w:jc w:val="both"/>
      </w:pPr>
      <w:r w:rsidRPr="00E90492">
        <w:t>The Special Assistance Program is a provincial program which provides basic medical supplies and equipment to assist with activities of daily living for individuals living in the community who meet the eligibility criteria for the program. Benefits of the program include:</w:t>
      </w:r>
      <w:r w:rsidRPr="00E90492">
        <w:rPr>
          <w:vertAlign w:val="superscript"/>
        </w:rPr>
        <w:footnoteReference w:id="154"/>
      </w:r>
    </w:p>
    <w:p w:rsidR="00E060A7" w:rsidRPr="00E90492" w:rsidRDefault="00E060A7" w:rsidP="00BC5BD4">
      <w:pPr>
        <w:pStyle w:val="ListParagraph"/>
        <w:numPr>
          <w:ilvl w:val="0"/>
          <w:numId w:val="82"/>
        </w:numPr>
      </w:pPr>
      <w:r w:rsidRPr="00E90492">
        <w:t xml:space="preserve">medical supplies (such as dressings, catheters and incontinent supplies), </w:t>
      </w:r>
    </w:p>
    <w:p w:rsidR="00E060A7" w:rsidRPr="00E90492" w:rsidRDefault="00E060A7" w:rsidP="00BC5BD4">
      <w:pPr>
        <w:pStyle w:val="ListParagraph"/>
        <w:numPr>
          <w:ilvl w:val="0"/>
          <w:numId w:val="82"/>
        </w:numPr>
      </w:pPr>
      <w:r w:rsidRPr="00E90492">
        <w:t xml:space="preserve">oxygen and related equipment and supplies, </w:t>
      </w:r>
    </w:p>
    <w:p w:rsidR="00E060A7" w:rsidRPr="00E90492" w:rsidRDefault="00E060A7" w:rsidP="00BC5BD4">
      <w:pPr>
        <w:pStyle w:val="ListParagraph"/>
        <w:numPr>
          <w:ilvl w:val="0"/>
          <w:numId w:val="82"/>
        </w:numPr>
      </w:pPr>
      <w:r>
        <w:t>o</w:t>
      </w:r>
      <w:r w:rsidRPr="00E90492">
        <w:t xml:space="preserve">rthotics such as braces and burn garments, and </w:t>
      </w:r>
    </w:p>
    <w:p w:rsidR="00E060A7" w:rsidRPr="001031B6" w:rsidRDefault="00E060A7" w:rsidP="00BC5BD4">
      <w:pPr>
        <w:pStyle w:val="ListParagraph"/>
        <w:numPr>
          <w:ilvl w:val="0"/>
          <w:numId w:val="82"/>
        </w:numPr>
      </w:pPr>
      <w:r>
        <w:t>e</w:t>
      </w:r>
      <w:r w:rsidRPr="00E90492">
        <w:t>quipment such as wheelchairs, commodes or walkers.</w:t>
      </w:r>
    </w:p>
    <w:p w:rsidR="00E060A7" w:rsidRPr="00E90492" w:rsidRDefault="00E060A7" w:rsidP="009256DE">
      <w:pPr>
        <w:pStyle w:val="Heading4"/>
      </w:pPr>
      <w:bookmarkStart w:id="317" w:name="_Toc417645369"/>
      <w:bookmarkStart w:id="318" w:name="_Toc418101206"/>
      <w:r w:rsidRPr="00E90492">
        <w:t>Therapeutic and Professional Services</w:t>
      </w:r>
      <w:bookmarkEnd w:id="317"/>
      <w:bookmarkEnd w:id="318"/>
    </w:p>
    <w:p w:rsidR="00E060A7" w:rsidRPr="00E90492" w:rsidRDefault="00E060A7" w:rsidP="00E060A7">
      <w:pPr>
        <w:jc w:val="both"/>
      </w:pPr>
      <w:r>
        <w:t>Professional staff at the regional health authoritie</w:t>
      </w:r>
      <w:r w:rsidRPr="00E90492">
        <w:t xml:space="preserve">s provides a range of therapeutic and professional services in a variety of settings which support persons with disabilities. </w:t>
      </w:r>
      <w:r w:rsidRPr="00E90492">
        <w:lastRenderedPageBreak/>
        <w:t>Specific referrals and eligibility criteria must be met to access some services. Staff may include social workers, nurses, behavioural and child management specialists, dieticians, occupational therapists, physiotherapists and laboratory technicians.</w:t>
      </w:r>
      <w:r w:rsidRPr="00E90492">
        <w:rPr>
          <w:vertAlign w:val="superscript"/>
        </w:rPr>
        <w:footnoteReference w:id="155"/>
      </w:r>
    </w:p>
    <w:p w:rsidR="00E060A7" w:rsidRPr="00E90492" w:rsidRDefault="00E060A7" w:rsidP="00E060A7"/>
    <w:p w:rsidR="00E060A7" w:rsidRPr="00E90492" w:rsidRDefault="00E060A7" w:rsidP="009256DE">
      <w:pPr>
        <w:pStyle w:val="Heading2"/>
        <w:rPr>
          <w:lang w:val="en-US"/>
        </w:rPr>
      </w:pPr>
      <w:bookmarkStart w:id="319" w:name="_Toc417393283"/>
      <w:bookmarkStart w:id="320" w:name="_Toc417645370"/>
      <w:bookmarkStart w:id="321" w:name="_Toc418101207"/>
      <w:bookmarkStart w:id="322" w:name="_Toc421805844"/>
      <w:bookmarkStart w:id="323" w:name="_Toc424669269"/>
      <w:bookmarkStart w:id="324" w:name="_Toc457553300"/>
      <w:r w:rsidRPr="00E90492">
        <w:rPr>
          <w:lang w:val="en-US"/>
        </w:rPr>
        <w:t>Prince Edward Island</w:t>
      </w:r>
      <w:bookmarkEnd w:id="319"/>
      <w:bookmarkEnd w:id="320"/>
      <w:bookmarkEnd w:id="321"/>
      <w:bookmarkEnd w:id="322"/>
      <w:bookmarkEnd w:id="323"/>
      <w:bookmarkEnd w:id="324"/>
    </w:p>
    <w:p w:rsidR="00E060A7" w:rsidRPr="00E90492" w:rsidRDefault="00E060A7" w:rsidP="009256DE">
      <w:pPr>
        <w:pStyle w:val="Heading3"/>
        <w:rPr>
          <w:rFonts w:eastAsia="Univers 45 Light"/>
        </w:rPr>
      </w:pPr>
      <w:bookmarkStart w:id="325" w:name="_Toc418101208"/>
      <w:bookmarkStart w:id="326" w:name="_Toc417393284"/>
      <w:bookmarkStart w:id="327" w:name="_Toc417645371"/>
      <w:r w:rsidRPr="00E90492">
        <w:rPr>
          <w:rFonts w:eastAsia="Univers 45 Light"/>
        </w:rPr>
        <w:t>Policies and Regulations</w:t>
      </w:r>
      <w:bookmarkEnd w:id="325"/>
    </w:p>
    <w:p w:rsidR="00E060A7" w:rsidRPr="00E90492" w:rsidRDefault="00E060A7" w:rsidP="009256DE">
      <w:pPr>
        <w:pStyle w:val="Heading4"/>
      </w:pPr>
      <w:bookmarkStart w:id="328" w:name="_Toc418101209"/>
      <w:r w:rsidRPr="00E90492">
        <w:t>Provincial Building Codes Act – Barrier-free Design Regulations</w:t>
      </w:r>
      <w:bookmarkEnd w:id="326"/>
      <w:bookmarkEnd w:id="327"/>
      <w:bookmarkEnd w:id="328"/>
    </w:p>
    <w:p w:rsidR="00E060A7" w:rsidRPr="00E90492" w:rsidRDefault="00E060A7" w:rsidP="009256DE">
      <w:pPr>
        <w:jc w:val="both"/>
      </w:pPr>
      <w:r w:rsidRPr="00E90492">
        <w:t>The provincial government has developed and approved</w:t>
      </w:r>
      <w:r>
        <w:t xml:space="preserve"> the</w:t>
      </w:r>
      <w:r w:rsidRPr="00E90492">
        <w:t xml:space="preserve"> </w:t>
      </w:r>
      <w:r w:rsidRPr="00E90492">
        <w:rPr>
          <w:i/>
        </w:rPr>
        <w:t>Provincial Building Code Act</w:t>
      </w:r>
      <w:r w:rsidRPr="00E90492">
        <w:t xml:space="preserve"> and subsequent barrier-free design regulations</w:t>
      </w:r>
      <w:r w:rsidRPr="00E90492">
        <w:rPr>
          <w:vertAlign w:val="superscript"/>
        </w:rPr>
        <w:footnoteReference w:id="156"/>
      </w:r>
      <w:r w:rsidRPr="00E90492">
        <w:t xml:space="preserve">. These regulations adopt and amend Section 3.7 of the </w:t>
      </w:r>
      <w:r w:rsidRPr="00E90492">
        <w:rPr>
          <w:i/>
        </w:rPr>
        <w:t>National Building Code of Canada,</w:t>
      </w:r>
      <w:r w:rsidRPr="00E90492">
        <w:t xml:space="preserve"> </w:t>
      </w:r>
      <w:r w:rsidRPr="00E90492">
        <w:rPr>
          <w:i/>
        </w:rPr>
        <w:t>1990</w:t>
      </w:r>
      <w:r w:rsidRPr="00E90492">
        <w:t>. This Section of the National Building Code provides a mandatory minimum building design standard to ensure that disabled persons have access to particular buildings and designated facilities within buildings. The regulations apply to all areas of the Province except within the geographical boundaries of a municipality which has adopted the National Building Code of Canada.</w:t>
      </w:r>
      <w:r w:rsidRPr="00E90492">
        <w:rPr>
          <w:vertAlign w:val="superscript"/>
        </w:rPr>
        <w:footnoteReference w:id="157"/>
      </w:r>
    </w:p>
    <w:p w:rsidR="00E060A7" w:rsidRPr="00E90492" w:rsidRDefault="00E060A7" w:rsidP="009256DE">
      <w:pPr>
        <w:pStyle w:val="Heading4"/>
      </w:pPr>
      <w:bookmarkStart w:id="329" w:name="_Toc417393285"/>
      <w:bookmarkStart w:id="330" w:name="_Toc417645372"/>
      <w:bookmarkStart w:id="331" w:name="_Toc418101210"/>
      <w:r w:rsidRPr="00E90492">
        <w:t>Community Care Facilities and Nursing Homes Act</w:t>
      </w:r>
      <w:bookmarkEnd w:id="329"/>
      <w:bookmarkEnd w:id="330"/>
      <w:bookmarkEnd w:id="331"/>
    </w:p>
    <w:p w:rsidR="00E060A7" w:rsidRPr="00E90492" w:rsidRDefault="00E060A7" w:rsidP="009256DE">
      <w:pPr>
        <w:jc w:val="both"/>
      </w:pPr>
      <w:r w:rsidRPr="00E90492">
        <w:t>The Department of Health and Wellness is responsible for the inspection of Licensed Community Care Facilities and Private Nursing Homes in the province pursuant to the Community Care Facilities and Nursing Homes Act.</w:t>
      </w:r>
      <w:r w:rsidRPr="00D56FD7">
        <w:rPr>
          <w:vertAlign w:val="superscript"/>
        </w:rPr>
        <w:t xml:space="preserve"> </w:t>
      </w:r>
      <w:r w:rsidRPr="00E90492">
        <w:t>Licenses are issued by the Community Care Facilities and Nursing Homes Board, a cor</w:t>
      </w:r>
      <w:r>
        <w:t xml:space="preserve">porate body created by the Act. </w:t>
      </w:r>
      <w:r w:rsidRPr="00E90492">
        <w:t>The Board, reporting to the Minster of Health and Wellness, is an incorporated body with legislative authority to license private nursing homes to ensure nursing and personal care services in facilities are safe, of good quality and appropriate to the needs of residents.</w:t>
      </w:r>
      <w:r>
        <w:t xml:space="preserve"> </w:t>
      </w:r>
      <w:r w:rsidRPr="00E90492">
        <w:t>The aim of licensing is to ensure the provision of quality care and to protect the resident through risk reduction. Licensing requires the facility to comply with all the established rules as governed by legislation, regulation, Board policy and standards prior to opening and operating a facility and prior to renewing an existing license.</w:t>
      </w:r>
      <w:r w:rsidRPr="00E90492">
        <w:rPr>
          <w:vertAlign w:val="superscript"/>
        </w:rPr>
        <w:footnoteReference w:id="158"/>
      </w:r>
    </w:p>
    <w:p w:rsidR="00E060A7" w:rsidRPr="00E90492" w:rsidRDefault="00E060A7" w:rsidP="009256DE">
      <w:pPr>
        <w:pStyle w:val="Heading4"/>
      </w:pPr>
      <w:bookmarkStart w:id="332" w:name="_Toc417393286"/>
      <w:bookmarkStart w:id="333" w:name="_Toc417645373"/>
      <w:bookmarkStart w:id="334" w:name="_Toc418101211"/>
      <w:r w:rsidRPr="00E90492">
        <w:t>Operational and Care Service Standards for Private Nursing Homes</w:t>
      </w:r>
      <w:bookmarkEnd w:id="332"/>
      <w:bookmarkEnd w:id="333"/>
      <w:bookmarkEnd w:id="334"/>
    </w:p>
    <w:p w:rsidR="00E060A7" w:rsidRPr="00E90492" w:rsidRDefault="00E060A7" w:rsidP="009256DE">
      <w:pPr>
        <w:jc w:val="both"/>
      </w:pPr>
      <w:r w:rsidRPr="00E90492">
        <w:t xml:space="preserve">Among other stipulations, the Operational and Care Service Standards for Private Nursing Homes </w:t>
      </w:r>
      <w:r>
        <w:t>describe the following policies for adherence:</w:t>
      </w:r>
    </w:p>
    <w:p w:rsidR="00E060A7" w:rsidRPr="00E90492" w:rsidRDefault="00E060A7" w:rsidP="00BC5BD4">
      <w:pPr>
        <w:pStyle w:val="ListParagraph"/>
        <w:numPr>
          <w:ilvl w:val="0"/>
          <w:numId w:val="82"/>
        </w:numPr>
      </w:pPr>
      <w:r w:rsidRPr="00E90492">
        <w:lastRenderedPageBreak/>
        <w:t>Bedrooms accommodate no more than two persons.</w:t>
      </w:r>
    </w:p>
    <w:p w:rsidR="00E060A7" w:rsidRPr="00E90492" w:rsidRDefault="00E060A7" w:rsidP="00BC5BD4">
      <w:pPr>
        <w:pStyle w:val="ListParagraph"/>
        <w:numPr>
          <w:ilvl w:val="0"/>
          <w:numId w:val="82"/>
        </w:numPr>
      </w:pPr>
      <w:r w:rsidRPr="00E90492">
        <w:t xml:space="preserve">The facility has a policy which encourages and supports the residents to personalize their space. </w:t>
      </w:r>
    </w:p>
    <w:p w:rsidR="00E060A7" w:rsidRPr="00E90492" w:rsidRDefault="00E060A7" w:rsidP="00BC5BD4">
      <w:pPr>
        <w:pStyle w:val="ListParagraph"/>
        <w:numPr>
          <w:ilvl w:val="0"/>
          <w:numId w:val="82"/>
        </w:numPr>
      </w:pPr>
      <w:r w:rsidRPr="00E90492">
        <w:t>Bedrooms space and furnishing allocated for each resident meet nursing home regulatory requirements.</w:t>
      </w:r>
    </w:p>
    <w:p w:rsidR="00E060A7" w:rsidRPr="00E90492" w:rsidRDefault="00E060A7" w:rsidP="00BC5BD4">
      <w:pPr>
        <w:pStyle w:val="ListParagraph"/>
        <w:numPr>
          <w:ilvl w:val="0"/>
          <w:numId w:val="82"/>
        </w:numPr>
      </w:pPr>
      <w:r w:rsidRPr="00E90492">
        <w:t>Toilet and bathing facilities meet nursing home regulatory requirements.</w:t>
      </w:r>
    </w:p>
    <w:p w:rsidR="00E060A7" w:rsidRPr="00E90492" w:rsidRDefault="00E060A7" w:rsidP="00BC5BD4">
      <w:pPr>
        <w:pStyle w:val="ListParagraph"/>
        <w:numPr>
          <w:ilvl w:val="0"/>
          <w:numId w:val="82"/>
        </w:numPr>
      </w:pPr>
      <w:r w:rsidRPr="00E90492">
        <w:t>The resident has access to common lounge and dining space which meet nursing home regulatory requirements.</w:t>
      </w:r>
    </w:p>
    <w:p w:rsidR="00E060A7" w:rsidRPr="00E90492" w:rsidRDefault="00E060A7" w:rsidP="00BC5BD4">
      <w:pPr>
        <w:pStyle w:val="ListParagraph"/>
        <w:numPr>
          <w:ilvl w:val="0"/>
          <w:numId w:val="82"/>
        </w:numPr>
      </w:pPr>
      <w:r w:rsidRPr="00E90492">
        <w:t>There are adaptations to the structure and furnishings of the facility to meet safety and security needs of residents including:</w:t>
      </w:r>
    </w:p>
    <w:p w:rsidR="00E060A7" w:rsidRPr="00087E32" w:rsidRDefault="00E060A7" w:rsidP="00BC5BD4">
      <w:pPr>
        <w:pStyle w:val="ListParagraph"/>
        <w:numPr>
          <w:ilvl w:val="1"/>
          <w:numId w:val="82"/>
        </w:numPr>
      </w:pPr>
      <w:r w:rsidRPr="00087E32">
        <w:t>Exits;</w:t>
      </w:r>
    </w:p>
    <w:p w:rsidR="00E060A7" w:rsidRPr="00087E32" w:rsidRDefault="00E060A7" w:rsidP="00BC5BD4">
      <w:pPr>
        <w:pStyle w:val="ListParagraph"/>
        <w:numPr>
          <w:ilvl w:val="1"/>
          <w:numId w:val="82"/>
        </w:numPr>
      </w:pPr>
      <w:r w:rsidRPr="00087E32">
        <w:t>Grab bars (bathrooms);</w:t>
      </w:r>
    </w:p>
    <w:p w:rsidR="00E060A7" w:rsidRPr="00087E32" w:rsidRDefault="00E060A7" w:rsidP="00BC5BD4">
      <w:pPr>
        <w:pStyle w:val="ListParagraph"/>
        <w:numPr>
          <w:ilvl w:val="1"/>
          <w:numId w:val="82"/>
        </w:numPr>
      </w:pPr>
      <w:r w:rsidRPr="00087E32">
        <w:t>Signalling devices and emergency access door-lock systems (bathroom);</w:t>
      </w:r>
    </w:p>
    <w:p w:rsidR="00E060A7" w:rsidRPr="00087E32" w:rsidRDefault="00E060A7" w:rsidP="00BC5BD4">
      <w:pPr>
        <w:pStyle w:val="ListParagraph"/>
        <w:numPr>
          <w:ilvl w:val="1"/>
          <w:numId w:val="82"/>
        </w:numPr>
      </w:pPr>
      <w:r w:rsidRPr="00087E32">
        <w:t>Hand rails (corridors, stairways, ramps); and,</w:t>
      </w:r>
    </w:p>
    <w:p w:rsidR="00E060A7" w:rsidRPr="00087E32" w:rsidRDefault="00E060A7" w:rsidP="00BC5BD4">
      <w:pPr>
        <w:pStyle w:val="ListParagraph"/>
        <w:numPr>
          <w:ilvl w:val="1"/>
          <w:numId w:val="82"/>
        </w:numPr>
      </w:pPr>
      <w:r w:rsidRPr="00087E32">
        <w:t>Non-slip surfaces (tubs, showers, floors, stairways).</w:t>
      </w:r>
    </w:p>
    <w:p w:rsidR="00E060A7" w:rsidRPr="00E90492" w:rsidRDefault="00E060A7" w:rsidP="009256DE">
      <w:pPr>
        <w:ind w:left="1080"/>
        <w:contextualSpacing/>
        <w:jc w:val="both"/>
      </w:pPr>
    </w:p>
    <w:p w:rsidR="00E060A7" w:rsidRDefault="00E060A7" w:rsidP="009256DE">
      <w:pPr>
        <w:jc w:val="both"/>
      </w:pPr>
      <w:r w:rsidRPr="00E90492">
        <w:t>There should also be wheelchair access to the building entrance and exits, and to its facilities, i.e., lounge, dining room, bathro</w:t>
      </w:r>
      <w:bookmarkStart w:id="335" w:name="_Toc417645374"/>
      <w:r>
        <w:t>om, bedroom and outdoor patios.</w:t>
      </w:r>
      <w:bookmarkStart w:id="336" w:name="_Toc418101212"/>
    </w:p>
    <w:p w:rsidR="00E060A7" w:rsidRPr="003D269C" w:rsidRDefault="00E060A7" w:rsidP="009256DE">
      <w:pPr>
        <w:pStyle w:val="Heading3"/>
      </w:pPr>
      <w:r w:rsidRPr="00E90492">
        <w:rPr>
          <w:rFonts w:eastAsia="Univers 45 Light"/>
        </w:rPr>
        <w:t>Programs</w:t>
      </w:r>
      <w:bookmarkEnd w:id="335"/>
      <w:bookmarkEnd w:id="336"/>
    </w:p>
    <w:p w:rsidR="00E060A7" w:rsidRPr="00E90492" w:rsidRDefault="00E060A7" w:rsidP="009256DE">
      <w:pPr>
        <w:pStyle w:val="Heading4"/>
      </w:pPr>
      <w:bookmarkStart w:id="337" w:name="_Toc418101213"/>
      <w:bookmarkStart w:id="338" w:name="_Toc417645375"/>
      <w:r w:rsidRPr="00E90492">
        <w:t>Disability Support Program</w:t>
      </w:r>
      <w:bookmarkEnd w:id="337"/>
    </w:p>
    <w:p w:rsidR="00E060A7" w:rsidRPr="00E90492" w:rsidRDefault="00E060A7" w:rsidP="009256DE">
      <w:pPr>
        <w:jc w:val="both"/>
      </w:pPr>
      <w:r w:rsidRPr="00E90492">
        <w:t xml:space="preserve">The PEI Disability Support Program is a social program with a financial component. It is open to all Islanders with a qualifying disability, and may provide financial help. It </w:t>
      </w:r>
      <w:r>
        <w:t xml:space="preserve">was introduced in October 2001. </w:t>
      </w:r>
      <w:r w:rsidRPr="00E90492">
        <w:t>Eligibility is determined by meeting the applicable definition of disability and by the identification of require</w:t>
      </w:r>
      <w:r>
        <w:t xml:space="preserve">d disability-specific supports. </w:t>
      </w:r>
      <w:r w:rsidRPr="00E90492">
        <w:t>The program is set up to respond to individual needs. It encourages economic independence by supporting people to work and earn income. It may also offer support to children and youth who have disabilities as well as their families.</w:t>
      </w:r>
      <w:r w:rsidRPr="00E90492">
        <w:rPr>
          <w:vertAlign w:val="superscript"/>
        </w:rPr>
        <w:footnoteReference w:id="159"/>
      </w:r>
    </w:p>
    <w:p w:rsidR="00E060A7" w:rsidRPr="00E90492" w:rsidRDefault="00E060A7" w:rsidP="009256DE">
      <w:pPr>
        <w:pStyle w:val="Heading4"/>
      </w:pPr>
      <w:bookmarkStart w:id="339" w:name="_Toc418101214"/>
      <w:r w:rsidRPr="00E90492">
        <w:t>Mental Health Services</w:t>
      </w:r>
      <w:bookmarkEnd w:id="338"/>
      <w:bookmarkEnd w:id="339"/>
    </w:p>
    <w:p w:rsidR="00E060A7" w:rsidRPr="00E90492" w:rsidRDefault="00E060A7" w:rsidP="00E060A7">
      <w:pPr>
        <w:jc w:val="both"/>
      </w:pPr>
      <w:r w:rsidRPr="00E90492">
        <w:t>Health PEI is responsible for the operation and delivery of publicly funded health services in Prince Edward Island. Mental health care is provided through a range of services, including family physician, nurse practitioner, and pediatrician. More specialized mental health care is provided in Community Mental Health clinics or</w:t>
      </w:r>
      <w:r>
        <w:t xml:space="preserve"> in-patient hospital settings. </w:t>
      </w:r>
      <w:r w:rsidRPr="00E90492">
        <w:t xml:space="preserve">Community and hospital-based services are provided throughout the province to adults, children, and youth who experience mental health </w:t>
      </w:r>
      <w:r w:rsidRPr="00E90492">
        <w:lastRenderedPageBreak/>
        <w:t>conditions. Mental health services are provided by interdisciplinary teams working to provide the most appropriate care in the most appropriate setting.</w:t>
      </w:r>
      <w:r w:rsidRPr="00E90492">
        <w:rPr>
          <w:vertAlign w:val="superscript"/>
        </w:rPr>
        <w:footnoteReference w:id="160"/>
      </w:r>
      <w:r w:rsidRPr="00D56FD7">
        <w:rPr>
          <w:vertAlign w:val="superscript"/>
        </w:rPr>
        <w:t xml:space="preserve">, </w:t>
      </w:r>
      <w:r>
        <w:rPr>
          <w:rStyle w:val="FootnoteReference"/>
        </w:rPr>
        <w:footnoteReference w:id="161"/>
      </w:r>
    </w:p>
    <w:p w:rsidR="00E060A7" w:rsidRPr="005D7A6D" w:rsidRDefault="00E060A7" w:rsidP="00087E32">
      <w:pPr>
        <w:pStyle w:val="Heading4"/>
      </w:pPr>
      <w:r w:rsidRPr="005D7A6D">
        <w:t>Community Mental Health</w:t>
      </w:r>
    </w:p>
    <w:p w:rsidR="00E060A7" w:rsidRPr="00D56FD7" w:rsidRDefault="00E060A7" w:rsidP="00E060A7">
      <w:pPr>
        <w:jc w:val="both"/>
      </w:pPr>
      <w:r w:rsidRPr="00E90492">
        <w:t>Community mental health</w:t>
      </w:r>
      <w:r>
        <w:t xml:space="preserve"> offers the following services: r</w:t>
      </w:r>
      <w:r w:rsidRPr="00E90492">
        <w:t>eferral, screening, and service navigation</w:t>
      </w:r>
      <w:r>
        <w:t>, mental health assessment, consultation to other providers, t</w:t>
      </w:r>
      <w:r w:rsidRPr="00E90492">
        <w:t>reatment of mental illness and mental health conditions</w:t>
      </w:r>
      <w:r>
        <w:t xml:space="preserve"> and c</w:t>
      </w:r>
      <w:r w:rsidRPr="00E90492">
        <w:t>risis intervention</w:t>
      </w:r>
      <w:r>
        <w:t>.</w:t>
      </w:r>
      <w:r w:rsidRPr="00D56FD7">
        <w:rPr>
          <w:vertAlign w:val="superscript"/>
        </w:rPr>
        <w:footnoteReference w:id="162"/>
      </w:r>
    </w:p>
    <w:p w:rsidR="00E060A7" w:rsidRPr="00087E32" w:rsidRDefault="00E060A7" w:rsidP="00087E32">
      <w:pPr>
        <w:pStyle w:val="Heading4"/>
      </w:pPr>
      <w:r w:rsidRPr="00087E32">
        <w:t>Children's Mental Health</w:t>
      </w:r>
    </w:p>
    <w:p w:rsidR="00E060A7" w:rsidRPr="00E90492" w:rsidRDefault="00E060A7" w:rsidP="00E060A7">
      <w:pPr>
        <w:jc w:val="both"/>
      </w:pPr>
      <w:r w:rsidRPr="00E90492">
        <w:t>Mental health services for children, youth, and their families, are provided by a network of multidisciplinar</w:t>
      </w:r>
      <w:r>
        <w:t xml:space="preserve">y teams located throughout PEI. </w:t>
      </w:r>
      <w:r w:rsidRPr="00E90492">
        <w:t xml:space="preserve">Children's mental health services includes the following: </w:t>
      </w:r>
      <w:r>
        <w:t>r</w:t>
      </w:r>
      <w:r w:rsidRPr="00E90492">
        <w:t>eferral screen</w:t>
      </w:r>
      <w:r>
        <w:t>ing and navigation, mental health assessment, consultation to other providers, t</w:t>
      </w:r>
      <w:r w:rsidRPr="00E90492">
        <w:t>reatm</w:t>
      </w:r>
      <w:r>
        <w:t xml:space="preserve">ent of mental health conditions and crisis intervention. </w:t>
      </w:r>
      <w:r w:rsidRPr="00E90492">
        <w:t>Treatment may be provided in individual, family, and group setting.</w:t>
      </w:r>
      <w:r w:rsidRPr="00D56FD7">
        <w:rPr>
          <w:vertAlign w:val="superscript"/>
        </w:rPr>
        <w:footnoteReference w:id="163"/>
      </w:r>
    </w:p>
    <w:p w:rsidR="00E060A7" w:rsidRPr="00087E32" w:rsidRDefault="00E060A7" w:rsidP="00087E32">
      <w:pPr>
        <w:pStyle w:val="Heading4"/>
      </w:pPr>
      <w:r w:rsidRPr="00087E32">
        <w:t>Mental Health Crisis Response</w:t>
      </w:r>
    </w:p>
    <w:p w:rsidR="00E060A7" w:rsidRPr="00E90492" w:rsidRDefault="00E060A7" w:rsidP="00E060A7">
      <w:pPr>
        <w:jc w:val="both"/>
      </w:pPr>
      <w:r w:rsidRPr="00E90492">
        <w:t xml:space="preserve">The provincial mental health crisis response system provides prompt response to people who present </w:t>
      </w:r>
      <w:r>
        <w:t xml:space="preserve">with a mental health emergency. </w:t>
      </w:r>
      <w:r w:rsidRPr="00E90492">
        <w:t xml:space="preserve">The mental health crisis response system is currently based in the Emergency Departments of the Queen Elizabeth Hospital and Prince County Hospital, and community mental health settings where experienced mental health staff provide a prompt response to people who present </w:t>
      </w:r>
      <w:r>
        <w:t xml:space="preserve">with a mental health emergency. </w:t>
      </w:r>
      <w:r w:rsidRPr="00E90492">
        <w:t>Mental health staff work closely with the Emergency Department physicians and link the client to the appropriate level of service without delay. Not only does this initiative greatly reduce response time and risk, but can also be an effective suicide prevention strategy.</w:t>
      </w:r>
      <w:r w:rsidRPr="00D56FD7">
        <w:rPr>
          <w:vertAlign w:val="superscript"/>
        </w:rPr>
        <w:footnoteReference w:id="164"/>
      </w:r>
      <w:r w:rsidRPr="00E90492">
        <w:t xml:space="preserve"> </w:t>
      </w:r>
    </w:p>
    <w:p w:rsidR="00E060A7" w:rsidRPr="005D7A6D" w:rsidRDefault="00E060A7" w:rsidP="00087E32">
      <w:pPr>
        <w:pStyle w:val="Heading4"/>
      </w:pPr>
      <w:r w:rsidRPr="005D7A6D">
        <w:t>In-Patient Mental Health</w:t>
      </w:r>
      <w:r w:rsidRPr="005D7A6D">
        <w:rPr>
          <w:vertAlign w:val="superscript"/>
        </w:rPr>
        <w:footnoteReference w:id="165"/>
      </w:r>
    </w:p>
    <w:p w:rsidR="00E060A7" w:rsidRPr="00E90492" w:rsidRDefault="00E060A7" w:rsidP="00E060A7">
      <w:pPr>
        <w:jc w:val="both"/>
      </w:pPr>
      <w:r w:rsidRPr="00E90492">
        <w:t>Inpatient mental health services provides stabilization and treatment to people experiencing mental illness or</w:t>
      </w:r>
      <w:r>
        <w:t xml:space="preserve"> acute psychiatric emergencies. </w:t>
      </w:r>
      <w:r w:rsidRPr="00E90492">
        <w:t xml:space="preserve">Prince Edward Island has two acute psychiatric units located at the Queen Elizabeth Hospital (QEH) and the Prince County Hospital (PCH). These hospital units, together with community hospitals and the more specialized care provided at Hillsborough Hospital (the provincial </w:t>
      </w:r>
      <w:r w:rsidRPr="00E90492">
        <w:lastRenderedPageBreak/>
        <w:t>psychiatric hospital), provide inpatient mental health stabilization and treatment to people experiencing mental illness or acute psychiatric emergencies.</w:t>
      </w:r>
    </w:p>
    <w:p w:rsidR="00E060A7" w:rsidRPr="00941DD3" w:rsidRDefault="00E060A7" w:rsidP="00E060A7">
      <w:pPr>
        <w:jc w:val="both"/>
      </w:pPr>
      <w:r w:rsidRPr="00E90492">
        <w:t>The QEH inpatient psychiatric unit provides multidisciplinary assessment, treatment, and coordination with community treatment or more specialized inpatient treatment. The unit may admit any Islander certified</w:t>
      </w:r>
      <w:r>
        <w:t xml:space="preserve"> through the Mental Health Act. </w:t>
      </w:r>
      <w:r w:rsidRPr="00E90492">
        <w:t>The PCH inpatient psychiatric unit provides multidisciplinary assessment, treatment, and coordination with community treatment or more s</w:t>
      </w:r>
      <w:r>
        <w:t xml:space="preserve">pecialized inpatient treatment. </w:t>
      </w:r>
      <w:r w:rsidRPr="00E90492">
        <w:t>Hillsborough Hospital provides specialized acute, restorative, and rehabilitative care to</w:t>
      </w:r>
      <w:r>
        <w:t xml:space="preserve"> Islanders.</w:t>
      </w:r>
    </w:p>
    <w:p w:rsidR="00E060A7" w:rsidRPr="00D56FD7" w:rsidRDefault="00E060A7" w:rsidP="00E060A7">
      <w:pPr>
        <w:jc w:val="both"/>
        <w:rPr>
          <w:lang w:val="en-US"/>
        </w:rPr>
      </w:pPr>
    </w:p>
    <w:p w:rsidR="00E060A7" w:rsidRPr="00E90492" w:rsidRDefault="00E060A7" w:rsidP="009256DE">
      <w:pPr>
        <w:pStyle w:val="Heading2"/>
      </w:pPr>
      <w:bookmarkStart w:id="340" w:name="_Toc417393287"/>
      <w:bookmarkStart w:id="341" w:name="_Toc417645376"/>
      <w:bookmarkStart w:id="342" w:name="_Toc418101215"/>
      <w:bookmarkStart w:id="343" w:name="_Toc421805845"/>
      <w:bookmarkStart w:id="344" w:name="_Toc424669270"/>
      <w:bookmarkStart w:id="345" w:name="_Toc457553301"/>
      <w:r w:rsidRPr="00E90492">
        <w:t>Northwest Territories</w:t>
      </w:r>
      <w:bookmarkEnd w:id="340"/>
      <w:bookmarkEnd w:id="341"/>
      <w:bookmarkEnd w:id="342"/>
      <w:bookmarkEnd w:id="343"/>
      <w:bookmarkEnd w:id="344"/>
      <w:bookmarkEnd w:id="345"/>
    </w:p>
    <w:p w:rsidR="00E060A7" w:rsidRPr="00941F05" w:rsidRDefault="00E060A7" w:rsidP="009256DE">
      <w:pPr>
        <w:pStyle w:val="Heading3"/>
        <w:rPr>
          <w:rFonts w:eastAsia="Univers 45 Light"/>
        </w:rPr>
      </w:pPr>
      <w:bookmarkStart w:id="346" w:name="_Toc418101216"/>
      <w:bookmarkStart w:id="347" w:name="_Toc417393288"/>
      <w:bookmarkStart w:id="348" w:name="_Toc417645377"/>
      <w:r w:rsidRPr="00E90492">
        <w:rPr>
          <w:rFonts w:eastAsia="Univers 45 Light"/>
        </w:rPr>
        <w:t>Policies and Regulations</w:t>
      </w:r>
      <w:bookmarkEnd w:id="346"/>
    </w:p>
    <w:p w:rsidR="00E060A7" w:rsidRPr="00E90492" w:rsidRDefault="00E060A7" w:rsidP="009256DE">
      <w:pPr>
        <w:pStyle w:val="Heading4"/>
      </w:pPr>
      <w:bookmarkStart w:id="349" w:name="_Toc418101217"/>
      <w:r w:rsidRPr="00E90492">
        <w:t>National Building Code</w:t>
      </w:r>
      <w:bookmarkEnd w:id="347"/>
      <w:bookmarkEnd w:id="348"/>
      <w:bookmarkEnd w:id="349"/>
    </w:p>
    <w:p w:rsidR="00E060A7" w:rsidRPr="00E90492" w:rsidRDefault="00E060A7" w:rsidP="009256DE">
      <w:pPr>
        <w:jc w:val="both"/>
      </w:pPr>
      <w:r>
        <w:t xml:space="preserve">The </w:t>
      </w:r>
      <w:r w:rsidRPr="00E90492">
        <w:t>N</w:t>
      </w:r>
      <w:r>
        <w:t xml:space="preserve">orthwest </w:t>
      </w:r>
      <w:r w:rsidRPr="00E90492">
        <w:t>T</w:t>
      </w:r>
      <w:r>
        <w:t>erritories (NWT)</w:t>
      </w:r>
      <w:r w:rsidRPr="00E90492">
        <w:t xml:space="preserve"> has adopted the National Building Code of Canada and its design standards.</w:t>
      </w:r>
      <w:r w:rsidRPr="00E90492">
        <w:rPr>
          <w:vertAlign w:val="superscript"/>
        </w:rPr>
        <w:footnoteReference w:id="166"/>
      </w:r>
      <w:r>
        <w:t xml:space="preserve"> </w:t>
      </w:r>
    </w:p>
    <w:p w:rsidR="00E060A7" w:rsidRPr="00E90492" w:rsidRDefault="00E060A7" w:rsidP="009256DE">
      <w:pPr>
        <w:pStyle w:val="Heading4"/>
      </w:pPr>
      <w:bookmarkStart w:id="350" w:name="_Toc417393289"/>
      <w:bookmarkStart w:id="351" w:name="_Toc417645378"/>
      <w:bookmarkStart w:id="352" w:name="_Toc418101218"/>
      <w:r w:rsidRPr="00E90492">
        <w:t>Human Rights Act</w:t>
      </w:r>
      <w:bookmarkEnd w:id="350"/>
      <w:bookmarkEnd w:id="351"/>
      <w:bookmarkEnd w:id="352"/>
    </w:p>
    <w:p w:rsidR="00E060A7" w:rsidRPr="00E90492" w:rsidRDefault="00E060A7" w:rsidP="009256DE">
      <w:pPr>
        <w:jc w:val="both"/>
      </w:pPr>
      <w:r w:rsidRPr="00E90492">
        <w:t>The NWT</w:t>
      </w:r>
      <w:r>
        <w:t xml:space="preserve"> </w:t>
      </w:r>
      <w:r w:rsidRPr="00E90492">
        <w:rPr>
          <w:i/>
          <w:iCs/>
        </w:rPr>
        <w:t>Human Rights Act</w:t>
      </w:r>
      <w:r w:rsidRPr="00E90492">
        <w:t xml:space="preserve"> imposes on service providers the duty to accommodate the needs of persons with disabilities to the point of undue hardship where services are available to the public. Upon application, health care in the NWT covers the cost of mobility equipment and assistive devices for seniors and persons with specified condition</w:t>
      </w:r>
      <w:r>
        <w:t xml:space="preserve">s, including many disabilities. </w:t>
      </w:r>
      <w:r w:rsidRPr="00E90492">
        <w:t>According to this Act, the duty to accommodate means that structures, rules, policies or practices that discriminate may have to be changed within a reasonable timeframe in order to ensure that persons with disabilities are able to fully enjoy equality with respect to housing, employment, services, etc. Accommodation must b</w:t>
      </w:r>
      <w:r>
        <w:t>e made short of undue hardship.</w:t>
      </w:r>
      <w:r w:rsidRPr="00E90492">
        <w:rPr>
          <w:vertAlign w:val="superscript"/>
        </w:rPr>
        <w:footnoteReference w:id="167"/>
      </w:r>
    </w:p>
    <w:p w:rsidR="00E060A7" w:rsidRPr="00E90492" w:rsidRDefault="00E060A7" w:rsidP="009256DE">
      <w:pPr>
        <w:pStyle w:val="Heading3"/>
        <w:rPr>
          <w:rFonts w:eastAsia="Univers 45 Light"/>
        </w:rPr>
      </w:pPr>
      <w:bookmarkStart w:id="353" w:name="_Toc417645379"/>
      <w:bookmarkStart w:id="354" w:name="_Toc418101219"/>
      <w:r w:rsidRPr="00E90492">
        <w:rPr>
          <w:rFonts w:eastAsia="Univers 45 Light"/>
        </w:rPr>
        <w:t>Programs</w:t>
      </w:r>
      <w:bookmarkEnd w:id="353"/>
      <w:bookmarkEnd w:id="354"/>
    </w:p>
    <w:p w:rsidR="00E060A7" w:rsidRPr="00E90492" w:rsidRDefault="00E060A7" w:rsidP="009256DE">
      <w:pPr>
        <w:pStyle w:val="Heading4"/>
      </w:pPr>
      <w:bookmarkStart w:id="355" w:name="_Toc417645380"/>
      <w:bookmarkStart w:id="356" w:name="_Toc418101220"/>
      <w:r w:rsidRPr="00E90492">
        <w:t>Habilitation and Rehabilitation</w:t>
      </w:r>
      <w:bookmarkEnd w:id="355"/>
      <w:bookmarkEnd w:id="356"/>
    </w:p>
    <w:p w:rsidR="00E060A7" w:rsidRPr="00E90492" w:rsidRDefault="00E060A7" w:rsidP="009256DE">
      <w:pPr>
        <w:jc w:val="both"/>
      </w:pPr>
      <w:r w:rsidRPr="00E90492">
        <w:t>Rehabilitation Services in the NWT coordinates specialized care with regional therapists including links with non-governmental organizations (e.g., the CNIB, the Hard of Hearing Association, and</w:t>
      </w:r>
      <w:r>
        <w:t xml:space="preserve"> the NWT Disabilities Council). </w:t>
      </w:r>
      <w:r w:rsidRPr="00E90492">
        <w:t xml:space="preserve">Supportive Living is a housing </w:t>
      </w:r>
      <w:r w:rsidRPr="00E90492">
        <w:lastRenderedPageBreak/>
        <w:t>service where adults with a physical and/or mental disability live in small groups under the supervision of paid staff while maintaining as much independence as possible. Depending on their needs, residents may receive assistance with: safety and security; personal care; life skills; medication monitoring; employment; respite; and service coordination. In the NWT, persons requiring 24-hour support and supervision may qualify for Supportive Living. Adults who are able to live independently may be eligible for home support services.</w:t>
      </w:r>
      <w:r w:rsidRPr="00600415">
        <w:rPr>
          <w:vertAlign w:val="superscript"/>
        </w:rPr>
        <w:t xml:space="preserve"> </w:t>
      </w:r>
      <w:r w:rsidRPr="00600415">
        <w:rPr>
          <w:vertAlign w:val="superscript"/>
        </w:rPr>
        <w:footnoteReference w:id="168"/>
      </w:r>
    </w:p>
    <w:p w:rsidR="00E060A7" w:rsidRPr="00E90492" w:rsidRDefault="00E060A7" w:rsidP="009256DE">
      <w:pPr>
        <w:pStyle w:val="Heading4"/>
      </w:pPr>
      <w:bookmarkStart w:id="357" w:name="_Toc417645381"/>
      <w:bookmarkStart w:id="358" w:name="_Toc418101221"/>
      <w:r w:rsidRPr="00E90492">
        <w:t>Extended Health Benefits for Specified Disease Conditions</w:t>
      </w:r>
      <w:bookmarkEnd w:id="357"/>
      <w:bookmarkEnd w:id="358"/>
    </w:p>
    <w:p w:rsidR="00E060A7" w:rsidRPr="00E90492" w:rsidRDefault="00E060A7" w:rsidP="00E060A7">
      <w:pPr>
        <w:jc w:val="both"/>
      </w:pPr>
      <w:r w:rsidRPr="00E90492">
        <w:t>The Government of the Northwest Territories (GNWT) sponsors the Extended Health Benefits program to provide non-Native and Métis residents of the Northwest Territories who have specified disease conditions with certain benefits not covered by hospi</w:t>
      </w:r>
      <w:r>
        <w:t xml:space="preserve">tal and medical care insurance. </w:t>
      </w:r>
      <w:r w:rsidRPr="00E90492">
        <w:t>Through this program, one receives coverage for eligible prescription drugs, medical supplies and equipment. One may also receive benefits related to medical travel such as meals, accommodation and ambulance services.</w:t>
      </w:r>
      <w:r>
        <w:t xml:space="preserve"> </w:t>
      </w:r>
      <w:r w:rsidRPr="00E90492">
        <w:t>The program pays reasonable and customary charges for medically necessary supplies and equipment</w:t>
      </w:r>
      <w:r>
        <w:t xml:space="preserve"> provided in Canada as follows:</w:t>
      </w:r>
      <w:r w:rsidRPr="00600415">
        <w:rPr>
          <w:vertAlign w:val="superscript"/>
        </w:rPr>
        <w:t xml:space="preserve"> </w:t>
      </w:r>
      <w:r w:rsidRPr="00600415">
        <w:rPr>
          <w:vertAlign w:val="superscript"/>
        </w:rPr>
        <w:footnoteReference w:id="169"/>
      </w:r>
    </w:p>
    <w:p w:rsidR="00E060A7" w:rsidRPr="00E90492" w:rsidRDefault="00E060A7" w:rsidP="00BC5BD4">
      <w:pPr>
        <w:pStyle w:val="ListParagraph"/>
        <w:numPr>
          <w:ilvl w:val="0"/>
          <w:numId w:val="82"/>
        </w:numPr>
      </w:pPr>
      <w:r w:rsidRPr="00E90492">
        <w:t>Audiology equipment (e.g. hearing aids)</w:t>
      </w:r>
    </w:p>
    <w:p w:rsidR="00E060A7" w:rsidRPr="00E90492" w:rsidRDefault="00E060A7" w:rsidP="00BC5BD4">
      <w:pPr>
        <w:pStyle w:val="ListParagraph"/>
        <w:numPr>
          <w:ilvl w:val="0"/>
          <w:numId w:val="82"/>
        </w:numPr>
      </w:pPr>
      <w:r w:rsidRPr="00E90492">
        <w:t>Diabetic supplies and equipment (e.g. blood testing strips and injection supplies)</w:t>
      </w:r>
    </w:p>
    <w:p w:rsidR="00E060A7" w:rsidRPr="00E90492" w:rsidRDefault="00E060A7" w:rsidP="00BC5BD4">
      <w:pPr>
        <w:pStyle w:val="ListParagraph"/>
        <w:numPr>
          <w:ilvl w:val="0"/>
          <w:numId w:val="82"/>
        </w:numPr>
      </w:pPr>
      <w:r w:rsidRPr="00E90492">
        <w:t>Incontinence products for adults and disabled children only</w:t>
      </w:r>
    </w:p>
    <w:p w:rsidR="00E060A7" w:rsidRPr="00E90492" w:rsidRDefault="00E060A7" w:rsidP="00BC5BD4">
      <w:pPr>
        <w:pStyle w:val="ListParagraph"/>
        <w:numPr>
          <w:ilvl w:val="0"/>
          <w:numId w:val="82"/>
        </w:numPr>
      </w:pPr>
      <w:r w:rsidRPr="00E90492">
        <w:t>Medical equipment (e.g. wheelchairs and walkers)</w:t>
      </w:r>
    </w:p>
    <w:p w:rsidR="00E060A7" w:rsidRPr="00E90492" w:rsidRDefault="00E060A7" w:rsidP="00BC5BD4">
      <w:pPr>
        <w:pStyle w:val="ListParagraph"/>
        <w:numPr>
          <w:ilvl w:val="0"/>
          <w:numId w:val="82"/>
        </w:numPr>
      </w:pPr>
      <w:r w:rsidRPr="00E90492">
        <w:t>Medical supplies (e.g. bandages and dressings)</w:t>
      </w:r>
    </w:p>
    <w:p w:rsidR="00E060A7" w:rsidRPr="00E90492" w:rsidRDefault="00E060A7" w:rsidP="00BC5BD4">
      <w:pPr>
        <w:pStyle w:val="ListParagraph"/>
        <w:numPr>
          <w:ilvl w:val="0"/>
          <w:numId w:val="82"/>
        </w:numPr>
      </w:pPr>
      <w:r w:rsidRPr="00E90492">
        <w:t>Orthotics and custom-made footwear</w:t>
      </w:r>
    </w:p>
    <w:p w:rsidR="00E060A7" w:rsidRPr="00E90492" w:rsidRDefault="00E060A7" w:rsidP="00BC5BD4">
      <w:pPr>
        <w:pStyle w:val="ListParagraph"/>
        <w:numPr>
          <w:ilvl w:val="0"/>
          <w:numId w:val="82"/>
        </w:numPr>
      </w:pPr>
      <w:r w:rsidRPr="00E90492">
        <w:t>Oxygen and respiratory supplies and equipment</w:t>
      </w:r>
    </w:p>
    <w:p w:rsidR="00E060A7" w:rsidRPr="00E90492" w:rsidRDefault="00E060A7" w:rsidP="00BC5BD4">
      <w:pPr>
        <w:pStyle w:val="ListParagraph"/>
        <w:numPr>
          <w:ilvl w:val="0"/>
          <w:numId w:val="82"/>
        </w:numPr>
      </w:pPr>
      <w:r w:rsidRPr="00E90492">
        <w:t>Pressure garments and</w:t>
      </w:r>
    </w:p>
    <w:p w:rsidR="00E060A7" w:rsidRPr="00E90492" w:rsidRDefault="00E060A7" w:rsidP="00BC5BD4">
      <w:pPr>
        <w:pStyle w:val="ListParagraph"/>
        <w:numPr>
          <w:ilvl w:val="0"/>
          <w:numId w:val="82"/>
        </w:numPr>
      </w:pPr>
      <w:r w:rsidRPr="00E90492">
        <w:t>Prosthetics</w:t>
      </w:r>
    </w:p>
    <w:p w:rsidR="00E060A7" w:rsidRPr="00941F05" w:rsidRDefault="00E060A7" w:rsidP="009256DE">
      <w:pPr>
        <w:pStyle w:val="Heading2"/>
      </w:pPr>
      <w:bookmarkStart w:id="359" w:name="_Toc417393290"/>
      <w:bookmarkStart w:id="360" w:name="_Toc417645382"/>
      <w:bookmarkStart w:id="361" w:name="_Toc418101222"/>
      <w:bookmarkStart w:id="362" w:name="_Toc421805846"/>
      <w:bookmarkStart w:id="363" w:name="_Toc424669271"/>
      <w:bookmarkStart w:id="364" w:name="_Toc457553302"/>
      <w:r w:rsidRPr="00941F05">
        <w:t>Nunavut</w:t>
      </w:r>
      <w:bookmarkEnd w:id="359"/>
      <w:bookmarkEnd w:id="360"/>
      <w:bookmarkEnd w:id="361"/>
      <w:bookmarkEnd w:id="362"/>
      <w:bookmarkEnd w:id="363"/>
      <w:bookmarkEnd w:id="364"/>
    </w:p>
    <w:p w:rsidR="00E060A7" w:rsidRPr="00E90492" w:rsidRDefault="00E060A7" w:rsidP="009256DE">
      <w:pPr>
        <w:pStyle w:val="Heading3"/>
        <w:rPr>
          <w:rFonts w:eastAsia="Univers 45 Light"/>
        </w:rPr>
      </w:pPr>
      <w:bookmarkStart w:id="365" w:name="_Toc418101223"/>
      <w:r w:rsidRPr="00E90492">
        <w:rPr>
          <w:rFonts w:eastAsia="Univers 45 Light"/>
        </w:rPr>
        <w:t>Policies and Regulations</w:t>
      </w:r>
      <w:bookmarkEnd w:id="365"/>
    </w:p>
    <w:p w:rsidR="00E060A7" w:rsidRPr="00E90492" w:rsidRDefault="00E060A7" w:rsidP="009256DE">
      <w:pPr>
        <w:pStyle w:val="Heading4"/>
      </w:pPr>
      <w:bookmarkStart w:id="366" w:name="_Toc417393292"/>
      <w:bookmarkStart w:id="367" w:name="_Toc417645384"/>
      <w:bookmarkStart w:id="368" w:name="_Toc418101224"/>
      <w:r w:rsidRPr="00E90492">
        <w:t>National Building Code</w:t>
      </w:r>
      <w:bookmarkEnd w:id="366"/>
      <w:bookmarkEnd w:id="367"/>
      <w:bookmarkEnd w:id="368"/>
    </w:p>
    <w:p w:rsidR="00E060A7" w:rsidRPr="00E90492" w:rsidRDefault="00E060A7" w:rsidP="009256DE">
      <w:pPr>
        <w:jc w:val="both"/>
      </w:pPr>
      <w:r w:rsidRPr="00E90492">
        <w:lastRenderedPageBreak/>
        <w:t>Nunavut has adopted the National Building code, and National Fire Code with some modifications and additions.</w:t>
      </w:r>
      <w:r w:rsidRPr="00E90492">
        <w:rPr>
          <w:vertAlign w:val="superscript"/>
        </w:rPr>
        <w:footnoteReference w:id="170"/>
      </w:r>
    </w:p>
    <w:p w:rsidR="00E060A7" w:rsidRPr="00E90492" w:rsidRDefault="00E060A7" w:rsidP="009256DE">
      <w:pPr>
        <w:pStyle w:val="Heading3"/>
        <w:rPr>
          <w:rFonts w:eastAsia="Univers 45 Light"/>
        </w:rPr>
      </w:pPr>
      <w:bookmarkStart w:id="369" w:name="_Toc418101225"/>
      <w:bookmarkStart w:id="370" w:name="_Toc417393293"/>
      <w:bookmarkStart w:id="371" w:name="_Toc417645385"/>
      <w:r w:rsidRPr="00E90492">
        <w:rPr>
          <w:rFonts w:eastAsia="Univers 45 Light"/>
        </w:rPr>
        <w:t>Programs</w:t>
      </w:r>
      <w:bookmarkEnd w:id="369"/>
    </w:p>
    <w:p w:rsidR="00E060A7" w:rsidRPr="00E90492" w:rsidRDefault="00E060A7" w:rsidP="009256DE">
      <w:pPr>
        <w:pStyle w:val="Heading4"/>
      </w:pPr>
      <w:bookmarkStart w:id="372" w:name="_Toc418101226"/>
      <w:r w:rsidRPr="00E90492">
        <w:t>Seniors and Disabled Persons Preventative Maintenance Program</w:t>
      </w:r>
      <w:bookmarkEnd w:id="370"/>
      <w:bookmarkEnd w:id="371"/>
      <w:bookmarkEnd w:id="372"/>
    </w:p>
    <w:p w:rsidR="00E060A7" w:rsidRPr="00E90492" w:rsidRDefault="00E060A7" w:rsidP="009256DE">
      <w:pPr>
        <w:jc w:val="both"/>
      </w:pPr>
      <w:r w:rsidRPr="00E90492">
        <w:t>A $1,500 annual grant is provided for to assist elderly and/or disabled homeowners to complete annual preventative and general maintenance of their homes in order to ensure continued comfortable and safe occupancy.</w:t>
      </w:r>
      <w:r w:rsidRPr="00E90492">
        <w:rPr>
          <w:vertAlign w:val="superscript"/>
        </w:rPr>
        <w:footnoteReference w:id="171"/>
      </w:r>
    </w:p>
    <w:p w:rsidR="00E060A7" w:rsidRPr="00E90492" w:rsidRDefault="00E060A7" w:rsidP="009256DE">
      <w:pPr>
        <w:pStyle w:val="Heading4"/>
      </w:pPr>
      <w:bookmarkStart w:id="373" w:name="_Toc418101227"/>
      <w:bookmarkStart w:id="374" w:name="_Toc417393291"/>
      <w:bookmarkStart w:id="375" w:name="_Toc417645383"/>
      <w:r w:rsidRPr="00E90492">
        <w:t>Non</w:t>
      </w:r>
      <w:r>
        <w:t>-</w:t>
      </w:r>
      <w:r w:rsidRPr="00E90492">
        <w:t>Insured Health Benefits</w:t>
      </w:r>
      <w:bookmarkEnd w:id="373"/>
    </w:p>
    <w:p w:rsidR="00E060A7" w:rsidRPr="00E90492" w:rsidRDefault="00E060A7" w:rsidP="009256DE">
      <w:pPr>
        <w:jc w:val="both"/>
      </w:pPr>
      <w:r w:rsidRPr="00E90492">
        <w:t>The Non Insured Health Benefits (NIHB) program is funded by the First Nations and Inuit Health Branch of Health Canada (FNIHB). In Nunavut, administration of the program is divided between Health Canada’s Northern Region Office and the Health Insurance Programs Office in Rankin Inlet through a Contribution Agreement. It covers prescription drugs, dental treatment, vision care, medical supplies and prostheses, and a number of other incidental services for Inuit and First Nations peoples wi</w:t>
      </w:r>
      <w:r>
        <w:t>th status.</w:t>
      </w:r>
    </w:p>
    <w:p w:rsidR="00E060A7" w:rsidRPr="00E90492" w:rsidRDefault="00E060A7" w:rsidP="009256DE">
      <w:pPr>
        <w:pStyle w:val="Heading4"/>
      </w:pPr>
      <w:bookmarkStart w:id="376" w:name="_Toc418101228"/>
      <w:r w:rsidRPr="00E90492">
        <w:t>Home Repair Program</w:t>
      </w:r>
      <w:bookmarkEnd w:id="374"/>
      <w:bookmarkEnd w:id="375"/>
      <w:bookmarkEnd w:id="376"/>
    </w:p>
    <w:p w:rsidR="00E060A7" w:rsidRPr="00E90492" w:rsidRDefault="00E060A7" w:rsidP="00E060A7">
      <w:pPr>
        <w:jc w:val="both"/>
      </w:pPr>
      <w:r w:rsidRPr="00E90492">
        <w:t xml:space="preserve">Under the </w:t>
      </w:r>
      <w:r w:rsidRPr="00E90492">
        <w:rPr>
          <w:i/>
        </w:rPr>
        <w:t>Home Repair Program</w:t>
      </w:r>
      <w:r w:rsidRPr="00E90492">
        <w:t xml:space="preserve"> of Nunavut Housing Corporation, there are provisions for financial assistance for Accessibility Improvements in the interior and exterior modifications that improve accessibility for disabled occupants.</w:t>
      </w:r>
      <w:r w:rsidRPr="00E90492">
        <w:rPr>
          <w:vertAlign w:val="superscript"/>
        </w:rPr>
        <w:footnoteReference w:id="172"/>
      </w:r>
    </w:p>
    <w:p w:rsidR="00E060A7" w:rsidRPr="00E90492" w:rsidRDefault="00E060A7" w:rsidP="00E060A7">
      <w:pPr>
        <w:jc w:val="both"/>
      </w:pPr>
      <w:bookmarkStart w:id="377" w:name="_Toc417393294"/>
      <w:bookmarkStart w:id="378" w:name="_Toc417645386"/>
    </w:p>
    <w:p w:rsidR="00E060A7" w:rsidRPr="00E90492" w:rsidRDefault="00E060A7" w:rsidP="009256DE">
      <w:pPr>
        <w:pStyle w:val="Heading2"/>
      </w:pPr>
      <w:bookmarkStart w:id="379" w:name="_Toc418101229"/>
      <w:bookmarkStart w:id="380" w:name="_Toc421805847"/>
      <w:bookmarkStart w:id="381" w:name="_Toc424669272"/>
      <w:bookmarkStart w:id="382" w:name="_Toc457553303"/>
      <w:r w:rsidRPr="00E90492">
        <w:t>Yukon</w:t>
      </w:r>
      <w:bookmarkEnd w:id="377"/>
      <w:bookmarkEnd w:id="378"/>
      <w:bookmarkEnd w:id="379"/>
      <w:bookmarkEnd w:id="380"/>
      <w:bookmarkEnd w:id="381"/>
      <w:bookmarkEnd w:id="382"/>
    </w:p>
    <w:p w:rsidR="00E060A7" w:rsidRPr="00E90492" w:rsidRDefault="00E060A7" w:rsidP="009256DE">
      <w:pPr>
        <w:pStyle w:val="Heading3"/>
        <w:rPr>
          <w:rFonts w:eastAsia="Univers 45 Light"/>
        </w:rPr>
      </w:pPr>
      <w:bookmarkStart w:id="383" w:name="_Toc418101230"/>
      <w:bookmarkStart w:id="384" w:name="_Toc417393295"/>
      <w:bookmarkStart w:id="385" w:name="_Toc417645387"/>
      <w:r w:rsidRPr="00E90492">
        <w:rPr>
          <w:rFonts w:eastAsia="Univers 45 Light"/>
        </w:rPr>
        <w:t>Policies and Regulations</w:t>
      </w:r>
      <w:bookmarkEnd w:id="383"/>
    </w:p>
    <w:p w:rsidR="00E060A7" w:rsidRPr="00E90492" w:rsidRDefault="00E060A7" w:rsidP="009256DE">
      <w:pPr>
        <w:pStyle w:val="Heading4"/>
      </w:pPr>
      <w:bookmarkStart w:id="386" w:name="_Toc418101231"/>
      <w:r w:rsidRPr="00E90492">
        <w:t>Human Rights Act</w:t>
      </w:r>
      <w:bookmarkEnd w:id="384"/>
      <w:bookmarkEnd w:id="385"/>
      <w:bookmarkEnd w:id="386"/>
    </w:p>
    <w:p w:rsidR="00E060A7" w:rsidRPr="00E90492" w:rsidRDefault="00E060A7" w:rsidP="009256DE">
      <w:pPr>
        <w:jc w:val="both"/>
      </w:pPr>
      <w:r w:rsidRPr="00E90492">
        <w:t xml:space="preserve">The Yukon's </w:t>
      </w:r>
      <w:r w:rsidRPr="00E90492">
        <w:rPr>
          <w:i/>
          <w:iCs/>
        </w:rPr>
        <w:t xml:space="preserve">Human Rights Act </w:t>
      </w:r>
      <w:r w:rsidRPr="00E90492">
        <w:t>requires "reasonable accommodation" for persons with disabilities in the areas of employment, housing, public facilities and services, membership in and representation by unions and trade, occupational and professional associations, and publically tendered contracts.</w:t>
      </w:r>
      <w:r w:rsidRPr="00E90492">
        <w:rPr>
          <w:vertAlign w:val="superscript"/>
        </w:rPr>
        <w:footnoteReference w:id="173"/>
      </w:r>
    </w:p>
    <w:p w:rsidR="00E060A7" w:rsidRPr="00E90492" w:rsidRDefault="00E060A7" w:rsidP="009256DE">
      <w:pPr>
        <w:pStyle w:val="Heading4"/>
      </w:pPr>
      <w:bookmarkStart w:id="387" w:name="_Toc417393296"/>
      <w:bookmarkStart w:id="388" w:name="_Toc417645388"/>
      <w:bookmarkStart w:id="389" w:name="_Toc418101232"/>
      <w:r w:rsidRPr="00E90492">
        <w:lastRenderedPageBreak/>
        <w:t>National Building Code</w:t>
      </w:r>
      <w:bookmarkEnd w:id="387"/>
      <w:bookmarkEnd w:id="388"/>
      <w:bookmarkEnd w:id="389"/>
    </w:p>
    <w:p w:rsidR="00E060A7" w:rsidRPr="00E90492" w:rsidRDefault="00E060A7" w:rsidP="009256DE">
      <w:pPr>
        <w:jc w:val="both"/>
      </w:pPr>
      <w:r w:rsidRPr="00E90492">
        <w:t>Yukon has adopted the National Building code, National Plumbing Code, and National Fire Code with some modifications and additions.</w:t>
      </w:r>
      <w:r w:rsidRPr="00E90492">
        <w:rPr>
          <w:vertAlign w:val="superscript"/>
        </w:rPr>
        <w:footnoteReference w:id="174"/>
      </w:r>
    </w:p>
    <w:p w:rsidR="00E060A7" w:rsidRPr="00E90492" w:rsidRDefault="00E060A7" w:rsidP="009256DE">
      <w:pPr>
        <w:pStyle w:val="Heading3"/>
        <w:rPr>
          <w:rFonts w:eastAsia="Univers 45 Light"/>
        </w:rPr>
      </w:pPr>
      <w:bookmarkStart w:id="390" w:name="_Toc417645389"/>
      <w:bookmarkStart w:id="391" w:name="_Toc418101233"/>
      <w:r w:rsidRPr="00E90492">
        <w:rPr>
          <w:rFonts w:eastAsia="Univers 45 Light"/>
        </w:rPr>
        <w:t>Programs</w:t>
      </w:r>
      <w:bookmarkEnd w:id="390"/>
      <w:bookmarkEnd w:id="391"/>
    </w:p>
    <w:p w:rsidR="00E060A7" w:rsidRPr="00E90492" w:rsidRDefault="00E060A7" w:rsidP="009256DE">
      <w:pPr>
        <w:pStyle w:val="Heading4"/>
      </w:pPr>
      <w:bookmarkStart w:id="392" w:name="_Toc417645390"/>
      <w:bookmarkStart w:id="393" w:name="_Toc418101234"/>
      <w:r w:rsidRPr="00E90492">
        <w:t>Chronic Disease and Disability Benefits Program</w:t>
      </w:r>
      <w:bookmarkEnd w:id="392"/>
      <w:bookmarkEnd w:id="393"/>
    </w:p>
    <w:p w:rsidR="00E060A7" w:rsidRPr="00E90492" w:rsidRDefault="00E060A7" w:rsidP="009256DE">
      <w:pPr>
        <w:jc w:val="both"/>
      </w:pPr>
      <w:r w:rsidRPr="00E90492">
        <w:t>The Chronic Disease and Disability Benefits Program provides benefits for Yukon residents who have a chronic disease or a</w:t>
      </w:r>
      <w:r>
        <w:t xml:space="preserve"> serious functional disability. </w:t>
      </w:r>
      <w:r w:rsidRPr="00E90492">
        <w:t>A disability is defined as a serious functional impairment and includes partial and complete paralysis, amputation, brain damage and intellectual disabilities. It does not include sensory impairment such as poor vision or hearing deficits, except significant hearing loss in children under 16 years of age.</w:t>
      </w:r>
      <w:r w:rsidRPr="00A15CD9">
        <w:rPr>
          <w:vertAlign w:val="superscript"/>
        </w:rPr>
        <w:footnoteReference w:id="175"/>
      </w:r>
    </w:p>
    <w:p w:rsidR="00E060A7" w:rsidRPr="00E90492" w:rsidRDefault="00E060A7" w:rsidP="009256DE">
      <w:pPr>
        <w:pStyle w:val="Heading4"/>
      </w:pPr>
      <w:bookmarkStart w:id="394" w:name="_Toc417645391"/>
      <w:bookmarkStart w:id="395" w:name="_Toc418101235"/>
      <w:r w:rsidRPr="00E90492">
        <w:t>Yukon Home Care Program</w:t>
      </w:r>
      <w:bookmarkEnd w:id="394"/>
      <w:bookmarkEnd w:id="395"/>
    </w:p>
    <w:p w:rsidR="00E060A7" w:rsidRPr="00A15CD9" w:rsidRDefault="00E060A7" w:rsidP="009256DE">
      <w:pPr>
        <w:jc w:val="both"/>
      </w:pPr>
      <w:r w:rsidRPr="00E90492">
        <w:t xml:space="preserve">Yukon Home Care Program delivers health-related services to individuals who have difficulty accessing services in the community due to </w:t>
      </w:r>
      <w:r>
        <w:t xml:space="preserve">mobility or health restraints. </w:t>
      </w:r>
      <w:r w:rsidRPr="00E90492">
        <w:t>The Program’s objective is to support individuals so that they can liv</w:t>
      </w:r>
      <w:r>
        <w:t xml:space="preserve">e independently in their homes. </w:t>
      </w:r>
      <w:r w:rsidRPr="00E90492">
        <w:t>The Program is a territory-wide program of the Government of Yukon. It is administered by the Continuing Care Division under the Department of Health an</w:t>
      </w:r>
      <w:r>
        <w:t xml:space="preserve">d Social Services. </w:t>
      </w:r>
      <w:r w:rsidRPr="00E90492">
        <w:t>The Program works closely with other departments, First Nation governments, medical facilities, and other community organizations.</w:t>
      </w:r>
      <w:r w:rsidRPr="00A15CD9">
        <w:rPr>
          <w:vertAlign w:val="superscript"/>
        </w:rPr>
        <w:footnoteReference w:id="176"/>
      </w:r>
    </w:p>
    <w:p w:rsidR="00E060A7" w:rsidRPr="00E90492" w:rsidRDefault="00E060A7" w:rsidP="009256DE">
      <w:pPr>
        <w:pStyle w:val="Heading4"/>
      </w:pPr>
      <w:bookmarkStart w:id="396" w:name="_Toc417645392"/>
      <w:bookmarkStart w:id="397" w:name="_Toc418101236"/>
      <w:r w:rsidRPr="00E90492">
        <w:t>Mental Health Services</w:t>
      </w:r>
      <w:bookmarkEnd w:id="396"/>
      <w:bookmarkEnd w:id="397"/>
    </w:p>
    <w:p w:rsidR="00E060A7" w:rsidRPr="00E90492" w:rsidRDefault="00E060A7" w:rsidP="009256DE">
      <w:pPr>
        <w:jc w:val="both"/>
      </w:pPr>
      <w:r w:rsidRPr="00E90492">
        <w:t>Mental Health Services is a community mental health clinic offering assessment, individual and group therapy, supportive counselling and referral services for a wide range of emotional and behavioural problems and mental illnesses. Mental health professionals work to provide assistance in managing depression, anxiety, schizo</w:t>
      </w:r>
      <w:r>
        <w:t>phrenia, and bipolar disorders.</w:t>
      </w:r>
      <w:r w:rsidRPr="00A15CD9">
        <w:rPr>
          <w:vertAlign w:val="superscript"/>
        </w:rPr>
        <w:footnoteReference w:id="177"/>
      </w:r>
    </w:p>
    <w:p w:rsidR="00E060A7" w:rsidRPr="00E90492" w:rsidRDefault="00E060A7" w:rsidP="009256DE">
      <w:pPr>
        <w:pStyle w:val="Heading4"/>
      </w:pPr>
      <w:bookmarkStart w:id="398" w:name="_Toc417645393"/>
      <w:bookmarkStart w:id="399" w:name="_Toc418101237"/>
      <w:r w:rsidRPr="00E90492">
        <w:t>Community Day Program</w:t>
      </w:r>
      <w:bookmarkEnd w:id="398"/>
      <w:bookmarkEnd w:id="399"/>
    </w:p>
    <w:p w:rsidR="00E060A7" w:rsidRPr="00E90492" w:rsidRDefault="00E060A7" w:rsidP="00E060A7">
      <w:pPr>
        <w:jc w:val="both"/>
      </w:pPr>
      <w:r w:rsidRPr="00E90492">
        <w:t>In Whitehorse, the Community Day Program provides services and support to adults with cognitive or physical impairments and to their caregivers, making it possible for them to experience an optimum quality of life while conti</w:t>
      </w:r>
      <w:r>
        <w:t xml:space="preserve">nuing to live in the community. </w:t>
      </w:r>
      <w:r w:rsidRPr="00E90492">
        <w:t>The goals of the program are to maintain or increase the client</w:t>
      </w:r>
      <w:r>
        <w:t>’</w:t>
      </w:r>
      <w:r w:rsidRPr="00E90492">
        <w:t xml:space="preserve">s level of independence, </w:t>
      </w:r>
      <w:r w:rsidRPr="00E90492">
        <w:lastRenderedPageBreak/>
        <w:t>to prevent or delay the need of residential care in a facility, and to provide services that complement oth</w:t>
      </w:r>
      <w:r>
        <w:t xml:space="preserve">er community service providers. </w:t>
      </w:r>
      <w:r w:rsidRPr="00E90492">
        <w:t>When a person can no longer be adequately supported to live independently in the community because of their health needs, residential care may be considered.</w:t>
      </w:r>
      <w:r w:rsidRPr="00E90492">
        <w:rPr>
          <w:vertAlign w:val="superscript"/>
        </w:rPr>
        <w:footnoteReference w:id="178"/>
      </w:r>
    </w:p>
    <w:p w:rsidR="00E060A7" w:rsidRPr="00E90492" w:rsidRDefault="00E060A7" w:rsidP="00E060A7">
      <w:pPr>
        <w:jc w:val="both"/>
      </w:pPr>
    </w:p>
    <w:p w:rsidR="00E060A7" w:rsidRPr="00E90492" w:rsidRDefault="00E060A7" w:rsidP="009256DE">
      <w:pPr>
        <w:pStyle w:val="Heading2"/>
      </w:pPr>
      <w:bookmarkStart w:id="400" w:name="_Toc418101238"/>
      <w:bookmarkStart w:id="401" w:name="_Toc421805848"/>
      <w:bookmarkStart w:id="402" w:name="_Toc424669273"/>
      <w:bookmarkStart w:id="403" w:name="_Toc457553304"/>
      <w:r w:rsidRPr="00E90492">
        <w:t>U</w:t>
      </w:r>
      <w:r>
        <w:t xml:space="preserve">nited </w:t>
      </w:r>
      <w:r w:rsidRPr="00E90492">
        <w:t>S</w:t>
      </w:r>
      <w:bookmarkEnd w:id="400"/>
      <w:r>
        <w:t>tates</w:t>
      </w:r>
      <w:bookmarkEnd w:id="401"/>
      <w:bookmarkEnd w:id="402"/>
      <w:bookmarkEnd w:id="403"/>
    </w:p>
    <w:p w:rsidR="00E060A7" w:rsidRPr="00E90492" w:rsidRDefault="00E060A7" w:rsidP="009256DE">
      <w:pPr>
        <w:pStyle w:val="Heading3"/>
        <w:rPr>
          <w:rFonts w:eastAsia="Univers 45 Light"/>
        </w:rPr>
      </w:pPr>
      <w:bookmarkStart w:id="404" w:name="_Toc418101239"/>
      <w:r w:rsidRPr="00E90492">
        <w:rPr>
          <w:rFonts w:eastAsia="Univers 45 Light"/>
        </w:rPr>
        <w:t>Policies and Regulations</w:t>
      </w:r>
      <w:bookmarkEnd w:id="404"/>
    </w:p>
    <w:p w:rsidR="00E060A7" w:rsidRPr="00E90492" w:rsidRDefault="00E060A7" w:rsidP="009256DE">
      <w:pPr>
        <w:pStyle w:val="Heading4"/>
      </w:pPr>
      <w:bookmarkStart w:id="405" w:name="_Toc418101240"/>
      <w:r w:rsidRPr="00E90492">
        <w:t>Americans with Disabilities Act (ADA) – Title III: Public Accommodations</w:t>
      </w:r>
      <w:bookmarkEnd w:id="405"/>
      <w:r>
        <w:rPr>
          <w:rStyle w:val="FootnoteReference"/>
        </w:rPr>
        <w:footnoteReference w:id="179"/>
      </w:r>
    </w:p>
    <w:p w:rsidR="00E060A7" w:rsidRPr="00E90492" w:rsidRDefault="00E060A7" w:rsidP="009256DE">
      <w:pPr>
        <w:jc w:val="both"/>
      </w:pPr>
      <w:r w:rsidRPr="00E90492">
        <w:t>An individual with a disability is defined by the ADA as a person who has a physical or mental impairment that substantially limits one or more major life activities, a person who has a history or record of such an impairment, or a person who is perceived by others as having such an impairment. The ADA does not specifically name all of the impairments that are covered.</w:t>
      </w:r>
    </w:p>
    <w:p w:rsidR="00E060A7" w:rsidRPr="00E90492" w:rsidRDefault="00E060A7" w:rsidP="009256DE">
      <w:pPr>
        <w:jc w:val="both"/>
      </w:pPr>
      <w:r w:rsidRPr="00E90492">
        <w:t>Title III covers businesses and non-profit service providers that are public accommodations, privately operated entities offering certain types of courses and examinations, privately operated transportation, and commercial facilities. Public accommodations are private entities who own, lease, lease to, or operate facilities such as restaurants, retail stores, hotels, movie theaters, private schools, convention centers, doctors' offices, homeless shelters, transportation depots, zoos, funeral homes, day care centers, and recreation facilities including sports stadiums and fitness clubs.</w:t>
      </w:r>
    </w:p>
    <w:p w:rsidR="00E060A7" w:rsidRPr="00E90492" w:rsidRDefault="00E060A7" w:rsidP="009256DE">
      <w:pPr>
        <w:jc w:val="both"/>
      </w:pPr>
      <w:r w:rsidRPr="00E90492">
        <w:t>Public accommodations must comply with basic non-discrimination requirements that prohibit exclusion, segregation, and unequal treatment. They also must comply with specific requirements related to architectural standards for new and altered buildings; reasonable modifications to policies, practices, and procedures; effective communication with people with hearing, vision, or speech disabilities; and other access requirements. Additionally, public accommodations must remove barriers in existing buildings where it is easy to do so without much difficulty or expense, given the public accommodation's resources.</w:t>
      </w:r>
    </w:p>
    <w:p w:rsidR="00E060A7" w:rsidRPr="00E90492" w:rsidRDefault="00E060A7" w:rsidP="009256DE">
      <w:pPr>
        <w:jc w:val="both"/>
      </w:pPr>
    </w:p>
    <w:p w:rsidR="00E060A7" w:rsidRPr="00E90492" w:rsidRDefault="00E060A7" w:rsidP="009256DE">
      <w:pPr>
        <w:jc w:val="both"/>
      </w:pPr>
      <w:r w:rsidRPr="00E90492">
        <w:lastRenderedPageBreak/>
        <w:t>Courses and examinations related to professional, educational, or trade-related applications, licensing, certifications, credentialing must be provided in a place and manner accessible to people with disabilities, or alternative accessible arrangements must be offered.</w:t>
      </w:r>
    </w:p>
    <w:p w:rsidR="00E060A7" w:rsidRPr="00E90492" w:rsidRDefault="00E060A7" w:rsidP="009256DE">
      <w:pPr>
        <w:pStyle w:val="Heading4"/>
      </w:pPr>
      <w:bookmarkStart w:id="406" w:name="_Toc418101241"/>
      <w:r w:rsidRPr="00E90492">
        <w:t>Dog Guide Coverage</w:t>
      </w:r>
      <w:bookmarkEnd w:id="406"/>
    </w:p>
    <w:p w:rsidR="00E060A7" w:rsidRPr="00E90492" w:rsidRDefault="00E060A7" w:rsidP="009256DE">
      <w:pPr>
        <w:jc w:val="both"/>
      </w:pPr>
      <w:r w:rsidRPr="00E90492">
        <w:t>Under the ADA and its implementing regulation, the right of a blind person to be accompanied by a dog guide in places that serve the public is guaranteed. Section 36 of Title III specifies that "service animals," which include dog guides, be covered by the statute. The right of a blind person to be accompanied by a dog guide is guaranteed and the term "public accommodation" is als</w:t>
      </w:r>
      <w:r>
        <w:t>o defined under this provision.</w:t>
      </w:r>
      <w:r>
        <w:rPr>
          <w:rStyle w:val="FootnoteReference"/>
        </w:rPr>
        <w:footnoteReference w:id="180"/>
      </w:r>
    </w:p>
    <w:p w:rsidR="00E060A7" w:rsidRPr="00E90492" w:rsidRDefault="00E060A7" w:rsidP="009256DE">
      <w:pPr>
        <w:pStyle w:val="Heading4"/>
      </w:pPr>
      <w:bookmarkStart w:id="407" w:name="_Toc418101242"/>
      <w:r w:rsidRPr="00E90492">
        <w:t>Fair Housing Act</w:t>
      </w:r>
      <w:bookmarkEnd w:id="407"/>
    </w:p>
    <w:p w:rsidR="00E060A7" w:rsidRPr="00E90492" w:rsidRDefault="00E060A7" w:rsidP="009256DE">
      <w:pPr>
        <w:jc w:val="both"/>
      </w:pPr>
      <w:r w:rsidRPr="00E90492">
        <w:t xml:space="preserve">The </w:t>
      </w:r>
      <w:r w:rsidRPr="00E90492">
        <w:rPr>
          <w:i/>
        </w:rPr>
        <w:t>Fair Housing Act</w:t>
      </w:r>
      <w:r w:rsidRPr="00E90492">
        <w:t>, as amended in 1988, prohibits housing discrimination based on race, colour, religion, sex, disability, familial status, and national origin. Its coverage includes private housing, housing that receives Federal financial assistance, and State and local government housing. It is unlawful to discriminate in any aspect of selling or renting housing or to deny a dwelling to a buyer or renter because of the disability of that individual, an individual associated with the buyer or renter, or an individual who intends to live in the residence. Other covered activities include, for example, financing, zoning practices, new construction design, and advertising.</w:t>
      </w:r>
    </w:p>
    <w:p w:rsidR="00E060A7" w:rsidRPr="00E90492" w:rsidRDefault="00E060A7" w:rsidP="009256DE">
      <w:pPr>
        <w:jc w:val="both"/>
      </w:pPr>
      <w:r w:rsidRPr="00E90492">
        <w:t xml:space="preserve">The </w:t>
      </w:r>
      <w:r w:rsidRPr="00E90492">
        <w:rPr>
          <w:i/>
        </w:rPr>
        <w:t>Fair Housing Act</w:t>
      </w:r>
      <w:r w:rsidRPr="00E90492">
        <w:t xml:space="preserve"> requires owners of housing facilities to make reasonable exceptions in their policies and operations to afford people with disabilities equal housing opportunities. For example, a property owner with a "no pets" policy may be required to grant an exception to this rule and allow an individual who is blind to keep a guide dog in the residence. The </w:t>
      </w:r>
      <w:r w:rsidRPr="00E90492">
        <w:rPr>
          <w:i/>
        </w:rPr>
        <w:t>Fair Housing Act</w:t>
      </w:r>
      <w:r w:rsidRPr="00E90492">
        <w:t xml:space="preserve"> also requires property owners to allow tenants with disabilities to make reasonable access-related modifications to their private living space, as well as to common use spaces. (The property owner is not required to pay for the changes.) The Act further requires that new multifamily housing with four or more units be designed and built to allow access for persons with disabilities. This includes accessible common use areas, doors that are wide enough for wheelchairs, kitchens, and bathrooms that allow a person using a wheelchair to maneuver, and other adaptable features within the units.</w:t>
      </w:r>
      <w:r>
        <w:rPr>
          <w:rStyle w:val="FootnoteReference"/>
        </w:rPr>
        <w:footnoteReference w:id="181"/>
      </w:r>
    </w:p>
    <w:p w:rsidR="00E060A7" w:rsidRPr="00E90492" w:rsidRDefault="00E060A7" w:rsidP="009256DE">
      <w:pPr>
        <w:jc w:val="both"/>
      </w:pPr>
    </w:p>
    <w:p w:rsidR="00E060A7" w:rsidRPr="00E90492" w:rsidRDefault="00E060A7" w:rsidP="009256DE">
      <w:pPr>
        <w:pStyle w:val="Heading4"/>
      </w:pPr>
      <w:bookmarkStart w:id="408" w:name="_Toc418101243"/>
      <w:r w:rsidRPr="00E90492">
        <w:t>Rehabilitation Act</w:t>
      </w:r>
      <w:bookmarkEnd w:id="408"/>
    </w:p>
    <w:p w:rsidR="00E060A7" w:rsidRPr="00941F05" w:rsidRDefault="00E060A7" w:rsidP="00625F54">
      <w:pPr>
        <w:pStyle w:val="Heading5"/>
      </w:pPr>
      <w:r w:rsidRPr="00941F05">
        <w:lastRenderedPageBreak/>
        <w:t>Section 504</w:t>
      </w:r>
    </w:p>
    <w:p w:rsidR="00E060A7" w:rsidRPr="004E341D" w:rsidRDefault="00E060A7" w:rsidP="00E060A7">
      <w:pPr>
        <w:jc w:val="both"/>
      </w:pPr>
      <w:r w:rsidRPr="00E90492">
        <w:t xml:space="preserve">Section 504 states that no otherwise qualified individual with a disability in the US shall, solely by reason of his or her disability, be excluded from the participation in, be denied the benefits of, or be subjected to discrimination under any program or activity receiving Federal financial assistance or under any program or activity conducted by any Executive agency or by the US Postal Service. The head of each such agency shall promulgate such regulations as may be necessary to carry out the amendments to this section made by the </w:t>
      </w:r>
      <w:r w:rsidRPr="00E90492">
        <w:rPr>
          <w:i/>
        </w:rPr>
        <w:t>Rehabilitation, Comprehensive Services, and Development Disabilities Act</w:t>
      </w:r>
      <w:r w:rsidRPr="00E90492">
        <w:t xml:space="preserve"> of 1978.</w:t>
      </w:r>
      <w:r w:rsidRPr="004E341D">
        <w:rPr>
          <w:vertAlign w:val="superscript"/>
        </w:rPr>
        <w:footnoteReference w:id="182"/>
      </w:r>
    </w:p>
    <w:p w:rsidR="00E060A7" w:rsidRPr="00941F05" w:rsidRDefault="00E060A7" w:rsidP="00625F54">
      <w:pPr>
        <w:pStyle w:val="Heading5"/>
      </w:pPr>
      <w:r w:rsidRPr="00941F05">
        <w:t>Section 508</w:t>
      </w:r>
    </w:p>
    <w:p w:rsidR="00E060A7" w:rsidRPr="00E90492" w:rsidRDefault="00E060A7" w:rsidP="00E060A7">
      <w:pPr>
        <w:jc w:val="both"/>
      </w:pPr>
      <w:r w:rsidRPr="00E90492">
        <w:t>Section 508 establishes requirements for electronic and information technology developed, maintained, procured, or used by the Federal government. Section 508 requires Federal electronic and information technology to be accessible to people with disabilities, including employees and members of the public.</w:t>
      </w:r>
      <w:r>
        <w:t xml:space="preserve"> </w:t>
      </w:r>
      <w:r w:rsidRPr="00E90492">
        <w:t>An accessible information technology system is one that can be operated in a variety of ways and does not rely on a single sense or ability of the user. For example, a system that provides output only in visual format may not be accessible to people with visual impairments and a system that provides output only in audio format may not be accessible to people who are deaf or hard of hearing. Some individuals with disabilities may need accessibility-related software or peripheral devices in order to use systems that comply with Section 508.</w:t>
      </w:r>
      <w:r w:rsidRPr="004E341D">
        <w:rPr>
          <w:vertAlign w:val="superscript"/>
        </w:rPr>
        <w:footnoteReference w:id="183"/>
      </w:r>
    </w:p>
    <w:p w:rsidR="00E060A7" w:rsidRPr="00941F05" w:rsidRDefault="00E060A7" w:rsidP="00625F54">
      <w:pPr>
        <w:pStyle w:val="Heading5"/>
      </w:pPr>
      <w:r w:rsidRPr="00941F05">
        <w:t>Section 510</w:t>
      </w:r>
    </w:p>
    <w:p w:rsidR="00E060A7" w:rsidRDefault="00E060A7" w:rsidP="00E060A7">
      <w:pPr>
        <w:jc w:val="both"/>
      </w:pPr>
      <w:r w:rsidRPr="00E90492">
        <w:t>This section provides for the United States Access Board to develop access standards for medical diagnostic equipment in consultation with the Food and Drug Administration. The standards are to address independent access to, and use of, equipment by people with disabilities to the maximum extent possible. The Board is also responsible for periodically reviewing and updating the standards.</w:t>
      </w:r>
      <w:r w:rsidRPr="004E341D">
        <w:rPr>
          <w:vertAlign w:val="superscript"/>
        </w:rPr>
        <w:footnoteReference w:id="184"/>
      </w:r>
      <w:r>
        <w:t xml:space="preserve"> </w:t>
      </w:r>
    </w:p>
    <w:p w:rsidR="00E060A7" w:rsidRPr="00E90492" w:rsidRDefault="00E060A7" w:rsidP="00E060A7">
      <w:pPr>
        <w:jc w:val="both"/>
      </w:pPr>
      <w:r>
        <w:t xml:space="preserve">For more information, see “Accessibility Standards </w:t>
      </w:r>
      <w:r w:rsidRPr="00E90492">
        <w:t>for Medical Diagnostic Equipment</w:t>
      </w:r>
      <w:r>
        <w:t>” below.</w:t>
      </w:r>
    </w:p>
    <w:p w:rsidR="00E060A7" w:rsidRPr="00E90492" w:rsidRDefault="00E060A7" w:rsidP="00625F54">
      <w:pPr>
        <w:pStyle w:val="Heading4"/>
      </w:pPr>
      <w:bookmarkStart w:id="409" w:name="_Toc418101244"/>
      <w:r w:rsidRPr="00E90492">
        <w:t>Architectural Barriers Act</w:t>
      </w:r>
      <w:r w:rsidRPr="00E90492">
        <w:rPr>
          <w:vertAlign w:val="superscript"/>
        </w:rPr>
        <w:footnoteReference w:id="185"/>
      </w:r>
      <w:bookmarkEnd w:id="409"/>
    </w:p>
    <w:p w:rsidR="00E060A7" w:rsidRPr="00E90492" w:rsidRDefault="00E060A7" w:rsidP="00E060A7">
      <w:pPr>
        <w:jc w:val="both"/>
      </w:pPr>
      <w:r w:rsidRPr="00E90492">
        <w:t xml:space="preserve">Standards issued under the </w:t>
      </w:r>
      <w:r w:rsidRPr="00E90492">
        <w:rPr>
          <w:i/>
        </w:rPr>
        <w:t>Architectural Barriers Act</w:t>
      </w:r>
      <w:r w:rsidRPr="00E90492">
        <w:t xml:space="preserve"> (ABA) apply to facilities designed, built, altered, or leased with certain federal funds. Passed in 1968, the ABA is one of the </w:t>
      </w:r>
      <w:r w:rsidRPr="00E90492">
        <w:lastRenderedPageBreak/>
        <w:t>first laws to address access to the built environment. The law applies to federal buildings, including post offices, social security offices, federal courthouses and prisons, and national parks. It also covers non-federal facilities, such as public housing units and mass transit systems, built or altered with federal grants or loans. Coverage is limited to those funding programs that give the federal agency awarding grants or loans the authority to establish facility standards. </w:t>
      </w:r>
    </w:p>
    <w:p w:rsidR="00E060A7" w:rsidRPr="00E90492" w:rsidRDefault="00E060A7" w:rsidP="00E060A7">
      <w:pPr>
        <w:jc w:val="both"/>
      </w:pPr>
    </w:p>
    <w:p w:rsidR="00E060A7" w:rsidRPr="00E90492" w:rsidRDefault="00E060A7" w:rsidP="00E060A7">
      <w:pPr>
        <w:jc w:val="both"/>
      </w:pPr>
      <w:r w:rsidRPr="00E90492">
        <w:t>Four agencies establish the ABA standards according to guidelines issued by the Access Board: the General Services Administration (GSA), the Department of Defense (DOD), the Department of Housing and Urban Development (HUD), and the US Postal Service (USPS). The latest editions of the ABA standards issued by GSA, DOD, and USPS are substantively the same and replace the earlier Uniform Federal Accessibility Standards. HUD’s update of the standards is pending. </w:t>
      </w:r>
    </w:p>
    <w:p w:rsidR="00E060A7" w:rsidRPr="00E90492" w:rsidRDefault="00E060A7" w:rsidP="00E060A7">
      <w:pPr>
        <w:jc w:val="both"/>
      </w:pPr>
    </w:p>
    <w:p w:rsidR="00E060A7" w:rsidRPr="00E90492" w:rsidRDefault="00E060A7" w:rsidP="00E060A7">
      <w:pPr>
        <w:jc w:val="both"/>
      </w:pPr>
      <w:r w:rsidRPr="00E90492">
        <w:t xml:space="preserve">To ensure compliance with the standards, Congress established the Architectural and Transportation Barriers Compliance Board (ATBCB) in Section 502 of the </w:t>
      </w:r>
      <w:r w:rsidRPr="00E90492">
        <w:rPr>
          <w:i/>
        </w:rPr>
        <w:t>Rehabilitation Act</w:t>
      </w:r>
      <w:r w:rsidRPr="00E90492">
        <w:t xml:space="preserve"> of 1973 (the R</w:t>
      </w:r>
      <w:r>
        <w:t>ehabilitation Act), 29 USC 792.</w:t>
      </w:r>
    </w:p>
    <w:p w:rsidR="00E060A7" w:rsidRPr="00E90492" w:rsidRDefault="00E060A7" w:rsidP="00625F54">
      <w:pPr>
        <w:pStyle w:val="Heading4"/>
      </w:pPr>
      <w:bookmarkStart w:id="410" w:name="_Toc418101245"/>
      <w:r w:rsidRPr="00E90492">
        <w:t>Architectural Barriers Act Accessibility Standards</w:t>
      </w:r>
      <w:r w:rsidRPr="00E90492">
        <w:rPr>
          <w:vertAlign w:val="superscript"/>
        </w:rPr>
        <w:footnoteReference w:id="186"/>
      </w:r>
      <w:bookmarkEnd w:id="410"/>
    </w:p>
    <w:p w:rsidR="00E060A7" w:rsidRPr="00E90492" w:rsidRDefault="00E060A7" w:rsidP="00E060A7">
      <w:pPr>
        <w:jc w:val="both"/>
      </w:pPr>
      <w:r w:rsidRPr="00E90492">
        <w:t>The ABA Accessibility Standards has been adopted by the General Services Administration (GSA), the Department of Defense (DOD), and the US Postal Service (USPS). (The USPS standards do not include the non-mandatory advisory notes). At this time, these standards apply to all facilities covered by the ABA except residential facilities under the purview of the Department of Housin</w:t>
      </w:r>
      <w:r>
        <w:t xml:space="preserve">g and Urban Development (HUD). </w:t>
      </w:r>
      <w:r w:rsidRPr="00E90492">
        <w:t>Regulations and notices implementing the ABA standards include:</w:t>
      </w:r>
    </w:p>
    <w:p w:rsidR="00E060A7" w:rsidRPr="00E90492" w:rsidRDefault="00E060A7" w:rsidP="00BC5BD4">
      <w:pPr>
        <w:pStyle w:val="ListParagraph"/>
        <w:numPr>
          <w:ilvl w:val="0"/>
          <w:numId w:val="82"/>
        </w:numPr>
      </w:pPr>
      <w:r w:rsidRPr="00E90492">
        <w:t xml:space="preserve">GSA's Federal Management Regulation </w:t>
      </w:r>
    </w:p>
    <w:p w:rsidR="00E060A7" w:rsidRPr="00E90492" w:rsidRDefault="00E060A7" w:rsidP="00BC5BD4">
      <w:pPr>
        <w:pStyle w:val="ListParagraph"/>
        <w:numPr>
          <w:ilvl w:val="0"/>
          <w:numId w:val="82"/>
        </w:numPr>
      </w:pPr>
      <w:r w:rsidRPr="00E90492">
        <w:t>USPS notice</w:t>
      </w:r>
    </w:p>
    <w:p w:rsidR="00E060A7" w:rsidRPr="00E90492" w:rsidRDefault="00E060A7" w:rsidP="00BC5BD4">
      <w:pPr>
        <w:pStyle w:val="ListParagraph"/>
        <w:numPr>
          <w:ilvl w:val="0"/>
          <w:numId w:val="82"/>
        </w:numPr>
      </w:pPr>
      <w:r w:rsidRPr="00E90492">
        <w:t>DOD policy memorandum</w:t>
      </w:r>
    </w:p>
    <w:p w:rsidR="00E060A7" w:rsidRPr="00E90492" w:rsidRDefault="00E060A7" w:rsidP="00E060A7">
      <w:pPr>
        <w:jc w:val="both"/>
      </w:pPr>
      <w:r w:rsidRPr="00E90492">
        <w:t>HUD has not yet adopted this version of the standards and continues to apply the Uniform Federal Accessibility Standards (UFAS) to residential faci</w:t>
      </w:r>
      <w:r>
        <w:t xml:space="preserve">lities under its jurisdiction. </w:t>
      </w:r>
      <w:r w:rsidRPr="00E90492">
        <w:t xml:space="preserve">New provisions for outdoor areas developed by the federal government that </w:t>
      </w:r>
      <w:r w:rsidRPr="00E90492">
        <w:lastRenderedPageBreak/>
        <w:t>address access to trails, picnic and camping areas, viewing areas, and beach access routes are included in thi</w:t>
      </w:r>
      <w:r>
        <w:t>s edition of the ABA standards.</w:t>
      </w:r>
    </w:p>
    <w:p w:rsidR="00E060A7" w:rsidRPr="00E90492" w:rsidRDefault="00E060A7" w:rsidP="00625F54">
      <w:pPr>
        <w:pStyle w:val="Heading4"/>
      </w:pPr>
      <w:bookmarkStart w:id="411" w:name="_Toc418101246"/>
      <w:r w:rsidRPr="00E90492">
        <w:t>Uniform Federal Accessibility Standards</w:t>
      </w:r>
      <w:bookmarkEnd w:id="411"/>
    </w:p>
    <w:p w:rsidR="00E060A7" w:rsidRPr="00E90492" w:rsidRDefault="00E060A7" w:rsidP="00E060A7">
      <w:pPr>
        <w:jc w:val="both"/>
      </w:pPr>
      <w:r w:rsidRPr="00E90492">
        <w:t xml:space="preserve">These standards were jointly developed by the General Services Administration, the Department of Housing and Urban Development, the Department of Defense, and the United States Postal Service, under the authority of sections 2, 3, 4, and 4a, respectively, of the </w:t>
      </w:r>
      <w:r w:rsidRPr="00E90492">
        <w:rPr>
          <w:i/>
        </w:rPr>
        <w:t>Architectural Barriers Act</w:t>
      </w:r>
      <w:r w:rsidRPr="00E90492">
        <w:t xml:space="preserve"> of 1968, as amended, Pub. L. N</w:t>
      </w:r>
      <w:r>
        <w:t xml:space="preserve">o. 90-480, 42 U.S.C. 4151-4157. </w:t>
      </w:r>
      <w:r w:rsidRPr="00E90492">
        <w:t xml:space="preserve">These standards are set for facility accessibility by physically handicapped persons for Federal and federally funded facilities. These standards are to be applied during the design, construction, and alteration of buildings and facilities to the extent required by the </w:t>
      </w:r>
      <w:r w:rsidRPr="00E90492">
        <w:rPr>
          <w:i/>
        </w:rPr>
        <w:t>Architectural Barriers Act</w:t>
      </w:r>
      <w:r>
        <w:t xml:space="preserve"> of 1968, as amended.</w:t>
      </w:r>
      <w:r w:rsidRPr="00E90492">
        <w:rPr>
          <w:vertAlign w:val="superscript"/>
        </w:rPr>
        <w:footnoteReference w:id="187"/>
      </w:r>
    </w:p>
    <w:p w:rsidR="00E060A7" w:rsidRPr="00E90492" w:rsidRDefault="00E060A7" w:rsidP="00625F54">
      <w:pPr>
        <w:pStyle w:val="Heading4"/>
      </w:pPr>
      <w:bookmarkStart w:id="412" w:name="_Toc418101247"/>
      <w:r w:rsidRPr="00E90492">
        <w:t>Patient Protection and Affordable Care Act</w:t>
      </w:r>
      <w:r w:rsidRPr="00E90492">
        <w:rPr>
          <w:vertAlign w:val="superscript"/>
        </w:rPr>
        <w:footnoteReference w:id="188"/>
      </w:r>
      <w:bookmarkEnd w:id="412"/>
    </w:p>
    <w:p w:rsidR="00E060A7" w:rsidRDefault="00E060A7" w:rsidP="00E060A7">
      <w:pPr>
        <w:jc w:val="both"/>
      </w:pPr>
      <w:r w:rsidRPr="00E90492">
        <w:t xml:space="preserve">The United States Access Board is developing accessibility standards for medical diagnostic equipment under the </w:t>
      </w:r>
      <w:r w:rsidRPr="00E90492">
        <w:rPr>
          <w:i/>
        </w:rPr>
        <w:t>Patient Protection and Affordable Care Act</w:t>
      </w:r>
      <w:r w:rsidRPr="00E90492">
        <w:t>. The Board is also developing guidance on accessible pres</w:t>
      </w:r>
      <w:r>
        <w:t>cription drug container labels.</w:t>
      </w:r>
    </w:p>
    <w:p w:rsidR="00E060A7" w:rsidRDefault="00E060A7" w:rsidP="00E060A7">
      <w:pPr>
        <w:jc w:val="both"/>
      </w:pPr>
    </w:p>
    <w:p w:rsidR="00E060A7" w:rsidRPr="00E90492" w:rsidRDefault="00E060A7" w:rsidP="00E060A7">
      <w:pPr>
        <w:jc w:val="both"/>
      </w:pPr>
      <w:r>
        <w:t>For more information, see “</w:t>
      </w:r>
      <w:r w:rsidRPr="005D7A6D">
        <w:t>Prescription Drug Label Policies</w:t>
      </w:r>
      <w:r>
        <w:t>” below.</w:t>
      </w:r>
    </w:p>
    <w:p w:rsidR="00E060A7" w:rsidRPr="00E90492" w:rsidRDefault="00E060A7" w:rsidP="00625F54">
      <w:pPr>
        <w:pStyle w:val="Heading4"/>
      </w:pPr>
      <w:bookmarkStart w:id="413" w:name="_Toc418101248"/>
      <w:r w:rsidRPr="00E90492">
        <w:t>Accessibility Standards for Medical Diagnostic Equipment</w:t>
      </w:r>
      <w:r w:rsidRPr="00E90492">
        <w:rPr>
          <w:vertAlign w:val="superscript"/>
        </w:rPr>
        <w:footnoteReference w:id="189"/>
      </w:r>
      <w:bookmarkEnd w:id="413"/>
      <w:r w:rsidRPr="00E90492">
        <w:t xml:space="preserve"> </w:t>
      </w:r>
    </w:p>
    <w:p w:rsidR="00E060A7" w:rsidRPr="00E90492" w:rsidRDefault="00E060A7" w:rsidP="00E060A7">
      <w:pPr>
        <w:jc w:val="both"/>
      </w:pPr>
      <w:r w:rsidRPr="00E90492">
        <w:t xml:space="preserve">The Board is developing accessibility standards for medical diagnostic equipment, including examination tables and chairs, weight scales, radiological equipment, and mammography equipment under the </w:t>
      </w:r>
      <w:r w:rsidRPr="00E90492">
        <w:rPr>
          <w:i/>
        </w:rPr>
        <w:t>Patient Protection and Affordable Care Act</w:t>
      </w:r>
      <w:r w:rsidRPr="00E90492">
        <w:t>. The standards address independent access to, and use of, such equipment by people with disabilities to the maximum extent possible. The Board proposed standards for public comment and will finalize them according to the comments received and recommendations from an advisory committee it chartered.</w:t>
      </w:r>
    </w:p>
    <w:p w:rsidR="00E060A7" w:rsidRPr="00E90492" w:rsidRDefault="00E060A7" w:rsidP="00E060A7">
      <w:pPr>
        <w:jc w:val="both"/>
      </w:pPr>
    </w:p>
    <w:p w:rsidR="00E060A7" w:rsidRPr="00941F05" w:rsidRDefault="00E060A7" w:rsidP="00625F54">
      <w:pPr>
        <w:pStyle w:val="Heading5"/>
        <w:rPr>
          <w:szCs w:val="36"/>
        </w:rPr>
      </w:pPr>
      <w:r w:rsidRPr="00941F05">
        <w:t xml:space="preserve">Recommendations on Standards for the Design of Medical Diagnostic Equipment for Adults with Disabilities </w:t>
      </w:r>
    </w:p>
    <w:p w:rsidR="00E060A7" w:rsidRPr="00E90492" w:rsidRDefault="00E060A7" w:rsidP="00625F54">
      <w:r w:rsidRPr="00E90492">
        <w:t>The recommendations cover the following aspects:</w:t>
      </w:r>
      <w:r w:rsidRPr="004E341D">
        <w:rPr>
          <w:vertAlign w:val="superscript"/>
        </w:rPr>
        <w:footnoteReference w:id="190"/>
      </w:r>
    </w:p>
    <w:p w:rsidR="00E060A7" w:rsidRPr="009256DE" w:rsidRDefault="00E060A7" w:rsidP="00BC5BD4">
      <w:pPr>
        <w:pStyle w:val="ListParagraph"/>
        <w:numPr>
          <w:ilvl w:val="0"/>
          <w:numId w:val="82"/>
        </w:numPr>
        <w:rPr>
          <w:b/>
        </w:rPr>
      </w:pPr>
      <w:r w:rsidRPr="00E90492">
        <w:lastRenderedPageBreak/>
        <w:t>Transfer surface height</w:t>
      </w:r>
    </w:p>
    <w:p w:rsidR="00E060A7" w:rsidRPr="009256DE" w:rsidRDefault="00E060A7" w:rsidP="00BC5BD4">
      <w:pPr>
        <w:pStyle w:val="ListParagraph"/>
        <w:numPr>
          <w:ilvl w:val="0"/>
          <w:numId w:val="82"/>
        </w:numPr>
        <w:rPr>
          <w:b/>
        </w:rPr>
      </w:pPr>
      <w:r w:rsidRPr="00E90492">
        <w:t>Transfer surface size for equipment used by patients in supine, prone, or side-lying position</w:t>
      </w:r>
    </w:p>
    <w:p w:rsidR="00E060A7" w:rsidRPr="009256DE" w:rsidRDefault="00E060A7" w:rsidP="00BC5BD4">
      <w:pPr>
        <w:pStyle w:val="ListParagraph"/>
        <w:numPr>
          <w:ilvl w:val="0"/>
          <w:numId w:val="82"/>
        </w:numPr>
        <w:rPr>
          <w:b/>
        </w:rPr>
      </w:pPr>
      <w:r w:rsidRPr="00E90492">
        <w:t>Transfer sides</w:t>
      </w:r>
    </w:p>
    <w:p w:rsidR="00E060A7" w:rsidRPr="009256DE" w:rsidRDefault="00E060A7" w:rsidP="00BC5BD4">
      <w:pPr>
        <w:pStyle w:val="ListParagraph"/>
        <w:numPr>
          <w:ilvl w:val="0"/>
          <w:numId w:val="82"/>
        </w:numPr>
        <w:rPr>
          <w:b/>
        </w:rPr>
      </w:pPr>
      <w:r w:rsidRPr="00E90492">
        <w:t>Transfer supports</w:t>
      </w:r>
    </w:p>
    <w:p w:rsidR="00E060A7" w:rsidRPr="009256DE" w:rsidRDefault="00E060A7" w:rsidP="00BC5BD4">
      <w:pPr>
        <w:pStyle w:val="ListParagraph"/>
        <w:numPr>
          <w:ilvl w:val="0"/>
          <w:numId w:val="82"/>
        </w:numPr>
        <w:rPr>
          <w:b/>
        </w:rPr>
      </w:pPr>
      <w:r w:rsidRPr="00E90492">
        <w:t>Armrest recommendations</w:t>
      </w:r>
    </w:p>
    <w:p w:rsidR="00E060A7" w:rsidRPr="009256DE" w:rsidRDefault="00E060A7" w:rsidP="00BC5BD4">
      <w:pPr>
        <w:pStyle w:val="ListParagraph"/>
        <w:numPr>
          <w:ilvl w:val="0"/>
          <w:numId w:val="82"/>
        </w:numPr>
        <w:rPr>
          <w:b/>
        </w:rPr>
      </w:pPr>
      <w:r w:rsidRPr="00E90492">
        <w:t>Stirrups</w:t>
      </w:r>
    </w:p>
    <w:p w:rsidR="00E060A7" w:rsidRPr="009256DE" w:rsidRDefault="00E060A7" w:rsidP="00BC5BD4">
      <w:pPr>
        <w:pStyle w:val="ListParagraph"/>
        <w:numPr>
          <w:ilvl w:val="0"/>
          <w:numId w:val="82"/>
        </w:numPr>
        <w:rPr>
          <w:b/>
        </w:rPr>
      </w:pPr>
      <w:r w:rsidRPr="00E90492">
        <w:t>Lift compatibility</w:t>
      </w:r>
    </w:p>
    <w:p w:rsidR="00E060A7" w:rsidRPr="009256DE" w:rsidRDefault="00E060A7" w:rsidP="00BC5BD4">
      <w:pPr>
        <w:pStyle w:val="ListParagraph"/>
        <w:numPr>
          <w:ilvl w:val="0"/>
          <w:numId w:val="82"/>
        </w:numPr>
        <w:rPr>
          <w:b/>
        </w:rPr>
      </w:pPr>
      <w:r w:rsidRPr="00E90492">
        <w:t>Wheelchair spaces for diagnostic equipment used by patients seated in a wheelchair</w:t>
      </w:r>
    </w:p>
    <w:p w:rsidR="00E060A7" w:rsidRPr="009256DE" w:rsidRDefault="00E060A7" w:rsidP="00BC5BD4">
      <w:pPr>
        <w:pStyle w:val="ListParagraph"/>
        <w:numPr>
          <w:ilvl w:val="0"/>
          <w:numId w:val="82"/>
        </w:numPr>
        <w:rPr>
          <w:b/>
        </w:rPr>
      </w:pPr>
      <w:r w:rsidRPr="00E90492">
        <w:t>Standing support for equipment used by patients in a standing position</w:t>
      </w:r>
    </w:p>
    <w:p w:rsidR="00E060A7" w:rsidRPr="00E90492" w:rsidRDefault="00E060A7" w:rsidP="00625F54">
      <w:pPr>
        <w:pStyle w:val="Heading4"/>
      </w:pPr>
      <w:bookmarkStart w:id="414" w:name="_Toc418101249"/>
      <w:r>
        <w:t xml:space="preserve">IRS: </w:t>
      </w:r>
      <w:r w:rsidRPr="00E90492">
        <w:t>Tax Relief for Guide Dog or Other Service Animal</w:t>
      </w:r>
      <w:bookmarkEnd w:id="414"/>
    </w:p>
    <w:p w:rsidR="00E060A7" w:rsidRPr="00E90492" w:rsidRDefault="00E060A7" w:rsidP="00E060A7">
      <w:pPr>
        <w:jc w:val="both"/>
      </w:pPr>
      <w:r w:rsidRPr="00E90492">
        <w:t xml:space="preserve">One can include in medical expenses the costs of buying, training, and maintaining a guide dog or other service animal to assist a visually impaired or hearing disabled person, or a person with other physical disabilities. In general, this includes any costs, such as food, grooming, and veterinary care, incurred in maintaining the health and vitality of the service animal so </w:t>
      </w:r>
      <w:r>
        <w:t>that it may perform its duties.</w:t>
      </w:r>
      <w:r w:rsidRPr="00E90492">
        <w:rPr>
          <w:vertAlign w:val="superscript"/>
        </w:rPr>
        <w:footnoteReference w:id="191"/>
      </w:r>
    </w:p>
    <w:p w:rsidR="00E060A7" w:rsidRPr="005D7A6D" w:rsidRDefault="00E060A7" w:rsidP="00625F54">
      <w:pPr>
        <w:pStyle w:val="Heading4"/>
      </w:pPr>
      <w:bookmarkStart w:id="415" w:name="_Toc418101250"/>
      <w:r w:rsidRPr="005D7A6D">
        <w:t>Prescription Drug Label Policies under the Food and Drug Administration Safety and Innovation Act</w:t>
      </w:r>
      <w:r w:rsidRPr="005D7A6D">
        <w:rPr>
          <w:vertAlign w:val="superscript"/>
        </w:rPr>
        <w:footnoteReference w:id="192"/>
      </w:r>
      <w:bookmarkEnd w:id="415"/>
    </w:p>
    <w:p w:rsidR="00E060A7" w:rsidRPr="000A03A8" w:rsidRDefault="00E060A7" w:rsidP="005D44FF">
      <w:r w:rsidRPr="000A03A8">
        <w:t>The United States Access Board is leading an effort to develop advisory guidance on making prescription- drug container labels accessible to people who are blind or visually impaired or who are elderly. This initiative is authorized by the Food and Drug Administration Safety and Innovation Act, which President Obama signed into law in July 2012. A provision of the act (section 904) authorizes the Board to convene a working group to develop best practices for making information on prescription-drug container labels accessible to people who are blind or visually impaired.</w:t>
      </w:r>
    </w:p>
    <w:p w:rsidR="00E060A7" w:rsidRPr="000A03A8" w:rsidRDefault="00E060A7" w:rsidP="005D44FF">
      <w:r w:rsidRPr="000A03A8">
        <w:t xml:space="preserve">The Act includes provisions that establish national best practices for retail and other pharmacies to use in providing accessible prescription drug labelling to customers with vision loss. This includes proper dosage, the name of the medication, accompanying information about possible side effects, and more. The provisions in the Food and Drug Administration Safety and Innovation Act will serve as a valuable supplement to existing </w:t>
      </w:r>
      <w:r w:rsidRPr="000A03A8">
        <w:lastRenderedPageBreak/>
        <w:t>requirements under the Americans with Disabilities Act and other federal and state laws imposing obligations on pharmacies to ensure effective communication and barrier removal for people with disabilities.</w:t>
      </w:r>
    </w:p>
    <w:p w:rsidR="00E060A7" w:rsidRPr="00E90492" w:rsidRDefault="00E060A7" w:rsidP="00625F54">
      <w:pPr>
        <w:pStyle w:val="Heading4"/>
        <w:rPr>
          <w:szCs w:val="27"/>
        </w:rPr>
      </w:pPr>
      <w:bookmarkStart w:id="416" w:name="_Toc418101251"/>
      <w:r w:rsidRPr="00E90492">
        <w:t>Developmental Disabilities Assistance and Bill of Rights Act of 2000</w:t>
      </w:r>
      <w:r w:rsidRPr="00E90492">
        <w:rPr>
          <w:vertAlign w:val="superscript"/>
        </w:rPr>
        <w:footnoteReference w:id="193"/>
      </w:r>
      <w:bookmarkEnd w:id="416"/>
    </w:p>
    <w:p w:rsidR="00E060A7" w:rsidRDefault="00E060A7" w:rsidP="005D44FF">
      <w:r w:rsidRPr="00E90492">
        <w:t>The Developmental Disabilities Assistance and Bill of Rights Act (DD Act) has its genesis in the much older Mental Retardation Facilities and Community Health Centers Construction Act of 1963, the first legislation to address the recognized needs of a group of people with disabilities designated as developmentally disabled. Currently, the act is administered by the Administration on Developmental Disabilities (ADD), which is part of the HHS Administrat</w:t>
      </w:r>
      <w:r>
        <w:t xml:space="preserve">ion for Children and Families. </w:t>
      </w:r>
    </w:p>
    <w:p w:rsidR="00E060A7" w:rsidRPr="00E90492" w:rsidRDefault="00E060A7" w:rsidP="005D44FF">
      <w:r w:rsidRPr="00E90492">
        <w:t>The law today remains the main route by which grant monies are used to improve the lives of people with developmental disabilities, but a series of amendments over the past four decades reflects a modified focus from service delivery and demonstration to public policy advocacy, mirroring the social and political changes that prompted the development and enactment of more recent Federal disability rights laws such as the Americans with Disabilities Act (ADA).</w:t>
      </w:r>
    </w:p>
    <w:p w:rsidR="00E060A7" w:rsidRPr="00E90492" w:rsidRDefault="00E060A7" w:rsidP="009256DE">
      <w:pPr>
        <w:pStyle w:val="Heading3"/>
        <w:rPr>
          <w:rFonts w:eastAsia="Univers 45 Light"/>
        </w:rPr>
      </w:pPr>
      <w:bookmarkStart w:id="417" w:name="_Toc418101252"/>
      <w:r w:rsidRPr="00E90492">
        <w:rPr>
          <w:rFonts w:eastAsia="Univers 45 Light"/>
        </w:rPr>
        <w:t>Programs</w:t>
      </w:r>
      <w:bookmarkEnd w:id="417"/>
    </w:p>
    <w:p w:rsidR="00E060A7" w:rsidRPr="00E90492" w:rsidRDefault="00E060A7" w:rsidP="009256DE">
      <w:pPr>
        <w:pStyle w:val="Heading4"/>
      </w:pPr>
      <w:bookmarkStart w:id="418" w:name="_Toc418101253"/>
      <w:r w:rsidRPr="00E90492">
        <w:t>Medicaid</w:t>
      </w:r>
      <w:r w:rsidRPr="00E90492">
        <w:rPr>
          <w:vertAlign w:val="superscript"/>
        </w:rPr>
        <w:footnoteReference w:id="194"/>
      </w:r>
      <w:bookmarkEnd w:id="418"/>
    </w:p>
    <w:p w:rsidR="00E060A7" w:rsidRPr="00E90492" w:rsidRDefault="00E060A7" w:rsidP="009256DE">
      <w:pPr>
        <w:jc w:val="both"/>
      </w:pPr>
      <w:r w:rsidRPr="00E90492">
        <w:t xml:space="preserve">Medicaid is a Federal initiative that was created through the </w:t>
      </w:r>
      <w:r w:rsidRPr="00E90492">
        <w:rPr>
          <w:i/>
        </w:rPr>
        <w:t>Social Security Amendments Act</w:t>
      </w:r>
      <w:r w:rsidRPr="00E90492">
        <w:t xml:space="preserve"> of 1965 to provide acute and long-term health coverage to low-income Americans of any age. Medicaid's authorizing and controlling legislation comprises Title XIX of the </w:t>
      </w:r>
      <w:r w:rsidRPr="00E90492">
        <w:rPr>
          <w:i/>
        </w:rPr>
        <w:t>Social Security Act</w:t>
      </w:r>
      <w:r w:rsidRPr="00E90492">
        <w:t xml:space="preserve"> and is overseen federally by the Centers for Medicare &amp; Medicaid Services (CMS), an agency in the US Department of Health and Human Services (HHS). The program began as a collaborative venture between the Federal and state governments (including the District of Columbia and US territories) to jointly fund health care for individuals and families with low incomes and resources.</w:t>
      </w:r>
    </w:p>
    <w:p w:rsidR="00E060A7" w:rsidRPr="00E90492" w:rsidRDefault="00E060A7" w:rsidP="009256DE">
      <w:pPr>
        <w:jc w:val="both"/>
      </w:pPr>
      <w:r w:rsidRPr="00E90492">
        <w:t xml:space="preserve">The Medicaid program offers states the flexibility to expand their Medicaid coverage beyond the Federal minimum eligibility levels, and all states have extended Medicaid coverage through "medically needy" or "special low income" options to the elderly and people with disabilities beyond minimum program levels. </w:t>
      </w:r>
    </w:p>
    <w:p w:rsidR="00E060A7" w:rsidRPr="00E90492" w:rsidRDefault="00E060A7" w:rsidP="009256DE">
      <w:pPr>
        <w:jc w:val="both"/>
      </w:pPr>
      <w:r w:rsidRPr="00E90492">
        <w:t xml:space="preserve">Medicaid has now grown to encompass over 58 million Americans, including 8 million persons with disabilities who generally lack any other source of health insurance or care, </w:t>
      </w:r>
      <w:r w:rsidRPr="00E90492">
        <w:lastRenderedPageBreak/>
        <w:t>and 6 million low-income frail, elderly, and disabled Medicare beneficiaries who depend on Medicaid to fill in the gaps left by Medicare coverage. The program has become the "largest single source of health insurance and long-term care and the largest source of public financial support for people with disabilities."</w:t>
      </w:r>
    </w:p>
    <w:p w:rsidR="00E060A7" w:rsidRPr="00E90492" w:rsidRDefault="00E060A7" w:rsidP="009256DE">
      <w:pPr>
        <w:jc w:val="both"/>
      </w:pPr>
      <w:r w:rsidRPr="00E90492">
        <w:t>The majority of Medicaid enrollees with disabilities live in the community and require access to Medicaid providers, clinics, and hospitals through fee-for-service arrangements or managed care. For these enrollees, structural inaccessibility and programmatic barriers have as detrimental an impact on health care quality as coverage gaps and financial barriers. Regulations enacted under Title XIX place ultimate responsibility for access to health care with the states. Each state is required to have a state Medicaid plan that "must ensure that all services covered under the State plan are available and accessible to enrollees of MCOs [managed care organizations], PIHPs [prepaid inpatient health plans], and PAHPs [pr</w:t>
      </w:r>
      <w:r>
        <w:t>epaid ambulatory health plans].</w:t>
      </w:r>
    </w:p>
    <w:p w:rsidR="00E060A7" w:rsidRPr="00E90492" w:rsidRDefault="00E060A7" w:rsidP="009256DE">
      <w:pPr>
        <w:pStyle w:val="Heading4"/>
      </w:pPr>
      <w:bookmarkStart w:id="419" w:name="_Toc418101254"/>
      <w:r w:rsidRPr="00E90492">
        <w:t>Medicare</w:t>
      </w:r>
      <w:r w:rsidRPr="00E90492">
        <w:rPr>
          <w:vertAlign w:val="superscript"/>
        </w:rPr>
        <w:footnoteReference w:id="195"/>
      </w:r>
      <w:bookmarkEnd w:id="419"/>
    </w:p>
    <w:p w:rsidR="00E060A7" w:rsidRPr="00E90492" w:rsidRDefault="00E060A7" w:rsidP="009256DE">
      <w:pPr>
        <w:jc w:val="both"/>
      </w:pPr>
      <w:r w:rsidRPr="00E90492">
        <w:t xml:space="preserve">The </w:t>
      </w:r>
      <w:r w:rsidRPr="00E90492">
        <w:rPr>
          <w:i/>
        </w:rPr>
        <w:t>Social Security Amendments Act</w:t>
      </w:r>
      <w:r w:rsidRPr="00E90492">
        <w:t xml:space="preserve"> of 1965 established Medicare, a federal health insurance program intended to provide for the medical needs of Americans aged 65 and older, regardless of their income/asset levels and medical history. In 1972, Medicare was expanded to include coverage of people with permanent disabilities under the age of 65 who received Social Security Disability Insurance (SSDI).</w:t>
      </w:r>
    </w:p>
    <w:p w:rsidR="00E060A7" w:rsidRPr="00E90492" w:rsidRDefault="00E060A7" w:rsidP="009256DE">
      <w:pPr>
        <w:jc w:val="both"/>
      </w:pPr>
      <w:r w:rsidRPr="00E90492">
        <w:t>The Medicare program is structured in four parts. Part A is known as the Hospital Insurance program, and covers inpatient hospital services and care at skilled nursing facilities, home health care, and hospice care. Part B, known as "Supplementary Medical Insurance," is voluntary, requires payment of beneficiary premiums, and covers physician, outpatient, home health, and preventive services, including diagnostic screenings and imaging such as mammography and durable medical equipment such as wheelchairs and ventilators.</w:t>
      </w:r>
    </w:p>
    <w:p w:rsidR="00E060A7" w:rsidRPr="00E90492" w:rsidRDefault="00E060A7" w:rsidP="009256DE">
      <w:pPr>
        <w:jc w:val="both"/>
      </w:pPr>
      <w:r w:rsidRPr="00E90492">
        <w:t xml:space="preserve">Part C, the "Medicare Advantage Program," was created in the 1970s; it enables Medicare enrollees to sign up with and receive Medicare-covered benefits through private health plans. These plans can take a variety of forms, are paid by the Federal Government, and are obligated to use any gains between the amount received and their costs to reduce premiums or improve the benefits they offer. If these private plans offer such supplemental benefits as vision or dental care beyond Medicare benefits, they are allowed to charge enrollees a supplemental premium. In recent years, the number of both enrollees and private plans in Part C has rapidly increased, with enrollees growing </w:t>
      </w:r>
      <w:r w:rsidRPr="00E90492">
        <w:lastRenderedPageBreak/>
        <w:t>from 5.3 million in 2003 to 8.3 million in January 2007. However, this growth has been uneven across the states. Medicare enrollees are eligible for coverage under Part C if they are entitled to benefits under Part A and are also enrolled in Part B.</w:t>
      </w:r>
    </w:p>
    <w:p w:rsidR="00E060A7" w:rsidRPr="00E90492" w:rsidRDefault="00E060A7" w:rsidP="009256DE">
      <w:pPr>
        <w:jc w:val="both"/>
      </w:pPr>
      <w:r w:rsidRPr="00E90492">
        <w:t xml:space="preserve">Part D, known as the Outpatient Prescription Drug Benefit of Medicare, was initiated in 2006 under the </w:t>
      </w:r>
      <w:r w:rsidRPr="00E90492">
        <w:rPr>
          <w:i/>
        </w:rPr>
        <w:t>Medicare Modernization Act</w:t>
      </w:r>
      <w:r w:rsidRPr="00E90492">
        <w:t xml:space="preserve"> of 2003. In return for premium payments, Part D provides enrollees with a "standard benefit" through either a Part C Medicare Advantage drug plan or a stand-alone prescription drug plan. Medicare enrollees are eligible for coverage under Part D if they are either entitled to benefits under Pa</w:t>
      </w:r>
      <w:r>
        <w:t>rt A or are enrolled in Part B.</w:t>
      </w:r>
    </w:p>
    <w:p w:rsidR="00E060A7" w:rsidRPr="00E90492" w:rsidRDefault="00E060A7" w:rsidP="009256DE">
      <w:pPr>
        <w:pStyle w:val="Heading4"/>
      </w:pPr>
      <w:bookmarkStart w:id="420" w:name="_Toc418101255"/>
      <w:r w:rsidRPr="00E90492">
        <w:t>State Children's Health Insurance Program (SCHIP)</w:t>
      </w:r>
      <w:r w:rsidRPr="00E90492">
        <w:rPr>
          <w:vertAlign w:val="superscript"/>
        </w:rPr>
        <w:footnoteReference w:id="196"/>
      </w:r>
      <w:bookmarkEnd w:id="420"/>
    </w:p>
    <w:p w:rsidR="00E060A7" w:rsidRPr="00E90492" w:rsidRDefault="00E060A7" w:rsidP="00E060A7">
      <w:pPr>
        <w:jc w:val="both"/>
      </w:pPr>
      <w:r w:rsidRPr="00E90492">
        <w:t xml:space="preserve">SCHIP was enacted through the </w:t>
      </w:r>
      <w:r w:rsidRPr="00E90492">
        <w:rPr>
          <w:i/>
        </w:rPr>
        <w:t>Balanced Budget Act</w:t>
      </w:r>
      <w:r w:rsidRPr="00E90492">
        <w:t xml:space="preserve"> of 1997 as Title XXI of the </w:t>
      </w:r>
      <w:r w:rsidRPr="00E90492">
        <w:rPr>
          <w:i/>
        </w:rPr>
        <w:t>Social Security Act</w:t>
      </w:r>
      <w:r w:rsidRPr="00E90492">
        <w:t>; it was the largest single expansion of public health insurance coverage since the creation of Medicaid and Medicare in 1965. Like Medicaid, SCHIP is a collaborative partnership between the Federal Government and all 50 states, 5 territories, and the District of Columbia. CMS has Federal oversight authority over all SCHIP programs, activities, and expenditures.</w:t>
      </w:r>
    </w:p>
    <w:p w:rsidR="00E060A7" w:rsidRPr="00E90492" w:rsidRDefault="00E060A7" w:rsidP="00E060A7">
      <w:pPr>
        <w:jc w:val="both"/>
      </w:pPr>
      <w:r w:rsidRPr="00E90492">
        <w:t>It is difficult to say how many children with disabilities are covered under SCHIP, because there is no requirement on state programs to collect or maintain this information. Nonetheless, SCHIP clearly provides critical assistance to eligible families that include children with disabilities, even if the benefit package is less than that provided under Medicaid or enrolled children have less complex health needs. These are families that essentially have no other source of health insurance, and this assistance is arguably more precarious than a Medicaid entitlement because of SCHIP's block gran</w:t>
      </w:r>
      <w:r>
        <w:t>t status.</w:t>
      </w:r>
    </w:p>
    <w:p w:rsidR="00E060A7" w:rsidRPr="00E90492" w:rsidRDefault="00E060A7" w:rsidP="009256DE">
      <w:pPr>
        <w:pStyle w:val="Heading2"/>
      </w:pPr>
      <w:bookmarkStart w:id="421" w:name="_Toc418101273"/>
      <w:bookmarkStart w:id="422" w:name="_Toc421805849"/>
      <w:bookmarkStart w:id="423" w:name="_Toc424669274"/>
      <w:bookmarkStart w:id="424" w:name="_Toc457553305"/>
      <w:r w:rsidRPr="00E90492">
        <w:t>California</w:t>
      </w:r>
      <w:bookmarkEnd w:id="421"/>
      <w:bookmarkEnd w:id="422"/>
      <w:bookmarkEnd w:id="423"/>
      <w:bookmarkEnd w:id="424"/>
    </w:p>
    <w:p w:rsidR="00E060A7" w:rsidRPr="00E90492" w:rsidRDefault="00E060A7" w:rsidP="009256DE">
      <w:pPr>
        <w:pStyle w:val="Heading3"/>
        <w:rPr>
          <w:rFonts w:eastAsia="Univers 45 Light"/>
        </w:rPr>
      </w:pPr>
      <w:bookmarkStart w:id="425" w:name="_Toc418101274"/>
      <w:r w:rsidRPr="00E90492">
        <w:rPr>
          <w:rFonts w:eastAsia="Univers 45 Light"/>
        </w:rPr>
        <w:t>Policies and Regulations</w:t>
      </w:r>
      <w:bookmarkEnd w:id="425"/>
    </w:p>
    <w:p w:rsidR="00E060A7" w:rsidRPr="00E90492" w:rsidRDefault="00E060A7" w:rsidP="009256DE">
      <w:pPr>
        <w:pStyle w:val="Heading4"/>
      </w:pPr>
      <w:bookmarkStart w:id="426" w:name="_Toc418101275"/>
      <w:r w:rsidRPr="00E90492">
        <w:t>California Building Code</w:t>
      </w:r>
      <w:bookmarkEnd w:id="426"/>
    </w:p>
    <w:p w:rsidR="00E060A7" w:rsidRDefault="00E060A7" w:rsidP="009256DE">
      <w:pPr>
        <w:jc w:val="both"/>
      </w:pPr>
      <w:r w:rsidRPr="00E90492">
        <w:t xml:space="preserve">Tax deductions are available for individuals who repair or remodel buildings or vehicles in order to increase access for persons with disabilities, as long as they comply with state or federal access standards. Deductions shall not exceed $15,000 for any taxable </w:t>
      </w:r>
      <w:r w:rsidRPr="00E90492">
        <w:lastRenderedPageBreak/>
        <w:t>year and may cover emergency egress/safe area refuge systems in compliance wit</w:t>
      </w:r>
      <w:r>
        <w:t>h state or federal regulations.</w:t>
      </w:r>
      <w:r w:rsidRPr="00E90492">
        <w:rPr>
          <w:vertAlign w:val="superscript"/>
        </w:rPr>
        <w:footnoteReference w:id="197"/>
      </w:r>
    </w:p>
    <w:p w:rsidR="00E060A7" w:rsidRPr="00E90492" w:rsidRDefault="00E060A7" w:rsidP="009256DE">
      <w:pPr>
        <w:jc w:val="both"/>
      </w:pPr>
      <w:r w:rsidRPr="00E90492">
        <w:t xml:space="preserve">California's Building Standards Codes (Physical Access Regulations) are found in Title 24 of the California Code of Regulations (CCR), and are designed to comply with the requirements of the Americans with </w:t>
      </w:r>
      <w:r w:rsidRPr="00E90492">
        <w:rPr>
          <w:i/>
        </w:rPr>
        <w:t>Disabilities Act</w:t>
      </w:r>
      <w:r w:rsidRPr="00E90492">
        <w:t xml:space="preserve"> (ADA) and State statutes.</w:t>
      </w:r>
      <w:r w:rsidRPr="00E90492">
        <w:rPr>
          <w:vertAlign w:val="superscript"/>
        </w:rPr>
        <w:footnoteReference w:id="198"/>
      </w:r>
    </w:p>
    <w:p w:rsidR="00E060A7" w:rsidRPr="00E90492" w:rsidRDefault="00E060A7" w:rsidP="009256DE">
      <w:pPr>
        <w:pStyle w:val="Heading4"/>
      </w:pPr>
      <w:bookmarkStart w:id="427" w:name="_Toc418101276"/>
      <w:r w:rsidRPr="00E90492">
        <w:t>Hill-Burton Act</w:t>
      </w:r>
      <w:bookmarkEnd w:id="427"/>
    </w:p>
    <w:p w:rsidR="00E060A7" w:rsidRPr="00E90492" w:rsidRDefault="00E060A7" w:rsidP="009256DE">
      <w:pPr>
        <w:jc w:val="both"/>
      </w:pPr>
      <w:r w:rsidRPr="00E90492">
        <w:t xml:space="preserve">The </w:t>
      </w:r>
      <w:r w:rsidRPr="00E90492">
        <w:rPr>
          <w:i/>
        </w:rPr>
        <w:t>Hill-Burton Act</w:t>
      </w:r>
      <w:r w:rsidRPr="00E90492">
        <w:t xml:space="preserve"> provides public funds for hospital construction. Each hospital, which accepts Hill-Burton money, is required by law to give a reasonable amount of care at no cost or low cost to persons unable to pay for hospital services. The hospital must post signs in the admissions office, emergency room, and business office identifying itself as a Hill-Burton facility. The hospital business office should assist people in applying for care at reduced rates.</w:t>
      </w:r>
      <w:r w:rsidRPr="00E90492">
        <w:rPr>
          <w:vertAlign w:val="superscript"/>
        </w:rPr>
        <w:footnoteReference w:id="199"/>
      </w:r>
    </w:p>
    <w:p w:rsidR="00E060A7" w:rsidRPr="00E90492" w:rsidRDefault="00E060A7" w:rsidP="009256DE">
      <w:pPr>
        <w:pStyle w:val="Heading4"/>
      </w:pPr>
      <w:bookmarkStart w:id="428" w:name="_Toc418101279"/>
      <w:r w:rsidRPr="00E90492">
        <w:t>Right to Medical Treatment</w:t>
      </w:r>
      <w:bookmarkEnd w:id="428"/>
    </w:p>
    <w:p w:rsidR="00E060A7" w:rsidRPr="001A52A5" w:rsidRDefault="00E060A7" w:rsidP="009256DE">
      <w:pPr>
        <w:jc w:val="both"/>
        <w:rPr>
          <w:szCs w:val="20"/>
        </w:rPr>
      </w:pPr>
      <w:r w:rsidRPr="00E90492">
        <w:rPr>
          <w:color w:val="000000"/>
          <w:szCs w:val="20"/>
        </w:rPr>
        <w:t>People with mental or developmental disabilities have a right to prompt medical care and treatment. (</w:t>
      </w:r>
      <w:r w:rsidRPr="00E90492">
        <w:rPr>
          <w:i/>
          <w:color w:val="000000"/>
          <w:szCs w:val="20"/>
        </w:rPr>
        <w:t>Welfare &amp; Institution Code</w:t>
      </w:r>
      <w:r w:rsidRPr="00E90492">
        <w:rPr>
          <w:color w:val="000000"/>
          <w:szCs w:val="20"/>
        </w:rPr>
        <w:t>, '' 4502, subd. (d), and 5325.1, subd. (d).) Health care professionals, such as physicians, social workers, psychologists, physical therapists, and nurses licensed by the state, are subject to disciplinary action if they discriminate against people who are physically disabled. The State Department of Consumer Affairs regulates licensed professionals, and complaints concerning discriminatory practices should be made to the board or commission within the Department of Consumer Affairs, which regulates the particular profession.</w:t>
      </w:r>
      <w:r w:rsidRPr="00E90492">
        <w:rPr>
          <w:vertAlign w:val="superscript"/>
        </w:rPr>
        <w:footnoteReference w:id="200"/>
      </w:r>
    </w:p>
    <w:p w:rsidR="00E060A7" w:rsidRPr="00E90492" w:rsidRDefault="00E060A7" w:rsidP="009256DE">
      <w:pPr>
        <w:pStyle w:val="Heading4"/>
        <w:rPr>
          <w:szCs w:val="36"/>
        </w:rPr>
      </w:pPr>
      <w:bookmarkStart w:id="429" w:name="_Toc418101280"/>
      <w:r w:rsidRPr="00E90492">
        <w:t>Joint Regulations for Handicapped Children</w:t>
      </w:r>
      <w:r w:rsidRPr="00E90492">
        <w:rPr>
          <w:vertAlign w:val="superscript"/>
        </w:rPr>
        <w:footnoteReference w:id="201"/>
      </w:r>
      <w:bookmarkEnd w:id="429"/>
    </w:p>
    <w:p w:rsidR="00E060A7" w:rsidRPr="00E90492" w:rsidRDefault="00E060A7" w:rsidP="009256DE">
      <w:pPr>
        <w:jc w:val="both"/>
      </w:pPr>
      <w:r w:rsidRPr="00E90492">
        <w:t>If a child applies to the California Children's Services Program pursuant to Section 123865 or 123875 of the Health and Safety Code, the State Department of Health Care Services shall determine whether the child needs medically necessary occupational therapy or physical therapy. A medical referral to the California Children's Services Program shall be based on a written report from a licensed physician and surgeon who has examined the pupil.</w:t>
      </w:r>
    </w:p>
    <w:p w:rsidR="00E060A7" w:rsidRPr="00E90492" w:rsidRDefault="00E060A7" w:rsidP="009256DE">
      <w:pPr>
        <w:jc w:val="both"/>
      </w:pPr>
      <w:r w:rsidRPr="00E90492">
        <w:lastRenderedPageBreak/>
        <w:t>The department shall also be responsible for providing the services of a home health aide when the local education agency considers a less restrictive placement from home to school for a pupil for whom both of the following conditions exist:</w:t>
      </w:r>
    </w:p>
    <w:p w:rsidR="00E060A7" w:rsidRPr="00E90492" w:rsidRDefault="00E060A7" w:rsidP="00BC5BD4">
      <w:pPr>
        <w:pStyle w:val="ListParagraph"/>
        <w:numPr>
          <w:ilvl w:val="0"/>
          <w:numId w:val="82"/>
        </w:numPr>
      </w:pPr>
      <w:r w:rsidRPr="00E90492">
        <w:t>The California Medical Assistance Program provides a life-supporting medical service via a home health agency during the time in which the pupil would be in school or traveling between school and home.</w:t>
      </w:r>
    </w:p>
    <w:p w:rsidR="00E060A7" w:rsidRPr="00E90492" w:rsidRDefault="00E060A7" w:rsidP="00BC5BD4">
      <w:pPr>
        <w:pStyle w:val="ListParagraph"/>
        <w:numPr>
          <w:ilvl w:val="0"/>
          <w:numId w:val="82"/>
        </w:numPr>
      </w:pPr>
      <w:r w:rsidRPr="00E90492">
        <w:t>The medical service provided requires that the pupil receive the personal assistance or attention of a nurse, home health aide, parent or guardian, or some other specially trained adult in order to be effectively delivered.</w:t>
      </w:r>
    </w:p>
    <w:p w:rsidR="00E060A7" w:rsidRPr="00E90492" w:rsidRDefault="00E060A7" w:rsidP="009256DE">
      <w:pPr>
        <w:pStyle w:val="Heading4"/>
      </w:pPr>
      <w:bookmarkStart w:id="430" w:name="_Toc418101281"/>
      <w:r w:rsidRPr="00E90492">
        <w:t>Service Animal – California Civil Rights Code</w:t>
      </w:r>
      <w:r w:rsidRPr="00E90492">
        <w:rPr>
          <w:vertAlign w:val="superscript"/>
        </w:rPr>
        <w:footnoteReference w:id="202"/>
      </w:r>
      <w:bookmarkEnd w:id="430"/>
    </w:p>
    <w:p w:rsidR="00E060A7" w:rsidRPr="00E90492" w:rsidRDefault="00E060A7" w:rsidP="009256DE">
      <w:pPr>
        <w:jc w:val="both"/>
      </w:pPr>
      <w:r w:rsidRPr="00E90492">
        <w:t>California statutes of 1968, Part 2.5 of California Civil Code, Sections 54 through 54.7, and Sections 55 and 55.1, guarantees a blind person the legal right to be accompanied by a specially trained dog guide in all public accommodations and</w:t>
      </w:r>
      <w:r>
        <w:t xml:space="preserve"> on all public transportation. </w:t>
      </w:r>
      <w:r w:rsidRPr="00E90492">
        <w:t xml:space="preserve">For purposes of California State income tax, all costs for the maintenance of a dog guide are deductible as medical expenses. Public accommodations include hotels, motels, restaurants, stores, places of resort and recreation, and all other places </w:t>
      </w:r>
      <w:r>
        <w:t>to which the public is invited.</w:t>
      </w:r>
    </w:p>
    <w:p w:rsidR="00E060A7" w:rsidRPr="00E90492" w:rsidRDefault="00E060A7" w:rsidP="009256DE">
      <w:pPr>
        <w:pStyle w:val="Heading3"/>
        <w:rPr>
          <w:rFonts w:eastAsia="Univers 45 Light"/>
        </w:rPr>
      </w:pPr>
      <w:bookmarkStart w:id="431" w:name="_Toc418101282"/>
      <w:r w:rsidRPr="00E90492">
        <w:rPr>
          <w:rFonts w:eastAsia="Univers 45 Light"/>
        </w:rPr>
        <w:t>Programs</w:t>
      </w:r>
      <w:bookmarkEnd w:id="431"/>
    </w:p>
    <w:p w:rsidR="00E060A7" w:rsidRPr="00E90492" w:rsidRDefault="00E060A7" w:rsidP="009256DE">
      <w:pPr>
        <w:pStyle w:val="Heading4"/>
      </w:pPr>
      <w:bookmarkStart w:id="432" w:name="_Toc418101283"/>
      <w:r w:rsidRPr="00E90492">
        <w:t>Medicare</w:t>
      </w:r>
      <w:bookmarkEnd w:id="432"/>
    </w:p>
    <w:p w:rsidR="00E060A7" w:rsidRPr="00E90492" w:rsidRDefault="00E060A7" w:rsidP="009256DE">
      <w:pPr>
        <w:jc w:val="both"/>
      </w:pPr>
      <w:r w:rsidRPr="00E90492">
        <w:t>Medicare is a government-sponsored program of health insurance. An individual who has been receiving social security disability benefits for 24 months is entitled to Medicare. Medicare consists of two parts. Part A provides hospital insurance benefits, which pay part of the cost of hospital care, related post-hospital care, home health services, and hospice care. Part B provides medical insurance, which pays for part of the cost of physician fees and outpatient medical services. Unlike Part A, Part B is a voluntary plan, which must be paid for by the insured individual. Some private health insurers or group health plans may provide supplemental co</w:t>
      </w:r>
      <w:r>
        <w:t>verage for Part A, B, or both.</w:t>
      </w:r>
      <w:r w:rsidRPr="00E90492">
        <w:rPr>
          <w:vertAlign w:val="superscript"/>
        </w:rPr>
        <w:footnoteReference w:id="203"/>
      </w:r>
    </w:p>
    <w:p w:rsidR="00E060A7" w:rsidRPr="00E90492" w:rsidRDefault="00E060A7" w:rsidP="009256DE">
      <w:pPr>
        <w:pStyle w:val="Heading4"/>
      </w:pPr>
      <w:bookmarkStart w:id="433" w:name="_Toc418101284"/>
      <w:r w:rsidRPr="00E90492">
        <w:t>MediCal</w:t>
      </w:r>
      <w:bookmarkEnd w:id="433"/>
    </w:p>
    <w:p w:rsidR="00E060A7" w:rsidRPr="00E90492" w:rsidRDefault="00E060A7" w:rsidP="009256DE">
      <w:pPr>
        <w:jc w:val="both"/>
      </w:pPr>
      <w:r w:rsidRPr="00E90492">
        <w:t>MediCal is a state and federal-sponsored program to pay for medical care for low income individuals. It is the California version of the Medicaid program and is partially federally funded. Application for MediCal can be made at your county</w:t>
      </w:r>
      <w:r>
        <w:t xml:space="preserve"> Department of </w:t>
      </w:r>
      <w:r>
        <w:lastRenderedPageBreak/>
        <w:t xml:space="preserve">Social Services. </w:t>
      </w:r>
      <w:r w:rsidRPr="00E90492">
        <w:t>MediCal is a comprehensive program, which pays for both hospitalization and outpatient medical services and treatment. It includes coverage of the cost of nursing home care, x-rays, certain prescription medications, emergency and essential dental services, certain medical transportation, home health services, eyeglasses, hearing aids, orthopedic devices, durable medical treatment and supplies, adult day health care, pregnancy-related care, and mental health services. Also included are heart and liver transplants and bone marrow trans</w:t>
      </w:r>
      <w:r>
        <w:t>plants for treatment of cancer.</w:t>
      </w:r>
      <w:r w:rsidRPr="00E90492">
        <w:rPr>
          <w:vertAlign w:val="superscript"/>
        </w:rPr>
        <w:footnoteReference w:id="204"/>
      </w:r>
    </w:p>
    <w:p w:rsidR="00E060A7" w:rsidRPr="00E90492" w:rsidRDefault="00E060A7" w:rsidP="009256DE">
      <w:pPr>
        <w:pStyle w:val="Heading4"/>
      </w:pPr>
      <w:bookmarkStart w:id="434" w:name="_Toc418101277"/>
      <w:bookmarkStart w:id="435" w:name="_Toc418101278"/>
      <w:bookmarkStart w:id="436" w:name="_Toc418101286"/>
      <w:r w:rsidRPr="00E90492">
        <w:t>California Children's Services (CCS)</w:t>
      </w:r>
      <w:bookmarkEnd w:id="434"/>
    </w:p>
    <w:p w:rsidR="00E060A7" w:rsidRPr="00E90492" w:rsidRDefault="00E060A7" w:rsidP="009256DE">
      <w:pPr>
        <w:jc w:val="both"/>
      </w:pPr>
      <w:r w:rsidRPr="00E90492">
        <w:t>The California Children's Services (CCS) program assists the parents of children with physical disabilities under the age of 21 who are unable to pay for the cost of their child's medical treatment. Eligibility for the program is determined by the family's income and by t</w:t>
      </w:r>
      <w:r>
        <w:t xml:space="preserve">he cost of care for the child.  </w:t>
      </w:r>
      <w:r w:rsidRPr="00E90492">
        <w:t xml:space="preserve">Parents may have to pay a share of the cost of medical treatment. Services include screening of newborn infants at high risk for deafness and payment for bone marrow transplants under certain conditions. Applications can be made at the CCS office in the </w:t>
      </w:r>
      <w:r>
        <w:t>county where the child resides.</w:t>
      </w:r>
      <w:r w:rsidRPr="00E90492">
        <w:rPr>
          <w:vertAlign w:val="superscript"/>
        </w:rPr>
        <w:footnoteReference w:id="205"/>
      </w:r>
    </w:p>
    <w:p w:rsidR="00E060A7" w:rsidRPr="00E90492" w:rsidRDefault="00E060A7" w:rsidP="009256DE">
      <w:pPr>
        <w:pStyle w:val="Heading4"/>
      </w:pPr>
      <w:r w:rsidRPr="00E90492">
        <w:t>Genetically Handicapped Person's Program</w:t>
      </w:r>
      <w:bookmarkEnd w:id="435"/>
    </w:p>
    <w:p w:rsidR="00E060A7" w:rsidRPr="00E90492" w:rsidRDefault="00E060A7" w:rsidP="009256DE">
      <w:pPr>
        <w:jc w:val="both"/>
      </w:pPr>
      <w:r w:rsidRPr="00E90492">
        <w:t>The Genetically Handicapped Person's Program provides medical and social support services to children and adults with genetically handicapping conditions, such as cystic fibrosis, hemophilia, sickle cell disease, and Huntington's disease. The program is administered by the State Department of Health Services. Services include diagnostic evaluation, cost of blood transfusions, rehabilitation services, medical treatment, physical and speech therapy, appliances, transportation, respite care, and geneti</w:t>
      </w:r>
      <w:r>
        <w:t xml:space="preserve">c and psychological counseling. </w:t>
      </w:r>
      <w:r w:rsidRPr="00E90492">
        <w:t>Eligibility for the program is based on the family's adjusted gross income. An individual will generally not receive services under the program if he or she is entitled to similar benefits under any other private, state, or federal insurance program. Persons who can no longer receive services and assistance under the California Children's Services program because they have attained the age of 21 may be eligible for this program.</w:t>
      </w:r>
      <w:r w:rsidRPr="00E90492">
        <w:rPr>
          <w:vertAlign w:val="superscript"/>
        </w:rPr>
        <w:footnoteReference w:id="206"/>
      </w:r>
    </w:p>
    <w:p w:rsidR="00E060A7" w:rsidRPr="00E90492" w:rsidRDefault="00E060A7" w:rsidP="009256DE">
      <w:pPr>
        <w:pStyle w:val="Heading4"/>
      </w:pPr>
      <w:r w:rsidRPr="00E90492">
        <w:t>Breast Health Access for Women with Disabilities, Alta Bates Summit Medical Center, Berkeley, California</w:t>
      </w:r>
      <w:r w:rsidRPr="00E90492">
        <w:rPr>
          <w:vertAlign w:val="superscript"/>
        </w:rPr>
        <w:footnoteReference w:id="207"/>
      </w:r>
      <w:bookmarkEnd w:id="436"/>
    </w:p>
    <w:p w:rsidR="00E060A7" w:rsidRPr="00E90492" w:rsidRDefault="00E060A7" w:rsidP="009256DE">
      <w:pPr>
        <w:jc w:val="both"/>
      </w:pPr>
      <w:r w:rsidRPr="00E90492">
        <w:lastRenderedPageBreak/>
        <w:t xml:space="preserve">Breast Health Access for Women with Disabilities (BHAWD) is the rehabilitation services program of the Alta Bates Summit Medical Center, in Berkeley, California. BHAWD offers an accessible clinic for free breast exams, breast self-examination training, general breast-health management education, and mammogram referrals. The program was conceived in 1994, when a Susan G. Komen Breast Cancer Foundation grant funded a town hall meeting to explore the difficulties women with disabilities encounter in accessing breast health services. After the meeting and subsequent conferences, the program was initiated in 1995; clinical services began in 1997. Alta Bates staff, women with disabilities, and breast cancer survivors spearheaded BHAWD in response to a gap in women's health services, including breast health. </w:t>
      </w:r>
    </w:p>
    <w:p w:rsidR="00E060A7" w:rsidRPr="00E90492" w:rsidRDefault="00E060A7" w:rsidP="009256DE">
      <w:pPr>
        <w:jc w:val="both"/>
      </w:pPr>
      <w:r w:rsidRPr="00E90492">
        <w:t>Within the Alta Bates Summit Medical Center, the group leads trainings for all staff. As a result, schedulers in that medical system now give women with disabilities additional appointment time, and everyone who calls for an appointment is asked if she requires accommodations. The program manager estimates that more than 2,500 members of the California Association of Radiology Technology and at least 700 mammography technicians have attended BHAWD trainings.</w:t>
      </w:r>
      <w:bookmarkStart w:id="437" w:name="_edn481R"/>
      <w:bookmarkEnd w:id="437"/>
      <w:r w:rsidRPr="00E90492">
        <w:t xml:space="preserve"> BHAWD also distributes its materials to community medical centers and assisted living facilities, as well as at conferences.</w:t>
      </w:r>
    </w:p>
    <w:p w:rsidR="00E060A7" w:rsidRPr="00E90492" w:rsidRDefault="00E060A7" w:rsidP="009256DE">
      <w:pPr>
        <w:jc w:val="both"/>
      </w:pPr>
      <w:r w:rsidRPr="00E90492">
        <w:t>BHAWD administers client satisfaction surveys for all trainings, media materials, and clinical services. Clinic users and people who participate in trainings report high levels of satisfaction. In data collected from women with disabilities who used the breast health clinic in 2007, 100 percent of consumers rated the care they received during their visit as either "Good" (18 percent) or "Very Good" (82 percent). All said they were likely to recommend the clinic to others; the majority (77 percent) rated the likelihood as "Very Good." They rated BHAWD staff members either "Good" or "Very Good." Surveys from mammography technicians who attended four of BHAWD's continuing education conferences in 2006 and 2007 rated the conference as either "Very Good" or "Good," with 67 percent rating their training as "Very Good" and almost one-third rating their training as "Good.</w:t>
      </w:r>
    </w:p>
    <w:p w:rsidR="00E060A7" w:rsidRPr="00E90492" w:rsidRDefault="00E060A7" w:rsidP="009256DE">
      <w:pPr>
        <w:pStyle w:val="Heading4"/>
      </w:pPr>
      <w:bookmarkStart w:id="438" w:name="_Toc418101272"/>
      <w:r w:rsidRPr="00E90492">
        <w:t>LightHouse for the Blind and Visually Impaired, San Francisco</w:t>
      </w:r>
      <w:bookmarkEnd w:id="438"/>
    </w:p>
    <w:p w:rsidR="00E060A7" w:rsidRPr="00E90492" w:rsidRDefault="00E060A7" w:rsidP="00E060A7">
      <w:pPr>
        <w:jc w:val="both"/>
      </w:pPr>
      <w:r w:rsidRPr="00E90492">
        <w:t>Through the LightHouse Client Services Program, individuals who are blind or have vision impairments receive orientation to LightHouse services, assessment of their rehabilitation needs, and enrollment as a client, support services, and case management. Social workers and low vision specialists staff the program in San Francisco and in Marin a</w:t>
      </w:r>
      <w:r>
        <w:t xml:space="preserve">nd Humboldt/Del Norte Counties. </w:t>
      </w:r>
      <w:r w:rsidRPr="00E90492">
        <w:t xml:space="preserve">The LightHouse provides a wide variety of services, including vision rehabilitation—processes whereby people who have experienced vision loss learn new ways to approach tasks. Rehabilitation may include orientation and mobility, adaptive technology, and independent living. The </w:t>
      </w:r>
      <w:r w:rsidRPr="00E90492">
        <w:lastRenderedPageBreak/>
        <w:t>agency's comprehensive intake process ensures that client’s people will not only receive appropriate services from the LightHouse, but will be referred to any additional services in the community that might be beneficial.</w:t>
      </w:r>
    </w:p>
    <w:p w:rsidR="00E060A7" w:rsidRPr="00E90492" w:rsidRDefault="00E060A7" w:rsidP="00E060A7">
      <w:pPr>
        <w:jc w:val="both"/>
      </w:pPr>
      <w:r w:rsidRPr="00E90492">
        <w:t>The Vision Loss Resource Center (VLRC) provides information to individuals experiencing vision loss, their families and friends, and professionals in the field. Among the resources available through VLRC is an adaptive technology and health seminar, which provides an audio transcript and information handouts of presentations on adaptive equipment, including accessible tools for glucose monitoring, weight management, healthy food preparation, and exercise equipment that aids in maintaining heal</w:t>
      </w:r>
      <w:r>
        <w:t>th.</w:t>
      </w:r>
    </w:p>
    <w:p w:rsidR="00E060A7" w:rsidRPr="00E90492" w:rsidRDefault="00E060A7" w:rsidP="009256DE">
      <w:pPr>
        <w:pStyle w:val="Heading2"/>
      </w:pPr>
      <w:bookmarkStart w:id="439" w:name="_Toc418101287"/>
      <w:bookmarkStart w:id="440" w:name="_Toc421805850"/>
      <w:bookmarkStart w:id="441" w:name="_Toc424669275"/>
      <w:bookmarkStart w:id="442" w:name="_Toc457553306"/>
      <w:r w:rsidRPr="00E90492">
        <w:t>New York</w:t>
      </w:r>
      <w:bookmarkEnd w:id="439"/>
      <w:bookmarkEnd w:id="440"/>
      <w:bookmarkEnd w:id="441"/>
      <w:bookmarkEnd w:id="442"/>
    </w:p>
    <w:p w:rsidR="00E060A7" w:rsidRPr="00E90492" w:rsidRDefault="00E060A7" w:rsidP="009256DE">
      <w:pPr>
        <w:pStyle w:val="Heading3"/>
        <w:rPr>
          <w:rFonts w:eastAsia="Univers 45 Light"/>
        </w:rPr>
      </w:pPr>
      <w:bookmarkStart w:id="443" w:name="_Toc418101288"/>
      <w:r w:rsidRPr="00E90492">
        <w:rPr>
          <w:rFonts w:eastAsia="Univers 45 Light"/>
        </w:rPr>
        <w:t>Policies and Regulations</w:t>
      </w:r>
      <w:bookmarkEnd w:id="443"/>
    </w:p>
    <w:p w:rsidR="00E060A7" w:rsidRPr="00E90492" w:rsidRDefault="00E060A7" w:rsidP="009256DE">
      <w:pPr>
        <w:pStyle w:val="Heading4"/>
      </w:pPr>
      <w:bookmarkStart w:id="444" w:name="_Toc418101289"/>
      <w:r w:rsidRPr="00E90492">
        <w:t>New York State Human Rights Law</w:t>
      </w:r>
      <w:bookmarkEnd w:id="444"/>
    </w:p>
    <w:p w:rsidR="00E060A7" w:rsidRPr="00E90492" w:rsidRDefault="00E060A7" w:rsidP="009256DE">
      <w:pPr>
        <w:jc w:val="both"/>
      </w:pPr>
      <w:r w:rsidRPr="00E90492">
        <w:t>The New York state has the responsibility to act to assure that every individual within the state is afforded an equal opportunity to enjoy a full and productive life and that the failure to provide such equal opportunity, whether due to discrimination, prejudice, intolerance or inadequate education, training, housing or health care not only threatens the rights and proper privileges of its inhabitants but menaces the institutions and foundation of a free democratic state.</w:t>
      </w:r>
      <w:r w:rsidRPr="00E90492">
        <w:rPr>
          <w:vertAlign w:val="superscript"/>
        </w:rPr>
        <w:footnoteReference w:id="208"/>
      </w:r>
    </w:p>
    <w:p w:rsidR="00E060A7" w:rsidRPr="00E90492" w:rsidRDefault="00E060A7" w:rsidP="009256DE">
      <w:pPr>
        <w:pStyle w:val="Heading4"/>
      </w:pPr>
      <w:bookmarkStart w:id="445" w:name="_Toc418101290"/>
      <w:r w:rsidRPr="00E90492">
        <w:t>Dog Guide Coverage – Civil Rights Law</w:t>
      </w:r>
      <w:bookmarkEnd w:id="445"/>
    </w:p>
    <w:p w:rsidR="00E060A7" w:rsidRPr="00E90492" w:rsidRDefault="00E060A7" w:rsidP="009256DE">
      <w:pPr>
        <w:jc w:val="both"/>
      </w:pPr>
      <w:r w:rsidRPr="00E90492">
        <w:t>New York Statutes: Civil Rights Law, Article 4-B, Sections 47 through 47c, 1986; guarantees a blind person the legal right to be accompanied by a dog guide in all public accommodations, in employment, and on public transportation. No extra charge can be levied because of the dog guide's presence, but the dog must be in harness and the dog guide user can be asked to produce an identification card. A blind person who possesses a dog guide is entitled to equal housing accommodations and cannot be charged a fee because of the dog guide. Public accommodations include resorts, theaters, restaurants, stores, hotels, places of recreation, and all other places to whic</w:t>
      </w:r>
      <w:r>
        <w:t xml:space="preserve">h the public is invited. </w:t>
      </w:r>
      <w:r w:rsidRPr="00E90492">
        <w:t>Public transportation includes taxis, subways, trains, buses, boats, airplanes, and all other modes of conveyance offered for public use. (Sect. 47) Housing accommodations include public and private rental properties designed as s</w:t>
      </w:r>
      <w:r>
        <w:t xml:space="preserve">leeping quarters or residences. </w:t>
      </w:r>
      <w:r w:rsidRPr="00E90492">
        <w:t xml:space="preserve">Employment includes state service or that of its political subdivisions and all other employment activity. Equal employment opportunity includes </w:t>
      </w:r>
      <w:r w:rsidRPr="00E90492">
        <w:lastRenderedPageBreak/>
        <w:t>prohibition against discrimination b</w:t>
      </w:r>
      <w:r>
        <w:t xml:space="preserve">ased on blindness. </w:t>
      </w:r>
      <w:r w:rsidRPr="00E90492">
        <w:t>Violation: Any owner, manager, or employee who interferes with the above-enumerated rights is subject to prosecution under se</w:t>
      </w:r>
      <w:r>
        <w:t>veral New York State statutes.</w:t>
      </w:r>
      <w:r w:rsidRPr="00E90492">
        <w:rPr>
          <w:vertAlign w:val="superscript"/>
        </w:rPr>
        <w:footnoteReference w:id="209"/>
      </w:r>
    </w:p>
    <w:p w:rsidR="00E060A7" w:rsidRPr="00E90492" w:rsidRDefault="00E060A7" w:rsidP="009256DE">
      <w:pPr>
        <w:pStyle w:val="Heading3"/>
        <w:rPr>
          <w:rFonts w:eastAsia="Univers 45 Light"/>
        </w:rPr>
      </w:pPr>
      <w:bookmarkStart w:id="446" w:name="_Toc418101291"/>
      <w:r w:rsidRPr="00E90492">
        <w:rPr>
          <w:rFonts w:eastAsia="Univers 45 Light"/>
        </w:rPr>
        <w:t>Programs</w:t>
      </w:r>
      <w:bookmarkEnd w:id="446"/>
    </w:p>
    <w:p w:rsidR="00E060A7" w:rsidRPr="00E90492" w:rsidRDefault="00E060A7" w:rsidP="009256DE">
      <w:pPr>
        <w:pStyle w:val="Heading4"/>
      </w:pPr>
      <w:bookmarkStart w:id="447" w:name="_Toc418101292"/>
      <w:r w:rsidRPr="00E90492">
        <w:t>Medicaid</w:t>
      </w:r>
      <w:bookmarkEnd w:id="447"/>
    </w:p>
    <w:p w:rsidR="00E060A7" w:rsidRPr="00E90492" w:rsidRDefault="00E060A7" w:rsidP="009256DE">
      <w:pPr>
        <w:jc w:val="both"/>
      </w:pPr>
      <w:r w:rsidRPr="00E90492">
        <w:t>The Medicaid Buy-In program offers Medicaid coverage to people with disabilities who are working, and earning more than the allowable limits for regular Medicaid, the opportunity to retain their health care coverage through Medicaid. This program allows working people with disabilities to earn more income without the risk of los</w:t>
      </w:r>
      <w:r>
        <w:t>ing vital health care coverage.</w:t>
      </w:r>
      <w:r w:rsidRPr="00E90492">
        <w:rPr>
          <w:vertAlign w:val="superscript"/>
        </w:rPr>
        <w:footnoteReference w:id="210"/>
      </w:r>
    </w:p>
    <w:p w:rsidR="00E060A7" w:rsidRPr="00E90492" w:rsidRDefault="00E060A7" w:rsidP="009256DE">
      <w:pPr>
        <w:pStyle w:val="Heading4"/>
      </w:pPr>
      <w:bookmarkStart w:id="448" w:name="_Toc418101293"/>
      <w:r w:rsidRPr="00E90492">
        <w:t>Children with Special Health Care Needs Program (CSHCN) Including the Physically Handicapped Children's Program (PHCP)</w:t>
      </w:r>
      <w:r w:rsidRPr="00E90492">
        <w:rPr>
          <w:vertAlign w:val="superscript"/>
        </w:rPr>
        <w:footnoteReference w:id="211"/>
      </w:r>
      <w:bookmarkEnd w:id="448"/>
    </w:p>
    <w:p w:rsidR="00E060A7" w:rsidRPr="00E90492" w:rsidRDefault="00E060A7" w:rsidP="009256DE">
      <w:pPr>
        <w:jc w:val="both"/>
      </w:pPr>
      <w:r w:rsidRPr="0004393E">
        <w:t>The program goal is to improve the system of care for children with special health care needs</w:t>
      </w:r>
      <w:r w:rsidRPr="00E90492">
        <w:t xml:space="preserve"> (CSHCN) and their families.</w:t>
      </w:r>
      <w:r>
        <w:t xml:space="preserve"> </w:t>
      </w:r>
      <w:r w:rsidRPr="00E90492">
        <w:t xml:space="preserve">CSHCN includes newly born children to those up to 21 years of age who have or are suspected of having a serious or chronic physical, developmental, behavioural, or emotional condition. In addition, they require health and related services of a type or amount beyond that </w:t>
      </w:r>
      <w:r>
        <w:t xml:space="preserve">required by children generally. </w:t>
      </w:r>
      <w:r w:rsidRPr="00E90492">
        <w:t>Any child with a special health care need residing in a county that has a CSHCN Program is eligible for information and referral services.</w:t>
      </w:r>
    </w:p>
    <w:p w:rsidR="00E060A7" w:rsidRPr="00E90492" w:rsidRDefault="00E060A7" w:rsidP="009256DE">
      <w:pPr>
        <w:jc w:val="both"/>
      </w:pPr>
      <w:r w:rsidRPr="00E90492">
        <w:t xml:space="preserve"> The CSHCN Program is a public health program that provides information and referral services for health and related areas for families of CSHCN. In addition, some of the local CSHCN programs offer case mana</w:t>
      </w:r>
      <w:r>
        <w:t xml:space="preserve">gement services. </w:t>
      </w:r>
      <w:r w:rsidRPr="00E90492">
        <w:t xml:space="preserve">The CSHCN Program also has a financial component, the Physically Handicapped Children's Program (PHCP). The PHCP assists families in paying medical bills for children with severe chronic illnesses and/or physical disabilities, between birth and 21 years of age, who live in New York State and meet county medical and </w:t>
      </w:r>
      <w:r w:rsidRPr="00E90492">
        <w:rPr>
          <w:rFonts w:ascii="Times New Roman" w:hAnsi="Times New Roman"/>
        </w:rPr>
        <w:t>ﬁ</w:t>
      </w:r>
      <w:r w:rsidRPr="00E90492">
        <w:t>nancial eligibility criteria.</w:t>
      </w:r>
    </w:p>
    <w:p w:rsidR="00E060A7" w:rsidRPr="00E90492" w:rsidRDefault="00E060A7" w:rsidP="009256DE">
      <w:pPr>
        <w:jc w:val="both"/>
      </w:pPr>
      <w:r w:rsidRPr="00E90492">
        <w:t xml:space="preserve"> The PHCP is located in many county health departments. Prior authorization from the local PHCP must be obtained for all services. The PHCP has two components: the Diagnosis and Evaluation Program (D&amp;E) and the Treatment Program. The D&amp;E Program will reimburse specialty providers for the diagnosis and development of a </w:t>
      </w:r>
      <w:r w:rsidRPr="00E90492">
        <w:lastRenderedPageBreak/>
        <w:t>treatment plan for eligible children. The Treatment Program will reimburse specialty providers for the ongoing health and related services for children who are medically and financially eligibl</w:t>
      </w:r>
      <w:r>
        <w:t xml:space="preserve">e in their county of residence. </w:t>
      </w:r>
      <w:r w:rsidRPr="00E90492">
        <w:t>The county standards are designed to assist families with low incomes or inadequate private health insurance to obtain medical services f</w:t>
      </w:r>
      <w:r>
        <w:t>or their children.</w:t>
      </w:r>
    </w:p>
    <w:p w:rsidR="00E060A7" w:rsidRPr="00E90492" w:rsidRDefault="00E060A7" w:rsidP="009256DE">
      <w:pPr>
        <w:pStyle w:val="Heading4"/>
      </w:pPr>
      <w:bookmarkStart w:id="449" w:name="_Toc418101294"/>
      <w:r w:rsidRPr="00E90492">
        <w:t>Early Intervention Program</w:t>
      </w:r>
      <w:r w:rsidRPr="00E90492">
        <w:rPr>
          <w:vertAlign w:val="superscript"/>
        </w:rPr>
        <w:footnoteReference w:id="212"/>
      </w:r>
      <w:bookmarkEnd w:id="449"/>
    </w:p>
    <w:p w:rsidR="00E060A7" w:rsidRPr="00E90492" w:rsidRDefault="00E060A7" w:rsidP="009256DE">
      <w:pPr>
        <w:jc w:val="both"/>
      </w:pPr>
      <w:r w:rsidRPr="00E90492">
        <w:t xml:space="preserve">The New York State Early Intervention Program (EIP) is part of the national Early Intervention Program for infants and toddlers with disabilities and their families. First created by Congress in 1986 under the Individuals with </w:t>
      </w:r>
      <w:r w:rsidRPr="00E90492">
        <w:rPr>
          <w:i/>
        </w:rPr>
        <w:t>Disabilities Education Act</w:t>
      </w:r>
      <w:r w:rsidRPr="00E90492">
        <w:t xml:space="preserve"> (IDEA), the EIP is administered by the New York State Department of Health through the Bureau of Early Intervention. In New York State, the Early Intervention Program is established in Article 25 of the Public Health Law and has been in effect since July 1, 1993.</w:t>
      </w:r>
    </w:p>
    <w:p w:rsidR="00E060A7" w:rsidRPr="00E90492" w:rsidRDefault="00E060A7" w:rsidP="009256DE">
      <w:pPr>
        <w:jc w:val="both"/>
      </w:pPr>
      <w:r w:rsidRPr="00E90492">
        <w:t>To be eligible for services, children must be under three years of age and have a confirmed disability or established developmental delay, as defined by the State, in one or more of the following areas of development: physical, cognitive, communication, social-emotional, and/or adaptive.</w:t>
      </w:r>
    </w:p>
    <w:p w:rsidR="00E060A7" w:rsidRPr="00E90492" w:rsidRDefault="00E060A7" w:rsidP="009256DE">
      <w:pPr>
        <w:jc w:val="both"/>
      </w:pPr>
      <w:r w:rsidRPr="00E90492">
        <w:t xml:space="preserve"> The Early Intervention Program offers a variety of therapeutic and support services to eligible infants and toddlers with disabilities and their families, including:</w:t>
      </w:r>
    </w:p>
    <w:p w:rsidR="00E060A7" w:rsidRPr="00E90492" w:rsidRDefault="00E060A7" w:rsidP="00BC5BD4">
      <w:pPr>
        <w:pStyle w:val="ListParagraph"/>
        <w:numPr>
          <w:ilvl w:val="0"/>
          <w:numId w:val="82"/>
        </w:numPr>
      </w:pPr>
      <w:r w:rsidRPr="00E90492">
        <w:t>Family education and counseling, home visits, and parent support groups</w:t>
      </w:r>
    </w:p>
    <w:p w:rsidR="00E060A7" w:rsidRPr="00E90492" w:rsidRDefault="00E060A7" w:rsidP="00BC5BD4">
      <w:pPr>
        <w:pStyle w:val="ListParagraph"/>
        <w:numPr>
          <w:ilvl w:val="0"/>
          <w:numId w:val="82"/>
        </w:numPr>
      </w:pPr>
      <w:r w:rsidRPr="00E90492">
        <w:t>Special instruction</w:t>
      </w:r>
    </w:p>
    <w:p w:rsidR="00E060A7" w:rsidRPr="00E90492" w:rsidRDefault="00E060A7" w:rsidP="00BC5BD4">
      <w:pPr>
        <w:pStyle w:val="ListParagraph"/>
        <w:numPr>
          <w:ilvl w:val="0"/>
          <w:numId w:val="82"/>
        </w:numPr>
      </w:pPr>
      <w:r w:rsidRPr="00E90492">
        <w:t>Speech pathology and audiology</w:t>
      </w:r>
    </w:p>
    <w:p w:rsidR="00E060A7" w:rsidRPr="00E90492" w:rsidRDefault="00E060A7" w:rsidP="00BC5BD4">
      <w:pPr>
        <w:pStyle w:val="ListParagraph"/>
        <w:numPr>
          <w:ilvl w:val="0"/>
          <w:numId w:val="82"/>
        </w:numPr>
      </w:pPr>
      <w:r w:rsidRPr="00E90492">
        <w:t>Occupational therapy</w:t>
      </w:r>
    </w:p>
    <w:p w:rsidR="00E060A7" w:rsidRPr="00E90492" w:rsidRDefault="00E060A7" w:rsidP="00BC5BD4">
      <w:pPr>
        <w:pStyle w:val="ListParagraph"/>
        <w:numPr>
          <w:ilvl w:val="0"/>
          <w:numId w:val="82"/>
        </w:numPr>
      </w:pPr>
      <w:r w:rsidRPr="00E90492">
        <w:t>Physical therapy</w:t>
      </w:r>
    </w:p>
    <w:p w:rsidR="00E060A7" w:rsidRPr="00E90492" w:rsidRDefault="00E060A7" w:rsidP="00BC5BD4">
      <w:pPr>
        <w:pStyle w:val="ListParagraph"/>
        <w:numPr>
          <w:ilvl w:val="0"/>
          <w:numId w:val="82"/>
        </w:numPr>
      </w:pPr>
      <w:r w:rsidRPr="00E90492">
        <w:t>Psychological services</w:t>
      </w:r>
    </w:p>
    <w:p w:rsidR="00E060A7" w:rsidRPr="00E90492" w:rsidRDefault="00E060A7" w:rsidP="00BC5BD4">
      <w:pPr>
        <w:pStyle w:val="ListParagraph"/>
        <w:numPr>
          <w:ilvl w:val="0"/>
          <w:numId w:val="82"/>
        </w:numPr>
      </w:pPr>
      <w:r w:rsidRPr="00E90492">
        <w:t>Service coordination</w:t>
      </w:r>
    </w:p>
    <w:p w:rsidR="00E060A7" w:rsidRPr="00E90492" w:rsidRDefault="00E060A7" w:rsidP="00BC5BD4">
      <w:pPr>
        <w:pStyle w:val="ListParagraph"/>
        <w:numPr>
          <w:ilvl w:val="0"/>
          <w:numId w:val="82"/>
        </w:numPr>
      </w:pPr>
      <w:r w:rsidRPr="00E90492">
        <w:t>Nursing services</w:t>
      </w:r>
    </w:p>
    <w:p w:rsidR="00E060A7" w:rsidRPr="00E90492" w:rsidRDefault="00E060A7" w:rsidP="00BC5BD4">
      <w:pPr>
        <w:pStyle w:val="ListParagraph"/>
        <w:numPr>
          <w:ilvl w:val="0"/>
          <w:numId w:val="82"/>
        </w:numPr>
      </w:pPr>
      <w:r w:rsidRPr="00E90492">
        <w:t>Nutrition services</w:t>
      </w:r>
    </w:p>
    <w:p w:rsidR="00E060A7" w:rsidRPr="00E90492" w:rsidRDefault="00E060A7" w:rsidP="00BC5BD4">
      <w:pPr>
        <w:pStyle w:val="ListParagraph"/>
        <w:numPr>
          <w:ilvl w:val="0"/>
          <w:numId w:val="82"/>
        </w:numPr>
      </w:pPr>
      <w:r w:rsidRPr="00E90492">
        <w:t>Social work services</w:t>
      </w:r>
    </w:p>
    <w:p w:rsidR="00E060A7" w:rsidRPr="00E90492" w:rsidRDefault="00E060A7" w:rsidP="00BC5BD4">
      <w:pPr>
        <w:pStyle w:val="ListParagraph"/>
        <w:numPr>
          <w:ilvl w:val="0"/>
          <w:numId w:val="82"/>
        </w:numPr>
      </w:pPr>
      <w:r w:rsidRPr="00E90492">
        <w:t>Vision services</w:t>
      </w:r>
    </w:p>
    <w:p w:rsidR="00E060A7" w:rsidRPr="0084315F" w:rsidRDefault="00E060A7" w:rsidP="00BC5BD4">
      <w:pPr>
        <w:pStyle w:val="ListParagraph"/>
        <w:numPr>
          <w:ilvl w:val="0"/>
          <w:numId w:val="82"/>
        </w:numPr>
      </w:pPr>
      <w:r w:rsidRPr="00E90492">
        <w:t>Assistive technology devices and services</w:t>
      </w:r>
    </w:p>
    <w:p w:rsidR="00E060A7" w:rsidRPr="00E90492" w:rsidRDefault="00E060A7" w:rsidP="009256DE">
      <w:pPr>
        <w:pStyle w:val="Heading4"/>
      </w:pPr>
      <w:bookmarkStart w:id="450" w:name="_Toc418101295"/>
      <w:r w:rsidRPr="00E90492">
        <w:t>New York State Office of Mental Health (OMH)</w:t>
      </w:r>
      <w:bookmarkEnd w:id="450"/>
    </w:p>
    <w:p w:rsidR="00E060A7" w:rsidRPr="00E90492" w:rsidRDefault="00E060A7" w:rsidP="009256DE">
      <w:pPr>
        <w:jc w:val="both"/>
      </w:pPr>
      <w:r w:rsidRPr="00E90492">
        <w:lastRenderedPageBreak/>
        <w:t>The New York State Office of Mental Health works to promote the mental health of all New Yorkers and provide hope and recovery for adults with serious mental disorders and children with serious emotional disturbances. Its activities include public education and awareness campaigns and violence prevention initiatives. It also funds local governments to provide the full range of inpatient, outpatient, and peer support and rehabilitation services.</w:t>
      </w:r>
      <w:r w:rsidRPr="00E90492">
        <w:rPr>
          <w:vertAlign w:val="superscript"/>
        </w:rPr>
        <w:footnoteReference w:id="213"/>
      </w:r>
    </w:p>
    <w:p w:rsidR="00E060A7" w:rsidRPr="00E90492" w:rsidRDefault="00E060A7" w:rsidP="009256DE">
      <w:pPr>
        <w:pStyle w:val="Heading4"/>
      </w:pPr>
      <w:bookmarkStart w:id="451" w:name="_Toc418101296"/>
      <w:r w:rsidRPr="00E90492">
        <w:t>Parent to Parent of New York State</w:t>
      </w:r>
      <w:bookmarkEnd w:id="451"/>
    </w:p>
    <w:p w:rsidR="00E060A7" w:rsidRPr="00E90492" w:rsidRDefault="00E060A7" w:rsidP="009256DE">
      <w:pPr>
        <w:jc w:val="both"/>
      </w:pPr>
      <w:r w:rsidRPr="00E90492">
        <w:t>Parent to Parent is a parent support program. Services include a parent-matching program, disease-specific and disability services information and referral, health care, education and housing information, and family training on working with Medicaid service coordinators.</w:t>
      </w:r>
      <w:r w:rsidRPr="00E90492">
        <w:rPr>
          <w:vertAlign w:val="superscript"/>
        </w:rPr>
        <w:footnoteReference w:id="214"/>
      </w:r>
    </w:p>
    <w:p w:rsidR="00E060A7" w:rsidRPr="00E90492" w:rsidRDefault="00E060A7" w:rsidP="009256DE">
      <w:pPr>
        <w:pStyle w:val="Heading4"/>
      </w:pPr>
      <w:bookmarkStart w:id="452" w:name="_Toc418101297"/>
      <w:r w:rsidRPr="00E90492">
        <w:t>Healthy and Ready to Work (HRTW)</w:t>
      </w:r>
      <w:bookmarkEnd w:id="452"/>
    </w:p>
    <w:p w:rsidR="00E060A7" w:rsidRDefault="00E060A7" w:rsidP="009256DE">
      <w:pPr>
        <w:jc w:val="both"/>
      </w:pPr>
      <w:r w:rsidRPr="00E90492">
        <w:t>Healthy and Ready To Work is a national resource center dedicated to facilitating the transition of children with special health care needs from pediatric to adult health care and to post-secondary education and/or employment. It promotes a comprehensive system of family- centered, quality health care, and youth participation in decision-making. HRTW provides resources and tools, such as Bright Future that help youth, families, and health providers in the transition process.</w:t>
      </w:r>
      <w:r w:rsidRPr="00E90492">
        <w:rPr>
          <w:vertAlign w:val="superscript"/>
        </w:rPr>
        <w:footnoteReference w:id="215"/>
      </w:r>
    </w:p>
    <w:p w:rsidR="00E060A7" w:rsidRPr="00E90492" w:rsidRDefault="00E060A7" w:rsidP="009256DE">
      <w:pPr>
        <w:pStyle w:val="Heading4"/>
      </w:pPr>
      <w:bookmarkStart w:id="453" w:name="_Toc418101268"/>
      <w:r w:rsidRPr="00E90492">
        <w:t>Premier HealthCare – YAI/National Institute for People with Disabilities Network, New York</w:t>
      </w:r>
      <w:bookmarkEnd w:id="453"/>
    </w:p>
    <w:p w:rsidR="00E060A7" w:rsidRPr="00E90492" w:rsidRDefault="00E060A7" w:rsidP="009256DE">
      <w:pPr>
        <w:jc w:val="both"/>
      </w:pPr>
      <w:r w:rsidRPr="00E90492">
        <w:t>Premier HealthCare, an agency in the YAI/NIPD (National Institute for People with Disabilities) network, provides specialty health care practices for individuals with developmental, physical, and learning disabilities throughout New York City. The medical facility provides an integrated medical home for its patients. Premier offers the advantages of both a small group practice and a large academic medical center. Premier HealthCare sees 8,000 to 10,000 patients each year, with an average of 100,000 patient visits. Because people with developmental disabilities experience higher rates of secondary conditions than the general population, Premier's comprehensive care clinic practice provides for patients not only to be seen by a primary care physician but also to have immediate access to specialists offering a variety of services (e.g., dental, social work, and nutrition).</w:t>
      </w:r>
    </w:p>
    <w:p w:rsidR="00E060A7" w:rsidRPr="00E90492" w:rsidRDefault="00E060A7" w:rsidP="009256DE">
      <w:pPr>
        <w:jc w:val="both"/>
      </w:pPr>
      <w:r w:rsidRPr="00E90492">
        <w:lastRenderedPageBreak/>
        <w:t>Premier also conducts various outreach projects, particularly with the Latino population. The agency holds an annual Latino Health Care conference conducted in Spanish that provides technical and emotional support to this traditionally underserved population. Overall, Premier HealthCare is empowering patients and family members by providing a community of support and understanding.</w:t>
      </w:r>
    </w:p>
    <w:p w:rsidR="00E060A7" w:rsidRPr="00E90492" w:rsidRDefault="00E060A7" w:rsidP="009256DE">
      <w:pPr>
        <w:jc w:val="both"/>
      </w:pPr>
      <w:r w:rsidRPr="00E90492">
        <w:t>Premier HealthCare receives funding predominantly through Medicaid and minimally through Medicare. Patient surveys are conducted to evaluate customer satisfaction, and quality improvement plans are an integral part of each discipline to ensure progressive growth and modification of outdated standards.</w:t>
      </w:r>
    </w:p>
    <w:p w:rsidR="00E060A7" w:rsidRPr="00E90492" w:rsidRDefault="00E060A7" w:rsidP="009256DE">
      <w:pPr>
        <w:pStyle w:val="Heading4"/>
      </w:pPr>
      <w:bookmarkStart w:id="454" w:name="_Toc418101270"/>
      <w:r w:rsidRPr="00E90492">
        <w:t>Westchester Institute for Human Development, Valhalla, New York</w:t>
      </w:r>
      <w:bookmarkEnd w:id="454"/>
    </w:p>
    <w:p w:rsidR="00E060A7" w:rsidRPr="00E90492" w:rsidRDefault="00E060A7" w:rsidP="00E060A7">
      <w:pPr>
        <w:jc w:val="both"/>
      </w:pPr>
      <w:r w:rsidRPr="00E90492">
        <w:t xml:space="preserve">A University Center for Excellence in Developmental Disabilities Education, Research, and Services (UCEDD), the Westchester Institute for Human Development (WIHD) is a UCEDD in Valhalla, New York. A former affiliate of the Westchester Medical Center, WIHD became an independent non-profit organization in 2005. Today, the institute provides coordinated health care to people with disabilities; provides training and technical assistance for people with disabilities, caregivers, family members, and health care professionals; and undertakes research. </w:t>
      </w:r>
    </w:p>
    <w:p w:rsidR="00E060A7" w:rsidRPr="00E90492" w:rsidRDefault="00E060A7" w:rsidP="00E060A7">
      <w:pPr>
        <w:jc w:val="both"/>
      </w:pPr>
      <w:r w:rsidRPr="00E90492">
        <w:t>Operational values include self-determination, family- and consumer-directed supports, community inclusion, and cultural competence. WIHD addresses the longstanding health care disparities faced by people with disabilities. The center was launched by a group of women with disabilities, including WWDC's current director, who believed that they were not receiving necessary health care services</w:t>
      </w:r>
      <w:r>
        <w:t>.</w:t>
      </w:r>
    </w:p>
    <w:p w:rsidR="00E060A7" w:rsidRPr="00625F54" w:rsidRDefault="00E060A7" w:rsidP="00625F54">
      <w:pPr>
        <w:pStyle w:val="Heading2"/>
      </w:pPr>
      <w:bookmarkStart w:id="455" w:name="_Toc421805851"/>
      <w:bookmarkStart w:id="456" w:name="_Toc424669276"/>
      <w:bookmarkStart w:id="457" w:name="_Toc457553307"/>
      <w:bookmarkStart w:id="458" w:name="_Toc418101298"/>
      <w:r w:rsidRPr="00625F54">
        <w:t>Additional American Healt</w:t>
      </w:r>
      <w:r w:rsidR="00625F54">
        <w:t xml:space="preserve">h Care Programs for People with </w:t>
      </w:r>
      <w:r w:rsidRPr="00625F54">
        <w:t>Disabilities</w:t>
      </w:r>
      <w:bookmarkEnd w:id="455"/>
      <w:bookmarkEnd w:id="456"/>
      <w:bookmarkEnd w:id="457"/>
      <w:r w:rsidRPr="00625F54">
        <w:t xml:space="preserve"> </w:t>
      </w:r>
    </w:p>
    <w:p w:rsidR="00E060A7" w:rsidRPr="00E90492" w:rsidRDefault="00E060A7" w:rsidP="00625F54">
      <w:pPr>
        <w:pStyle w:val="Heading3"/>
        <w:rPr>
          <w:rFonts w:eastAsia="Univers 45 Light"/>
          <w:szCs w:val="36"/>
        </w:rPr>
      </w:pPr>
      <w:bookmarkStart w:id="459" w:name="_Toc418101265"/>
      <w:r w:rsidRPr="00E90492">
        <w:rPr>
          <w:rFonts w:eastAsia="Univers 45 Light"/>
        </w:rPr>
        <w:t>Examples of Effective Health Care, Research, and Related Programs for People with Disabilities</w:t>
      </w:r>
      <w:r w:rsidRPr="00E90492">
        <w:rPr>
          <w:rFonts w:eastAsia="Univers 45 Light"/>
          <w:vertAlign w:val="superscript"/>
        </w:rPr>
        <w:footnoteReference w:id="216"/>
      </w:r>
      <w:bookmarkEnd w:id="459"/>
    </w:p>
    <w:p w:rsidR="00E060A7" w:rsidRPr="00E90492" w:rsidRDefault="00E060A7" w:rsidP="00625F54">
      <w:pPr>
        <w:pStyle w:val="Heading4"/>
      </w:pPr>
      <w:bookmarkStart w:id="460" w:name="_Toc418101266"/>
      <w:r w:rsidRPr="00E90492">
        <w:t>AXIS Healthcare, Greater Twin Cities Area, Minnesota</w:t>
      </w:r>
      <w:bookmarkEnd w:id="460"/>
    </w:p>
    <w:p w:rsidR="00E060A7" w:rsidRPr="00E90492" w:rsidRDefault="00E060A7" w:rsidP="00625F54">
      <w:pPr>
        <w:jc w:val="both"/>
      </w:pPr>
      <w:r w:rsidRPr="00E90492">
        <w:t xml:space="preserve">Contracted by a Minnesota Department of Human Services program called Minnesota Disability Health Options (MnDHO) in 2001, AXIS Healthcare founded UCare Complete for Twin Cities area residents with physical disabilities who are between the ages of 18 and 64. The program combines physician, hospital, home care, nursing home care, home- and community-based services, and other care into one coordinated care system </w:t>
      </w:r>
      <w:r w:rsidRPr="00E90492">
        <w:lastRenderedPageBreak/>
        <w:t>that maximizes independence while providing person-centered and person-directed services. The plan was designed because people with disabilities who participated in the Medicaid program in the target counties were experiencing poor access to health care services, were unable to obtain accommodations in health care settings, and found that few health care providers understood their particular needs. This plan covers only people with physical or mobility disabilities—who are often unable to obtain appropriate services in conventional health care settings</w:t>
      </w:r>
    </w:p>
    <w:p w:rsidR="00E060A7" w:rsidRPr="00E90492" w:rsidRDefault="00E060A7" w:rsidP="00625F54">
      <w:pPr>
        <w:jc w:val="both"/>
      </w:pPr>
      <w:r w:rsidRPr="00E90492">
        <w:t>UCare Complete applies the coordinated care approach by addressing the specific needs of more than 1,000 adults with physical disabilities who have voluntarily enrolled in the program, up from 200 in 2004. Each participant works one on one with a nurse to develop an individualized care plan. Examples of services designed to meet individual needs include prearranged personal assistance to undergo diagnostic procedures or to use an exam table, and home or work visits instead of office visits to avoid accessibility problems. A panel of people with disabilities provides ongoing feedback about the program's design and implementation.</w:t>
      </w:r>
    </w:p>
    <w:p w:rsidR="00E060A7" w:rsidRPr="00E90492" w:rsidRDefault="00E060A7" w:rsidP="00625F54">
      <w:pPr>
        <w:jc w:val="both"/>
      </w:pPr>
      <w:r w:rsidRPr="00E90492">
        <w:t>After studying UCare Complete, researchers concluded that care coordination for people with disabilities could achieve the national health objectives expressed in "Healthy People 2010" to close the gap in access to care for people with severe disabilities. Access to disability-competent providers is enhanced through delivery system design, clinician support, self-management support, and clinical information systems. Enrollees become more knowledgeable about the importance of primary and preventive care, and report interactions with their physicians that are more productive.</w:t>
      </w:r>
    </w:p>
    <w:p w:rsidR="00E060A7" w:rsidRPr="00E90492" w:rsidRDefault="00E060A7" w:rsidP="00625F54">
      <w:pPr>
        <w:jc w:val="both"/>
      </w:pPr>
      <w:r w:rsidRPr="00E90492">
        <w:t>Further, UCare Complete holds the important promise of cost-effectiveness. Coordinated health care can be more efficient and effective than the piecemeal care that is typical of non-coordinated systems. AXIS and UCare anticipate cost savings by serving the comprehensi</w:t>
      </w:r>
      <w:r>
        <w:t>ve health needs of individuals.</w:t>
      </w:r>
    </w:p>
    <w:p w:rsidR="00E060A7" w:rsidRPr="00E90492" w:rsidRDefault="00E060A7" w:rsidP="00625F54">
      <w:pPr>
        <w:pStyle w:val="Heading4"/>
      </w:pPr>
      <w:bookmarkStart w:id="461" w:name="_Toc418101267"/>
      <w:r w:rsidRPr="00E90492">
        <w:t>South Dakota Rosebud Developmental Clinic, Sioux Falls, South Dakota</w:t>
      </w:r>
      <w:bookmarkEnd w:id="461"/>
    </w:p>
    <w:p w:rsidR="00E060A7" w:rsidRPr="00E90492" w:rsidRDefault="00E060A7" w:rsidP="00625F54">
      <w:pPr>
        <w:jc w:val="both"/>
      </w:pPr>
      <w:r w:rsidRPr="00E90492">
        <w:t>The South Dakota Rosebud Developmental Clinic operates in conjunction with the Sanford School of Medicine at the University of South Dakota in Sioux Falls, South Dakota. The program was organized 18 years ago to identify children from birth through 5 years of age on the Rosebud Reservation who are at risk for developmental disabilities, provide immediate care through early intervention, and refer them to additional medical services provided by local agencies and facilities.</w:t>
      </w:r>
    </w:p>
    <w:p w:rsidR="00E060A7" w:rsidRPr="00E90492" w:rsidRDefault="00E060A7" w:rsidP="00625F54">
      <w:pPr>
        <w:jc w:val="both"/>
      </w:pPr>
      <w:r w:rsidRPr="00E90492">
        <w:t xml:space="preserve">The clinic operates by sending local staff to the reservation to perform developmental screenings. High-risk children who are identified are referred to the clinic for further evaluation and treatment. Once a month, a team of professionals (psychologist, </w:t>
      </w:r>
      <w:r w:rsidRPr="00E90492">
        <w:lastRenderedPageBreak/>
        <w:t>physical/occupational therapist, speech therapist) and two or three graduate students perform full evaluations for children who are referred to the clinic. Staff members use specific, standardized evaluation methods (e.g., testing motor skills, communication skills, and cognitive/adaptive skills) that allow for flexibility and familial involvement. Children may also see a nutritionist, a developmental physician/pediatrician, and a geneticist at the clinic. After evaluation, an Individual Service Plan (ISP) is created and services are scheduled for eligible children.</w:t>
      </w:r>
    </w:p>
    <w:p w:rsidR="00E060A7" w:rsidRPr="00E90492" w:rsidRDefault="00E060A7" w:rsidP="00625F54">
      <w:pPr>
        <w:jc w:val="both"/>
      </w:pPr>
      <w:r w:rsidRPr="00E90492">
        <w:t>The Rosebud Clinic has been so successful that the model has been duplicated on both the Cheyenne River and Pine Ridge Reservations. Clinics at each of these locations provide services to approximately 8 to 10 children each month. Staff conducts monthly conference calls to pr</w:t>
      </w:r>
      <w:r>
        <w:t>epare for the upcoming clinics.</w:t>
      </w:r>
    </w:p>
    <w:p w:rsidR="00E060A7" w:rsidRPr="00E90492" w:rsidRDefault="00E060A7" w:rsidP="00625F54">
      <w:pPr>
        <w:pStyle w:val="Heading4"/>
      </w:pPr>
      <w:bookmarkStart w:id="462" w:name="_Toc418101269"/>
      <w:r w:rsidRPr="00E90492">
        <w:t>Center for Development and Disability, University of New Mexico, Albuquerque</w:t>
      </w:r>
      <w:bookmarkEnd w:id="462"/>
    </w:p>
    <w:p w:rsidR="00E060A7" w:rsidRPr="00E90492" w:rsidRDefault="00E060A7" w:rsidP="00625F54">
      <w:pPr>
        <w:jc w:val="both"/>
      </w:pPr>
      <w:r w:rsidRPr="00E90492">
        <w:t>A University Center for Excellence in Developmental Disabilities (UCEDD), the Center for Development and Disability (CDD) at the University of New Mexico in Albuquerque is a statewide organization established in 1990 that provides a variety of person- and family-centered health care services for individuals with disabilities, especially developmental disabilities. CDD works for the full community inclusion of people with disabilities and their families by engaging individuals in making life choices, partnering with communities to build resources, and improving syste</w:t>
      </w:r>
      <w:r>
        <w:t>ms of care.</w:t>
      </w:r>
    </w:p>
    <w:p w:rsidR="00E060A7" w:rsidRPr="00E90492" w:rsidRDefault="00E060A7" w:rsidP="00625F54">
      <w:pPr>
        <w:pStyle w:val="Heading4"/>
      </w:pPr>
      <w:bookmarkStart w:id="463" w:name="_Toc418101271"/>
      <w:r w:rsidRPr="00E90492">
        <w:t>Women with Disabilities Center, Rehabilitation Institute of Chicago</w:t>
      </w:r>
      <w:bookmarkEnd w:id="463"/>
    </w:p>
    <w:p w:rsidR="00E060A7" w:rsidRPr="00E90492" w:rsidRDefault="00E060A7" w:rsidP="00E060A7">
      <w:pPr>
        <w:jc w:val="both"/>
      </w:pPr>
      <w:r w:rsidRPr="00E90492">
        <w:t>Founded in 1991, the Women with Disabilities Center (WWDC) of the Rehabilitation Institute of Chicago (RIC) was the country's first community-based health resource center for women with disabilities. WWDC shares staff and space with RIC, which is known nationally for its expertise in physical medicine. The center provides a variety of direct services to women with disabilities and educates the medical community about the needs of this population. WWDC promotes the safety and dignity of women and girls with disabilities, with the aim of helping them practice self-determination in achieving lifelong physical and emotional wellness.</w:t>
      </w:r>
    </w:p>
    <w:p w:rsidR="00E060A7" w:rsidRPr="00E90492" w:rsidRDefault="00E060A7" w:rsidP="00E060A7">
      <w:pPr>
        <w:jc w:val="both"/>
      </w:pPr>
      <w:r w:rsidRPr="00E90492">
        <w:t xml:space="preserve">WWDC recognizes that health care for women with disabilities involves more than clinical services; other direct services are also sometimes needed. For example, WWDC offers free, confidential domestic violence support and information through RIC's Domestic Violence Services Program. The Mentor Program pairs teenage girls and adult women with disabilities and funds regular activities. WWDC also offers a weekly support group that allows women with disabilities to discuss personal and health </w:t>
      </w:r>
      <w:r w:rsidRPr="00E90492">
        <w:lastRenderedPageBreak/>
        <w:t>issues. This group encourages relationships that combat the danger of social isolation and fosters ongoing friendships.</w:t>
      </w:r>
    </w:p>
    <w:p w:rsidR="00E060A7" w:rsidRDefault="00E060A7" w:rsidP="00E060A7">
      <w:pPr>
        <w:jc w:val="both"/>
      </w:pPr>
      <w:r w:rsidRPr="00E90492">
        <w:t>WWDC's outreach component educates members of the area health care community about disability-specific issues and needs. This prong of WWDC's program also partners with Northwestern University to improve the accessibility of mammography providers. In addition, WWDC organizes two free educational seminars each year for health care providers and others concerned with health care for people with disabilities; produces educational publications that are distributed to the broader medical community; and provides technical assistance, information, and advice on treatment and care for individuals with disabilities to diverse health care providers regionally and nationally.</w:t>
      </w:r>
    </w:p>
    <w:p w:rsidR="00E060A7" w:rsidRDefault="00E060A7" w:rsidP="00E060A7">
      <w:pPr>
        <w:jc w:val="both"/>
      </w:pPr>
    </w:p>
    <w:p w:rsidR="00E060A7" w:rsidRPr="00E90492" w:rsidRDefault="00E060A7" w:rsidP="009256DE">
      <w:pPr>
        <w:pStyle w:val="Heading2"/>
      </w:pPr>
      <w:bookmarkStart w:id="464" w:name="_Toc421805852"/>
      <w:bookmarkStart w:id="465" w:name="_Toc424669277"/>
      <w:bookmarkStart w:id="466" w:name="_Toc457553308"/>
      <w:r w:rsidRPr="00E90492">
        <w:t>U</w:t>
      </w:r>
      <w:r>
        <w:t xml:space="preserve">nited </w:t>
      </w:r>
      <w:r w:rsidRPr="00E90492">
        <w:t>K</w:t>
      </w:r>
      <w:bookmarkEnd w:id="458"/>
      <w:r>
        <w:t>ingdom</w:t>
      </w:r>
      <w:bookmarkEnd w:id="464"/>
      <w:bookmarkEnd w:id="465"/>
      <w:bookmarkEnd w:id="466"/>
    </w:p>
    <w:p w:rsidR="00E060A7" w:rsidRPr="00E90492" w:rsidRDefault="00E060A7" w:rsidP="009256DE">
      <w:pPr>
        <w:pStyle w:val="Heading3"/>
        <w:rPr>
          <w:rFonts w:eastAsia="Univers 45 Light"/>
        </w:rPr>
      </w:pPr>
      <w:bookmarkStart w:id="467" w:name="_Toc418101299"/>
      <w:r w:rsidRPr="00E90492">
        <w:rPr>
          <w:rFonts w:eastAsia="Univers 45 Light"/>
        </w:rPr>
        <w:t>Policies and Regulations</w:t>
      </w:r>
      <w:bookmarkEnd w:id="467"/>
    </w:p>
    <w:p w:rsidR="00E060A7" w:rsidRPr="00E90492" w:rsidRDefault="00E060A7" w:rsidP="009256DE">
      <w:pPr>
        <w:pStyle w:val="Heading4"/>
      </w:pPr>
      <w:bookmarkStart w:id="468" w:name="_Toc418101300"/>
      <w:r w:rsidRPr="00E90492">
        <w:t>Disability Discrimination Act</w:t>
      </w:r>
      <w:r>
        <w:t>,</w:t>
      </w:r>
      <w:r w:rsidRPr="00E90492">
        <w:t xml:space="preserve"> 1995</w:t>
      </w:r>
      <w:bookmarkEnd w:id="468"/>
    </w:p>
    <w:p w:rsidR="00E060A7" w:rsidRPr="00E90492" w:rsidRDefault="00E060A7" w:rsidP="009256DE">
      <w:pPr>
        <w:jc w:val="both"/>
      </w:pPr>
      <w:r w:rsidRPr="00E90492">
        <w:t xml:space="preserve">As a direct result of the </w:t>
      </w:r>
      <w:r w:rsidRPr="00E90492">
        <w:rPr>
          <w:i/>
        </w:rPr>
        <w:t>Disability Discrimination Act</w:t>
      </w:r>
      <w:r>
        <w:rPr>
          <w:i/>
        </w:rPr>
        <w:t>,</w:t>
      </w:r>
      <w:r w:rsidRPr="00E90492">
        <w:rPr>
          <w:i/>
        </w:rPr>
        <w:t xml:space="preserve"> 1995</w:t>
      </w:r>
      <w:r w:rsidRPr="00E90492">
        <w:t xml:space="preserve"> (the DDA), it is unlawful to deny access to goods and services to disabled people. From October 1, 2004, it is the statutory duty of providers of services to alter buildings to enable access for all, wherever it is reasonable to do so.</w:t>
      </w:r>
      <w:r>
        <w:t xml:space="preserve"> </w:t>
      </w:r>
      <w:r w:rsidRPr="00E90492">
        <w:t>Service providers who fall within the Act encompass all who provide goods, facilities, or services to the public, whether or not in exchange for payment. Those affected under the Act include banks, sports centres, government departments, community centres, supermarkets, libraries and so on. Employers with 15 or more employees are now under an obligation, under the Act, to review their arrangements against the needs of the disabled, to ensure that accessibility and equal standards are provided. By October 1, 2004, Part III of the Act will come into force. Service Providers and Employers, who fall within the act, must consider the following:</w:t>
      </w:r>
      <w:r w:rsidRPr="00E90492">
        <w:rPr>
          <w:vertAlign w:val="superscript"/>
        </w:rPr>
        <w:footnoteReference w:id="217"/>
      </w:r>
    </w:p>
    <w:p w:rsidR="00E060A7" w:rsidRPr="00E90492" w:rsidRDefault="00E060A7" w:rsidP="00BC5BD4">
      <w:pPr>
        <w:pStyle w:val="ListParagraph"/>
        <w:numPr>
          <w:ilvl w:val="0"/>
          <w:numId w:val="81"/>
        </w:numPr>
      </w:pPr>
      <w:r w:rsidRPr="00E90492">
        <w:t>Undertake an access audit</w:t>
      </w:r>
    </w:p>
    <w:p w:rsidR="00E060A7" w:rsidRPr="00E90492" w:rsidRDefault="00E060A7" w:rsidP="00BC5BD4">
      <w:pPr>
        <w:pStyle w:val="ListParagraph"/>
        <w:numPr>
          <w:ilvl w:val="0"/>
          <w:numId w:val="81"/>
        </w:numPr>
      </w:pPr>
      <w:r w:rsidRPr="00E90492">
        <w:t>Identify what work is required and provide budget costing</w:t>
      </w:r>
    </w:p>
    <w:p w:rsidR="00E060A7" w:rsidRPr="00E90492" w:rsidRDefault="00E060A7" w:rsidP="00BC5BD4">
      <w:pPr>
        <w:pStyle w:val="ListParagraph"/>
        <w:numPr>
          <w:ilvl w:val="0"/>
          <w:numId w:val="81"/>
        </w:numPr>
      </w:pPr>
      <w:r w:rsidRPr="00E90492">
        <w:t>Implement a programme of alteration works</w:t>
      </w:r>
    </w:p>
    <w:p w:rsidR="00E060A7" w:rsidRPr="00E90492" w:rsidRDefault="00E060A7" w:rsidP="00BC5BD4">
      <w:pPr>
        <w:pStyle w:val="ListParagraph"/>
        <w:numPr>
          <w:ilvl w:val="0"/>
          <w:numId w:val="81"/>
        </w:numPr>
      </w:pPr>
      <w:r w:rsidRPr="00E90492">
        <w:t>Design and administer the alteration works</w:t>
      </w:r>
    </w:p>
    <w:p w:rsidR="00E060A7" w:rsidRPr="00E90492" w:rsidRDefault="00E060A7" w:rsidP="00BC5BD4">
      <w:pPr>
        <w:pStyle w:val="ListParagraph"/>
        <w:numPr>
          <w:ilvl w:val="0"/>
          <w:numId w:val="81"/>
        </w:numPr>
      </w:pPr>
      <w:r w:rsidRPr="00E90492">
        <w:t>Obtain landlords approval</w:t>
      </w:r>
    </w:p>
    <w:p w:rsidR="00E060A7" w:rsidRPr="00E90492" w:rsidRDefault="00E060A7" w:rsidP="00BC5BD4">
      <w:pPr>
        <w:pStyle w:val="ListParagraph"/>
        <w:numPr>
          <w:ilvl w:val="0"/>
          <w:numId w:val="81"/>
        </w:numPr>
      </w:pPr>
      <w:r w:rsidRPr="00E90492">
        <w:t>Obtain Building Regulations Approval</w:t>
      </w:r>
    </w:p>
    <w:p w:rsidR="00E060A7" w:rsidRPr="00E90492" w:rsidRDefault="00E060A7" w:rsidP="00BC5BD4">
      <w:pPr>
        <w:pStyle w:val="ListParagraph"/>
        <w:numPr>
          <w:ilvl w:val="0"/>
          <w:numId w:val="81"/>
        </w:numPr>
      </w:pPr>
      <w:r w:rsidRPr="00E90492">
        <w:t>Obtain necessary planning consents</w:t>
      </w:r>
    </w:p>
    <w:p w:rsidR="00E060A7" w:rsidRPr="00E90492" w:rsidRDefault="00E060A7" w:rsidP="009256DE">
      <w:pPr>
        <w:pStyle w:val="Heading4"/>
      </w:pPr>
      <w:bookmarkStart w:id="469" w:name="_Toc418101301"/>
      <w:r w:rsidRPr="00E90492">
        <w:lastRenderedPageBreak/>
        <w:t>Disability Discrimination Act 2005</w:t>
      </w:r>
      <w:bookmarkEnd w:id="469"/>
    </w:p>
    <w:p w:rsidR="00E060A7" w:rsidRPr="00E90492" w:rsidRDefault="00E060A7" w:rsidP="009256DE">
      <w:pPr>
        <w:jc w:val="both"/>
      </w:pPr>
      <w:r w:rsidRPr="00E90492">
        <w:t>Designed to extend rights for disabled people, and clarify and extend provisions of the DDA</w:t>
      </w:r>
      <w:r>
        <w:t>,</w:t>
      </w:r>
      <w:r w:rsidRPr="00E90492">
        <w:t xml:space="preserve"> 1995. It extends the definition of disability, and gives protection against discrimination for people in public service, such as councillors.</w:t>
      </w:r>
      <w:r>
        <w:t xml:space="preserve"> </w:t>
      </w:r>
      <w:r w:rsidRPr="00E90492">
        <w:t>There are strong new disability equality duties for the public sector in delivering its services. Amendments on housing ad</w:t>
      </w:r>
      <w:r>
        <w:t>aptations are also introduced.</w:t>
      </w:r>
      <w:r w:rsidRPr="00E90492">
        <w:rPr>
          <w:vertAlign w:val="superscript"/>
        </w:rPr>
        <w:footnoteReference w:id="218"/>
      </w:r>
    </w:p>
    <w:p w:rsidR="00E060A7" w:rsidRPr="00E90492" w:rsidRDefault="00E060A7" w:rsidP="009256DE">
      <w:pPr>
        <w:pStyle w:val="Heading4"/>
      </w:pPr>
      <w:bookmarkStart w:id="470" w:name="_Toc418101302"/>
      <w:r w:rsidRPr="00E90492">
        <w:t>Building Act</w:t>
      </w:r>
      <w:r>
        <w:t>,</w:t>
      </w:r>
      <w:r w:rsidRPr="00E90492">
        <w:t xml:space="preserve"> 1984</w:t>
      </w:r>
      <w:bookmarkEnd w:id="470"/>
    </w:p>
    <w:p w:rsidR="00E060A7" w:rsidRPr="00F83E32" w:rsidRDefault="00E060A7" w:rsidP="009256DE">
      <w:pPr>
        <w:jc w:val="both"/>
      </w:pPr>
      <w:r w:rsidRPr="00F83E32">
        <w:t>The Building Act</w:t>
      </w:r>
      <w:r>
        <w:t>,</w:t>
      </w:r>
      <w:r w:rsidRPr="00F83E32">
        <w:t xml:space="preserve"> 1984 is the primary legislation under which the Building Regulations and other secondary legislation are made.</w:t>
      </w:r>
      <w:r w:rsidRPr="00F83E32">
        <w:footnoteReference w:id="219"/>
      </w:r>
      <w:r w:rsidRPr="00F83E32">
        <w:t xml:space="preserve"> The many powers of the Building Act 1984 include:</w:t>
      </w:r>
    </w:p>
    <w:p w:rsidR="00E060A7" w:rsidRPr="00196043" w:rsidRDefault="00E060A7" w:rsidP="00BC5BD4">
      <w:pPr>
        <w:pStyle w:val="ListParagraph"/>
        <w:numPr>
          <w:ilvl w:val="0"/>
          <w:numId w:val="82"/>
        </w:numPr>
      </w:pPr>
      <w:r w:rsidRPr="00196043">
        <w:t>Setting the status of Approved Documents</w:t>
      </w:r>
    </w:p>
    <w:p w:rsidR="00E060A7" w:rsidRPr="00196043" w:rsidRDefault="00E060A7" w:rsidP="00BC5BD4">
      <w:pPr>
        <w:pStyle w:val="ListParagraph"/>
        <w:numPr>
          <w:ilvl w:val="0"/>
          <w:numId w:val="82"/>
        </w:numPr>
      </w:pPr>
      <w:r w:rsidRPr="00196043">
        <w:t>Dangerous structures</w:t>
      </w:r>
    </w:p>
    <w:p w:rsidR="00E060A7" w:rsidRPr="00196043" w:rsidRDefault="00E060A7" w:rsidP="00BC5BD4">
      <w:pPr>
        <w:pStyle w:val="ListParagraph"/>
        <w:numPr>
          <w:ilvl w:val="0"/>
          <w:numId w:val="82"/>
        </w:numPr>
      </w:pPr>
      <w:r w:rsidRPr="00196043">
        <w:t>Demolition of buildings</w:t>
      </w:r>
    </w:p>
    <w:p w:rsidR="00E060A7" w:rsidRPr="00196043" w:rsidRDefault="00E060A7" w:rsidP="00BC5BD4">
      <w:pPr>
        <w:pStyle w:val="ListParagraph"/>
        <w:numPr>
          <w:ilvl w:val="0"/>
          <w:numId w:val="82"/>
        </w:numPr>
      </w:pPr>
      <w:r w:rsidRPr="00196043">
        <w:t>The role of Approved Inspectors</w:t>
      </w:r>
    </w:p>
    <w:p w:rsidR="00E060A7" w:rsidRPr="00196043" w:rsidRDefault="00E060A7" w:rsidP="00BC5BD4">
      <w:pPr>
        <w:pStyle w:val="ListParagraph"/>
        <w:numPr>
          <w:ilvl w:val="0"/>
          <w:numId w:val="82"/>
        </w:numPr>
      </w:pPr>
      <w:r w:rsidRPr="00196043">
        <w:t>Enforcement of Building Regulations</w:t>
      </w:r>
    </w:p>
    <w:p w:rsidR="00E060A7" w:rsidRPr="00196043" w:rsidRDefault="00E060A7" w:rsidP="00BC5BD4">
      <w:pPr>
        <w:pStyle w:val="ListParagraph"/>
        <w:numPr>
          <w:ilvl w:val="0"/>
          <w:numId w:val="82"/>
        </w:numPr>
      </w:pPr>
      <w:r w:rsidRPr="00196043">
        <w:t>Powers of entry to premises</w:t>
      </w:r>
    </w:p>
    <w:p w:rsidR="00E060A7" w:rsidRPr="00E90492" w:rsidRDefault="00E060A7" w:rsidP="009256DE">
      <w:pPr>
        <w:pStyle w:val="Heading4"/>
      </w:pPr>
      <w:bookmarkStart w:id="471" w:name="_Toc418101303"/>
      <w:r w:rsidRPr="00E90492">
        <w:t>BS8300 "The Design of Buildings and their approaches to meet the needs of Disabled People - Code of Practice"</w:t>
      </w:r>
      <w:bookmarkEnd w:id="471"/>
    </w:p>
    <w:p w:rsidR="00E060A7" w:rsidRPr="00E90492" w:rsidRDefault="00E060A7" w:rsidP="009256DE">
      <w:pPr>
        <w:jc w:val="both"/>
      </w:pPr>
      <w:r w:rsidRPr="00E90492">
        <w:t>A comprehensive design guide which updates a great deal of technical information and dimensions from Part M Building Regulations, and fills in a number of gaps left by Part M. Intended to apply to new build, this is also a valuable benchmark, with detailed dimensions and design considerations that can apply to recommended adaptations to existing buildings. It was issued in 2002, and formed the basis for extended Code of Practice for DDA, and altered Part M</w:t>
      </w:r>
      <w:r>
        <w:t>.</w:t>
      </w:r>
      <w:r w:rsidRPr="00E90492">
        <w:rPr>
          <w:vertAlign w:val="superscript"/>
        </w:rPr>
        <w:footnoteReference w:id="220"/>
      </w:r>
      <w:r w:rsidRPr="00196043">
        <w:rPr>
          <w:vertAlign w:val="superscript"/>
        </w:rPr>
        <w:t xml:space="preserve">, </w:t>
      </w:r>
      <w:r w:rsidRPr="00E90492">
        <w:rPr>
          <w:vertAlign w:val="superscript"/>
        </w:rPr>
        <w:footnoteReference w:id="221"/>
      </w:r>
      <w:r w:rsidRPr="00E90492">
        <w:t>.</w:t>
      </w:r>
    </w:p>
    <w:p w:rsidR="00E060A7" w:rsidRPr="00E90492" w:rsidRDefault="00E060A7" w:rsidP="009256DE">
      <w:pPr>
        <w:pStyle w:val="Heading4"/>
      </w:pPr>
      <w:bookmarkStart w:id="472" w:name="_Toc418101304"/>
      <w:r w:rsidRPr="00E90492">
        <w:t>The Building Regulations</w:t>
      </w:r>
      <w:r>
        <w:t>,</w:t>
      </w:r>
      <w:r w:rsidRPr="00E90492">
        <w:t xml:space="preserve"> 2010</w:t>
      </w:r>
      <w:bookmarkEnd w:id="472"/>
    </w:p>
    <w:p w:rsidR="00E060A7" w:rsidRPr="00E90492" w:rsidRDefault="00E060A7" w:rsidP="009256DE">
      <w:pPr>
        <w:jc w:val="both"/>
      </w:pPr>
      <w:r w:rsidRPr="00E90492">
        <w:t>The</w:t>
      </w:r>
      <w:r>
        <w:t xml:space="preserve"> Building Regulations comprise:</w:t>
      </w:r>
      <w:r w:rsidRPr="00E90492">
        <w:rPr>
          <w:vertAlign w:val="superscript"/>
        </w:rPr>
        <w:footnoteReference w:id="222"/>
      </w:r>
    </w:p>
    <w:p w:rsidR="00E060A7" w:rsidRPr="00E90492" w:rsidRDefault="00E060A7" w:rsidP="00BC5BD4">
      <w:pPr>
        <w:pStyle w:val="ListParagraph"/>
        <w:numPr>
          <w:ilvl w:val="0"/>
          <w:numId w:val="82"/>
        </w:numPr>
      </w:pPr>
      <w:r w:rsidRPr="00E90492">
        <w:t>Procedural regulations that set out what kind of work needs Building Regulations approval and how that approval should be obtained</w:t>
      </w:r>
    </w:p>
    <w:p w:rsidR="00E060A7" w:rsidRPr="00E90492" w:rsidRDefault="00E060A7" w:rsidP="00BC5BD4">
      <w:pPr>
        <w:pStyle w:val="ListParagraph"/>
        <w:numPr>
          <w:ilvl w:val="0"/>
          <w:numId w:val="82"/>
        </w:numPr>
      </w:pPr>
      <w:r w:rsidRPr="00E90492">
        <w:lastRenderedPageBreak/>
        <w:t>Technical requirements that set the standards that should be achieved by the building work.</w:t>
      </w:r>
    </w:p>
    <w:p w:rsidR="00E060A7" w:rsidRPr="00E90492" w:rsidRDefault="00E060A7" w:rsidP="00BC5BD4">
      <w:pPr>
        <w:pStyle w:val="ListParagraph"/>
        <w:numPr>
          <w:ilvl w:val="0"/>
          <w:numId w:val="82"/>
        </w:numPr>
      </w:pPr>
      <w:r w:rsidRPr="00E90492">
        <w:t>An overview of the technical requirements can be found on this site, but the Regulations themselves should be consulted for the details and to ensure that the obligations under them are understood.</w:t>
      </w:r>
    </w:p>
    <w:p w:rsidR="00E060A7" w:rsidRPr="00E90492" w:rsidRDefault="00E060A7" w:rsidP="009256DE">
      <w:pPr>
        <w:pStyle w:val="Heading4"/>
      </w:pPr>
      <w:bookmarkStart w:id="473" w:name="_Toc418101305"/>
      <w:r w:rsidRPr="00E90492">
        <w:t>Part M of the Building Regulations</w:t>
      </w:r>
      <w:bookmarkEnd w:id="473"/>
    </w:p>
    <w:p w:rsidR="00E060A7" w:rsidRPr="00E90492" w:rsidRDefault="00E060A7" w:rsidP="009256DE">
      <w:pPr>
        <w:jc w:val="both"/>
      </w:pPr>
      <w:r>
        <w:t>A</w:t>
      </w:r>
      <w:r w:rsidRPr="00E90492">
        <w:t xml:space="preserve"> revised docume</w:t>
      </w:r>
      <w:r>
        <w:t xml:space="preserve">nt, effective from </w:t>
      </w:r>
      <w:r w:rsidRPr="00E90492">
        <w:t>May 2004 for extension and amendments based on recommendations of BS8300. Both the requirements of Part M and the text of the Approved Document now reflect largely the notion that people's abilities are not uni-dimensional and change over time and with family and personal circumstances. They clearly signal a move away from the narrow aim of making buildings accessible to, and usable by, disabled people towards an aim to make buildings accessible to, and usable by, everyone - including people with disabilities. Much closer dovetailing with the aims of the Disability Discrimination Act</w:t>
      </w:r>
      <w:r>
        <w:t>,</w:t>
      </w:r>
      <w:r w:rsidRPr="00E90492">
        <w:t xml:space="preserve"> 1995, and good practice access design guides included rather than the outdated minimum standards in old Part M.</w:t>
      </w:r>
      <w:r w:rsidRPr="00E90492">
        <w:rPr>
          <w:vertAlign w:val="superscript"/>
        </w:rPr>
        <w:footnoteReference w:id="223"/>
      </w:r>
      <w:r w:rsidRPr="00196043">
        <w:rPr>
          <w:vertAlign w:val="superscript"/>
        </w:rPr>
        <w:t>,</w:t>
      </w:r>
      <w:r w:rsidRPr="00E90492">
        <w:rPr>
          <w:vertAlign w:val="superscript"/>
        </w:rPr>
        <w:footnoteReference w:id="224"/>
      </w:r>
    </w:p>
    <w:p w:rsidR="00E060A7" w:rsidRPr="002E3432" w:rsidRDefault="00E060A7" w:rsidP="009256DE">
      <w:pPr>
        <w:pStyle w:val="Heading4"/>
      </w:pPr>
      <w:bookmarkStart w:id="474" w:name="_Toc418101306"/>
      <w:r w:rsidRPr="002E3432">
        <w:t>Statutory Guidance for L</w:t>
      </w:r>
      <w:r>
        <w:t>ocal Authorities and NHS Organis</w:t>
      </w:r>
      <w:r w:rsidRPr="002E3432">
        <w:t>ations to Support Implementation of the Autism Strategy under Autism Act, 2009</w:t>
      </w:r>
      <w:r w:rsidRPr="002E3432">
        <w:rPr>
          <w:vertAlign w:val="superscript"/>
        </w:rPr>
        <w:footnoteReference w:id="225"/>
      </w:r>
      <w:bookmarkEnd w:id="474"/>
    </w:p>
    <w:p w:rsidR="00E060A7" w:rsidRPr="00E90492" w:rsidRDefault="00E060A7" w:rsidP="009256DE">
      <w:pPr>
        <w:autoSpaceDE w:val="0"/>
        <w:autoSpaceDN w:val="0"/>
        <w:adjustRightInd w:val="0"/>
        <w:jc w:val="both"/>
      </w:pPr>
      <w:r w:rsidRPr="00E90492">
        <w:t xml:space="preserve">As set out in section 3 of the </w:t>
      </w:r>
      <w:r w:rsidRPr="00E90492">
        <w:rPr>
          <w:i/>
        </w:rPr>
        <w:t>Autism Act</w:t>
      </w:r>
      <w:r w:rsidRPr="00E90492">
        <w:t xml:space="preserve"> 2009, it is to be treated as though it were guidance issued under section 7 of the </w:t>
      </w:r>
      <w:r w:rsidRPr="00E90492">
        <w:rPr>
          <w:i/>
        </w:rPr>
        <w:t>Local Authority Social Service Act</w:t>
      </w:r>
      <w:r w:rsidRPr="00E90492">
        <w:t xml:space="preserve"> 1970 (LASS Act). This means that local authorities must “follow the path charted by the guidance, with liberty to deviate from it where the authority judges on admissible grounds that there is good reason to do so, but without freedom to take a s</w:t>
      </w:r>
      <w:r>
        <w:t xml:space="preserve">ubstantially different course.” </w:t>
      </w:r>
      <w:r w:rsidRPr="00E90492">
        <w:t>However, as required by the Act, this guidance focuses only on health and social care, and provides the next step towards delivering a system that provides personalised care for all adults with autism that reflects their health and care needs, supports carers, and encourages strong joint arran</w:t>
      </w:r>
      <w:r>
        <w:t xml:space="preserve">gements and local partnerships. </w:t>
      </w:r>
      <w:r w:rsidRPr="00E90492">
        <w:t>In particular, this guidance sets out how health and social care services can:</w:t>
      </w:r>
    </w:p>
    <w:p w:rsidR="00E060A7" w:rsidRPr="00E90492" w:rsidRDefault="00E060A7" w:rsidP="00BC5BD4">
      <w:pPr>
        <w:pStyle w:val="ListParagraph"/>
        <w:numPr>
          <w:ilvl w:val="0"/>
          <w:numId w:val="82"/>
        </w:numPr>
      </w:pPr>
      <w:r>
        <w:t>I</w:t>
      </w:r>
      <w:r w:rsidRPr="00E90492">
        <w:t>mprove the way they identify the needs of adults with autism, and</w:t>
      </w:r>
    </w:p>
    <w:p w:rsidR="00E060A7" w:rsidRPr="00375981" w:rsidRDefault="00E060A7" w:rsidP="00BC5BD4">
      <w:pPr>
        <w:pStyle w:val="ListParagraph"/>
        <w:numPr>
          <w:ilvl w:val="0"/>
          <w:numId w:val="82"/>
        </w:numPr>
      </w:pPr>
      <w:r>
        <w:t>I</w:t>
      </w:r>
      <w:r w:rsidRPr="00E90492">
        <w:t>ncorporate those identified needs more effectively into local service planning and commissioning, so that adults with autism and their carers are better able to make relevant choices about their care.</w:t>
      </w:r>
    </w:p>
    <w:p w:rsidR="00E060A7" w:rsidRPr="00E90492" w:rsidRDefault="00E060A7" w:rsidP="009256DE">
      <w:pPr>
        <w:autoSpaceDE w:val="0"/>
        <w:autoSpaceDN w:val="0"/>
        <w:adjustRightInd w:val="0"/>
        <w:jc w:val="both"/>
      </w:pPr>
      <w:r w:rsidRPr="00E90492">
        <w:t>It deals with the following aspects of providing health services and care:</w:t>
      </w:r>
    </w:p>
    <w:p w:rsidR="00E060A7" w:rsidRPr="00E90492" w:rsidRDefault="00E060A7" w:rsidP="00BC5BD4">
      <w:pPr>
        <w:pStyle w:val="ListParagraph"/>
        <w:numPr>
          <w:ilvl w:val="0"/>
          <w:numId w:val="82"/>
        </w:numPr>
      </w:pPr>
      <w:r w:rsidRPr="00E90492">
        <w:lastRenderedPageBreak/>
        <w:t xml:space="preserve">Training of staff who provide services to adults with autism </w:t>
      </w:r>
    </w:p>
    <w:p w:rsidR="00E060A7" w:rsidRPr="00E90492" w:rsidRDefault="00E060A7" w:rsidP="00BC5BD4">
      <w:pPr>
        <w:pStyle w:val="ListParagraph"/>
        <w:numPr>
          <w:ilvl w:val="0"/>
          <w:numId w:val="82"/>
        </w:numPr>
      </w:pPr>
      <w:r w:rsidRPr="00E90492">
        <w:t>Identification and diagnosis of autism in adults, leading to assessment of needs for relevant services</w:t>
      </w:r>
    </w:p>
    <w:p w:rsidR="00E060A7" w:rsidRPr="00E90492" w:rsidRDefault="00E060A7" w:rsidP="00BC5BD4">
      <w:pPr>
        <w:pStyle w:val="ListParagraph"/>
        <w:numPr>
          <w:ilvl w:val="0"/>
          <w:numId w:val="82"/>
        </w:numPr>
      </w:pPr>
      <w:r w:rsidRPr="00E90492">
        <w:t>Planning in relation to the provision of services to people with autism as they move from being children to adults</w:t>
      </w:r>
    </w:p>
    <w:p w:rsidR="00E060A7" w:rsidRPr="00E90492" w:rsidRDefault="00E060A7" w:rsidP="00BC5BD4">
      <w:pPr>
        <w:pStyle w:val="ListParagraph"/>
        <w:numPr>
          <w:ilvl w:val="0"/>
          <w:numId w:val="82"/>
        </w:numPr>
      </w:pPr>
      <w:r w:rsidRPr="00E90492">
        <w:t>Local planning and leadership in relation to the provision of services for adults with autism</w:t>
      </w:r>
    </w:p>
    <w:p w:rsidR="00E060A7" w:rsidRPr="00E90492" w:rsidRDefault="00E060A7" w:rsidP="009256DE">
      <w:pPr>
        <w:pStyle w:val="Heading4"/>
      </w:pPr>
      <w:bookmarkStart w:id="475" w:name="_Toc418101307"/>
      <w:r w:rsidRPr="00E90492">
        <w:t>Equality Act, 2010</w:t>
      </w:r>
      <w:bookmarkEnd w:id="475"/>
    </w:p>
    <w:p w:rsidR="00E060A7" w:rsidRDefault="00E060A7" w:rsidP="009256DE">
      <w:pPr>
        <w:jc w:val="both"/>
        <w:rPr>
          <w:rFonts w:cs="Arial"/>
          <w:szCs w:val="20"/>
        </w:rPr>
      </w:pPr>
      <w:r w:rsidRPr="00E90492">
        <w:rPr>
          <w:rFonts w:cs="Arial"/>
          <w:szCs w:val="20"/>
        </w:rPr>
        <w:t xml:space="preserve">The </w:t>
      </w:r>
      <w:r w:rsidRPr="00E90492">
        <w:rPr>
          <w:rFonts w:cs="Arial"/>
          <w:i/>
          <w:szCs w:val="20"/>
        </w:rPr>
        <w:t>Equality Act</w:t>
      </w:r>
      <w:r>
        <w:rPr>
          <w:rFonts w:cs="Arial"/>
          <w:i/>
          <w:szCs w:val="20"/>
        </w:rPr>
        <w:t>,</w:t>
      </w:r>
      <w:r w:rsidRPr="00E90492">
        <w:rPr>
          <w:rFonts w:cs="Arial"/>
          <w:szCs w:val="20"/>
        </w:rPr>
        <w:t xml:space="preserve"> 2010 offers protection to the following nine characteristics:</w:t>
      </w:r>
      <w:r w:rsidRPr="00E90492">
        <w:rPr>
          <w:vertAlign w:val="superscript"/>
        </w:rPr>
        <w:footnoteReference w:id="226"/>
      </w:r>
    </w:p>
    <w:p w:rsidR="00625F54" w:rsidRPr="00625F54" w:rsidRDefault="00625F54" w:rsidP="00BC5BD4">
      <w:pPr>
        <w:pStyle w:val="ListParagraph"/>
        <w:numPr>
          <w:ilvl w:val="0"/>
          <w:numId w:val="83"/>
        </w:numPr>
        <w:rPr>
          <w:lang w:val="en-US" w:eastAsia="en-US"/>
        </w:rPr>
      </w:pPr>
      <w:r w:rsidRPr="00625F54">
        <w:rPr>
          <w:lang w:val="en-US" w:eastAsia="en-US"/>
        </w:rPr>
        <w:t>Age</w:t>
      </w:r>
    </w:p>
    <w:p w:rsidR="00625F54" w:rsidRPr="00625F54" w:rsidRDefault="00625F54" w:rsidP="00BC5BD4">
      <w:pPr>
        <w:pStyle w:val="ListParagraph"/>
        <w:numPr>
          <w:ilvl w:val="0"/>
          <w:numId w:val="83"/>
        </w:numPr>
        <w:rPr>
          <w:lang w:val="en-US" w:eastAsia="en-US"/>
        </w:rPr>
      </w:pPr>
      <w:r w:rsidRPr="00625F54">
        <w:rPr>
          <w:lang w:val="en-US" w:eastAsia="en-US"/>
        </w:rPr>
        <w:t>Race</w:t>
      </w:r>
    </w:p>
    <w:p w:rsidR="00625F54" w:rsidRPr="00625F54" w:rsidRDefault="00625F54" w:rsidP="00BC5BD4">
      <w:pPr>
        <w:pStyle w:val="ListParagraph"/>
        <w:numPr>
          <w:ilvl w:val="0"/>
          <w:numId w:val="83"/>
        </w:numPr>
        <w:rPr>
          <w:lang w:val="en-US" w:eastAsia="en-US"/>
        </w:rPr>
      </w:pPr>
      <w:r w:rsidRPr="00625F54">
        <w:rPr>
          <w:lang w:val="en-US" w:eastAsia="en-US"/>
        </w:rPr>
        <w:t>Sex</w:t>
      </w:r>
    </w:p>
    <w:p w:rsidR="00625F54" w:rsidRPr="00625F54" w:rsidRDefault="00625F54" w:rsidP="00BC5BD4">
      <w:pPr>
        <w:pStyle w:val="ListParagraph"/>
        <w:numPr>
          <w:ilvl w:val="0"/>
          <w:numId w:val="83"/>
        </w:numPr>
        <w:rPr>
          <w:lang w:val="en-US" w:eastAsia="en-US"/>
        </w:rPr>
      </w:pPr>
      <w:r w:rsidRPr="00625F54">
        <w:rPr>
          <w:lang w:val="en-US" w:eastAsia="en-US"/>
        </w:rPr>
        <w:t>Gender reassignment status</w:t>
      </w:r>
    </w:p>
    <w:p w:rsidR="00625F54" w:rsidRPr="00625F54" w:rsidRDefault="00625F54" w:rsidP="00BC5BD4">
      <w:pPr>
        <w:pStyle w:val="ListParagraph"/>
        <w:numPr>
          <w:ilvl w:val="0"/>
          <w:numId w:val="83"/>
        </w:numPr>
        <w:rPr>
          <w:rFonts w:cs="Arial"/>
        </w:rPr>
      </w:pPr>
      <w:r w:rsidRPr="00625F54">
        <w:rPr>
          <w:lang w:val="en-US" w:eastAsia="en-US"/>
        </w:rPr>
        <w:t>Disability</w:t>
      </w:r>
    </w:p>
    <w:p w:rsidR="00625F54" w:rsidRPr="00625F54" w:rsidRDefault="00625F54" w:rsidP="00BC5BD4">
      <w:pPr>
        <w:pStyle w:val="ListParagraph"/>
        <w:numPr>
          <w:ilvl w:val="0"/>
          <w:numId w:val="83"/>
        </w:numPr>
        <w:rPr>
          <w:lang w:val="en-US" w:eastAsia="en-US"/>
        </w:rPr>
      </w:pPr>
      <w:r w:rsidRPr="00625F54">
        <w:rPr>
          <w:lang w:val="en-US" w:eastAsia="en-US"/>
        </w:rPr>
        <w:t>Religion or belief</w:t>
      </w:r>
    </w:p>
    <w:p w:rsidR="00625F54" w:rsidRPr="00625F54" w:rsidRDefault="00625F54" w:rsidP="00BC5BD4">
      <w:pPr>
        <w:pStyle w:val="ListParagraph"/>
        <w:numPr>
          <w:ilvl w:val="0"/>
          <w:numId w:val="83"/>
        </w:numPr>
        <w:rPr>
          <w:lang w:val="en-US" w:eastAsia="en-US"/>
        </w:rPr>
      </w:pPr>
      <w:r w:rsidRPr="00625F54">
        <w:rPr>
          <w:lang w:val="en-US" w:eastAsia="en-US"/>
        </w:rPr>
        <w:t>Sexual orientation</w:t>
      </w:r>
    </w:p>
    <w:p w:rsidR="00625F54" w:rsidRPr="00625F54" w:rsidRDefault="00625F54" w:rsidP="00BC5BD4">
      <w:pPr>
        <w:pStyle w:val="ListParagraph"/>
        <w:numPr>
          <w:ilvl w:val="0"/>
          <w:numId w:val="83"/>
        </w:numPr>
        <w:rPr>
          <w:lang w:val="en-US" w:eastAsia="en-US"/>
        </w:rPr>
      </w:pPr>
      <w:r w:rsidRPr="00625F54">
        <w:rPr>
          <w:lang w:val="en-US" w:eastAsia="en-US"/>
        </w:rPr>
        <w:t>Marriage and civil partnership status</w:t>
      </w:r>
    </w:p>
    <w:p w:rsidR="00625F54" w:rsidRPr="00625F54" w:rsidRDefault="00625F54" w:rsidP="00BC5BD4">
      <w:pPr>
        <w:pStyle w:val="ListParagraph"/>
        <w:numPr>
          <w:ilvl w:val="0"/>
          <w:numId w:val="83"/>
        </w:numPr>
        <w:rPr>
          <w:rFonts w:cs="Arial"/>
        </w:rPr>
      </w:pPr>
      <w:r w:rsidRPr="00625F54">
        <w:rPr>
          <w:lang w:val="en-US" w:eastAsia="en-US"/>
        </w:rPr>
        <w:t>Pregnancy and maternity</w:t>
      </w:r>
    </w:p>
    <w:p w:rsidR="00E060A7" w:rsidRDefault="00E060A7" w:rsidP="009256DE">
      <w:pPr>
        <w:spacing w:after="120"/>
        <w:jc w:val="both"/>
        <w:rPr>
          <w:rFonts w:cs="Arial"/>
          <w:szCs w:val="20"/>
        </w:rPr>
      </w:pPr>
      <w:r w:rsidRPr="00E90492">
        <w:rPr>
          <w:rFonts w:cs="Arial"/>
          <w:szCs w:val="20"/>
        </w:rPr>
        <w:t xml:space="preserve">The law also protects people who are at risk of discrimination by association or perception. This could include, for example, a carer who looks after a disabled </w:t>
      </w:r>
      <w:r>
        <w:rPr>
          <w:rFonts w:cs="Arial"/>
          <w:szCs w:val="20"/>
        </w:rPr>
        <w:t xml:space="preserve">person. </w:t>
      </w:r>
    </w:p>
    <w:p w:rsidR="00E060A7" w:rsidRPr="00E90492" w:rsidRDefault="00E060A7" w:rsidP="009256DE">
      <w:pPr>
        <w:spacing w:after="120"/>
        <w:jc w:val="both"/>
        <w:rPr>
          <w:rFonts w:cs="Arial"/>
          <w:szCs w:val="20"/>
        </w:rPr>
      </w:pPr>
      <w:r w:rsidRPr="00E90492">
        <w:rPr>
          <w:rFonts w:cs="Arial"/>
          <w:szCs w:val="20"/>
        </w:rPr>
        <w:t xml:space="preserve">Health and social care services covered by the laws under the </w:t>
      </w:r>
      <w:r w:rsidRPr="00E90492">
        <w:rPr>
          <w:rFonts w:cs="Arial"/>
          <w:i/>
          <w:szCs w:val="20"/>
        </w:rPr>
        <w:t>Equality Act</w:t>
      </w:r>
      <w:r w:rsidRPr="00E90492">
        <w:rPr>
          <w:rFonts w:cs="Arial"/>
          <w:szCs w:val="20"/>
        </w:rPr>
        <w:t xml:space="preserve"> 2010 include:</w:t>
      </w:r>
    </w:p>
    <w:p w:rsidR="00E060A7" w:rsidRPr="00E90492" w:rsidRDefault="00E060A7" w:rsidP="00BC5BD4">
      <w:pPr>
        <w:pStyle w:val="ListParagraph"/>
        <w:numPr>
          <w:ilvl w:val="0"/>
          <w:numId w:val="82"/>
        </w:numPr>
      </w:pPr>
      <w:r w:rsidRPr="00E90492">
        <w:t>All NHS providers (e.g. hospitals)</w:t>
      </w:r>
    </w:p>
    <w:p w:rsidR="00E060A7" w:rsidRPr="00E90492" w:rsidRDefault="00E060A7" w:rsidP="00BC5BD4">
      <w:pPr>
        <w:pStyle w:val="ListParagraph"/>
        <w:numPr>
          <w:ilvl w:val="0"/>
          <w:numId w:val="82"/>
        </w:numPr>
      </w:pPr>
      <w:r w:rsidRPr="00E90492">
        <w:t>All NHS commissioners (e.g. GP practices)</w:t>
      </w:r>
    </w:p>
    <w:p w:rsidR="00E060A7" w:rsidRPr="00E90492" w:rsidRDefault="00E060A7" w:rsidP="00BC5BD4">
      <w:pPr>
        <w:pStyle w:val="ListParagraph"/>
        <w:numPr>
          <w:ilvl w:val="0"/>
          <w:numId w:val="82"/>
        </w:numPr>
      </w:pPr>
      <w:r w:rsidRPr="00E90492">
        <w:t>Those supporting elderly and disabled people in their homes</w:t>
      </w:r>
    </w:p>
    <w:p w:rsidR="00E060A7" w:rsidRPr="00E90492" w:rsidRDefault="00E060A7" w:rsidP="00BC5BD4">
      <w:pPr>
        <w:pStyle w:val="ListParagraph"/>
        <w:numPr>
          <w:ilvl w:val="0"/>
          <w:numId w:val="82"/>
        </w:numPr>
      </w:pPr>
      <w:r w:rsidRPr="00E90492">
        <w:t>Care in day centres, and residential or nursing homes</w:t>
      </w:r>
    </w:p>
    <w:p w:rsidR="00E060A7" w:rsidRPr="00E90492" w:rsidRDefault="00E060A7" w:rsidP="00BC5BD4">
      <w:pPr>
        <w:pStyle w:val="ListParagraph"/>
        <w:numPr>
          <w:ilvl w:val="0"/>
          <w:numId w:val="82"/>
        </w:numPr>
      </w:pPr>
      <w:r w:rsidRPr="00E90492">
        <w:t>Those caring for children who cannot live with their parents</w:t>
      </w:r>
    </w:p>
    <w:p w:rsidR="00E060A7" w:rsidRPr="00E90492" w:rsidRDefault="00E060A7" w:rsidP="009256DE">
      <w:pPr>
        <w:spacing w:after="120"/>
        <w:jc w:val="both"/>
        <w:rPr>
          <w:rFonts w:cs="Arial"/>
          <w:szCs w:val="20"/>
        </w:rPr>
      </w:pPr>
      <w:r w:rsidRPr="00E90492">
        <w:rPr>
          <w:rFonts w:cs="Arial"/>
          <w:szCs w:val="20"/>
        </w:rPr>
        <w:t>It does not matter whether the service is provided by a public author</w:t>
      </w:r>
      <w:r>
        <w:rPr>
          <w:rFonts w:cs="Arial"/>
          <w:szCs w:val="20"/>
        </w:rPr>
        <w:t xml:space="preserve">ity or an independent provider. </w:t>
      </w:r>
      <w:r w:rsidRPr="00E90492">
        <w:rPr>
          <w:rFonts w:cs="Arial"/>
          <w:szCs w:val="20"/>
        </w:rPr>
        <w:t>Th</w:t>
      </w:r>
      <w:r>
        <w:rPr>
          <w:rFonts w:cs="Arial"/>
          <w:szCs w:val="20"/>
        </w:rPr>
        <w:t xml:space="preserve">e law recognises that, sometimes, </w:t>
      </w:r>
      <w:r w:rsidRPr="00E90492">
        <w:rPr>
          <w:rFonts w:cs="Arial"/>
          <w:szCs w:val="20"/>
        </w:rPr>
        <w:t>specific provision needs to be put in place for disabled people in order to put them on an equal footing with other people. Therefore, two additional forms of discrimination protection apply only to disabled people. These are called ‘discrimination arising from a disability’ and ‘discrimination because of a failure to make reasonable adjustments’.</w:t>
      </w:r>
    </w:p>
    <w:p w:rsidR="00E060A7" w:rsidRPr="00FA7AF2" w:rsidRDefault="00E060A7" w:rsidP="008D0AA0">
      <w:pPr>
        <w:pStyle w:val="Heading5"/>
      </w:pPr>
      <w:r w:rsidRPr="00FA7AF2">
        <w:lastRenderedPageBreak/>
        <w:t xml:space="preserve">Discrimination Arising from Disability </w:t>
      </w:r>
    </w:p>
    <w:p w:rsidR="00E060A7" w:rsidRPr="00E90492" w:rsidRDefault="00E060A7" w:rsidP="009256DE">
      <w:pPr>
        <w:spacing w:after="120"/>
        <w:jc w:val="both"/>
        <w:rPr>
          <w:rFonts w:cs="Arial"/>
          <w:szCs w:val="20"/>
        </w:rPr>
      </w:pPr>
      <w:r w:rsidRPr="00E90492">
        <w:rPr>
          <w:rFonts w:cs="Arial"/>
          <w:szCs w:val="20"/>
        </w:rPr>
        <w:t>Discrimination arising from disability occurs when a disabled person is treated unfavourably because of something connected with their disability and the unfavourable</w:t>
      </w:r>
      <w:r>
        <w:rPr>
          <w:rFonts w:cs="Arial"/>
          <w:szCs w:val="20"/>
        </w:rPr>
        <w:t xml:space="preserve"> treatment cannot be justified. </w:t>
      </w:r>
      <w:r w:rsidRPr="00E90492">
        <w:rPr>
          <w:rFonts w:cs="Arial"/>
          <w:szCs w:val="20"/>
        </w:rPr>
        <w:t>Discrimination arising from disability is different from direct discrimination. Direct discrimination occurs when a service provider treats someone less favourably because of the disability itself. In the case of discrimination arising from disability, the question is whether the disabled person has been treated unfavourably because of something connected with their disability.</w:t>
      </w:r>
    </w:p>
    <w:p w:rsidR="00E060A7" w:rsidRPr="00FA7AF2" w:rsidRDefault="00E060A7" w:rsidP="008D0AA0">
      <w:pPr>
        <w:pStyle w:val="Heading5"/>
      </w:pPr>
      <w:r w:rsidRPr="00FA7AF2">
        <w:t xml:space="preserve">Discrimination Because of a Failure to Make Reasonable Adjustments for a Disabled Person </w:t>
      </w:r>
    </w:p>
    <w:p w:rsidR="00E060A7" w:rsidRDefault="00E060A7" w:rsidP="009256DE">
      <w:pPr>
        <w:spacing w:after="120"/>
        <w:jc w:val="both"/>
      </w:pPr>
      <w:r w:rsidRPr="00E90492">
        <w:t>Service providers are required to make changes, where needed, to improve their services for disabled customers or potential customers. These are called ‘reasonable adjustments’. This means that they must make reasonable changes to the way that things are done, to the built environment, and provide extra aids and services whenever disabled customers or potential customers would otherwise be at a substantial disadvantage compared with non-disabled people.</w:t>
      </w:r>
    </w:p>
    <w:p w:rsidR="00E060A7" w:rsidRDefault="00E060A7" w:rsidP="009256DE">
      <w:pPr>
        <w:pStyle w:val="Heading4"/>
      </w:pPr>
      <w:r w:rsidRPr="00771419">
        <w:t>All Wales Standards for Accessible Communication and Information for People with Sensory Loss</w:t>
      </w:r>
      <w:r>
        <w:t xml:space="preserve">: </w:t>
      </w:r>
    </w:p>
    <w:p w:rsidR="00E060A7" w:rsidRPr="004F2B2B" w:rsidRDefault="00E060A7" w:rsidP="009256DE">
      <w:pPr>
        <w:spacing w:after="120"/>
        <w:jc w:val="both"/>
      </w:pPr>
      <w:r w:rsidRPr="004F2B2B">
        <w:t>The purpose of these standards is to ensure that the communication and information needs of people with a sensory loss are met when accessing healthcare services. These standards apply to adults, young people and children and reflect best practice in the delivery of accessible information and communication for people with sensory loss.</w:t>
      </w:r>
      <w:r>
        <w:rPr>
          <w:rStyle w:val="FootnoteReference"/>
        </w:rPr>
        <w:footnoteReference w:id="227"/>
      </w:r>
      <w:r w:rsidRPr="004F2B2B">
        <w:t xml:space="preserve">  </w:t>
      </w:r>
    </w:p>
    <w:p w:rsidR="00E060A7" w:rsidRPr="00E90492" w:rsidRDefault="00E060A7" w:rsidP="009256DE">
      <w:pPr>
        <w:pStyle w:val="Heading3"/>
        <w:rPr>
          <w:rFonts w:eastAsia="Univers 45 Light"/>
          <w:highlight w:val="yellow"/>
        </w:rPr>
      </w:pPr>
      <w:bookmarkStart w:id="476" w:name="_Toc418101308"/>
      <w:r w:rsidRPr="00E90492">
        <w:rPr>
          <w:rFonts w:eastAsia="Univers 45 Light"/>
        </w:rPr>
        <w:t>Programs</w:t>
      </w:r>
      <w:bookmarkEnd w:id="476"/>
    </w:p>
    <w:p w:rsidR="00E060A7" w:rsidRDefault="00E060A7" w:rsidP="009256DE">
      <w:pPr>
        <w:pStyle w:val="Heading4"/>
      </w:pPr>
      <w:bookmarkStart w:id="477" w:name="_Toc418101310"/>
      <w:r w:rsidRPr="00626AFF">
        <w:t>Healthcare Travel Costs Scheme</w:t>
      </w:r>
    </w:p>
    <w:p w:rsidR="00E060A7" w:rsidRDefault="00E060A7" w:rsidP="009256DE">
      <w:pPr>
        <w:jc w:val="both"/>
      </w:pPr>
      <w:r>
        <w:t>The Healthcare Travel Costs Scheme (HTCS) is</w:t>
      </w:r>
      <w:r w:rsidRPr="00626AFF">
        <w:t xml:space="preserve"> part of the N</w:t>
      </w:r>
      <w:r>
        <w:t xml:space="preserve">ational Health Service (NHS) </w:t>
      </w:r>
      <w:r w:rsidRPr="00626AFF">
        <w:t>Low Income Scheme, and was set up to provide financial assistance to those patients who do not have a medical need for ambulance transport, but who require assistance with their travel costs.</w:t>
      </w:r>
      <w:r>
        <w:t xml:space="preserve"> The scheme is </w:t>
      </w:r>
      <w:r w:rsidRPr="0011480E">
        <w:t xml:space="preserve">set out and governed by the provisions of the National Health Service (Travel Expenses and Remission of Charges) Regulations 2003, as amended. NHS organisations are responsible for its administration, but they </w:t>
      </w:r>
      <w:r>
        <w:t>are</w:t>
      </w:r>
      <w:r w:rsidRPr="0011480E">
        <w:t xml:space="preserve"> supported in this by Jobcentre Plus offices and the Pension Service who will confirm patients’ receipt of qualifying benefits.</w:t>
      </w:r>
      <w:r>
        <w:t xml:space="preserve"> </w:t>
      </w:r>
      <w:r w:rsidRPr="0011480E">
        <w:t xml:space="preserve">HTCS is a mandatory scheme. The National Health Service (Travel Expenses and Remission of Charges) </w:t>
      </w:r>
      <w:r w:rsidRPr="0011480E">
        <w:lastRenderedPageBreak/>
        <w:t>Regulations 2003 (“the 2003 Regulations”), as amended, place a legal requirement on PCTs, NHS trusts and NHS Foundation Trusts to pay the NHS travel expenses of eligible patients through HTCS. The Regulations also set out the eligibility criteria which are to be applied.</w:t>
      </w:r>
    </w:p>
    <w:p w:rsidR="00E060A7" w:rsidRPr="0011480E" w:rsidRDefault="00E060A7" w:rsidP="009256DE">
      <w:pPr>
        <w:jc w:val="both"/>
        <w:rPr>
          <w:lang w:val="en-US"/>
        </w:rPr>
      </w:pPr>
      <w:r w:rsidRPr="0011480E">
        <w:rPr>
          <w:lang w:val="en-US"/>
        </w:rPr>
        <w:t>Under the Regulations, when an eligible patient applies for the payment of his or her NHS travel expenses, the provider unit or health service body is responsible for:</w:t>
      </w:r>
    </w:p>
    <w:p w:rsidR="00E060A7" w:rsidRPr="009256DE" w:rsidRDefault="00E060A7" w:rsidP="00BC5BD4">
      <w:pPr>
        <w:pStyle w:val="ListParagraph"/>
        <w:numPr>
          <w:ilvl w:val="0"/>
          <w:numId w:val="82"/>
        </w:numPr>
        <w:rPr>
          <w:lang w:val="en-US"/>
        </w:rPr>
      </w:pPr>
      <w:r w:rsidRPr="009256DE">
        <w:rPr>
          <w:lang w:val="en-US"/>
        </w:rPr>
        <w:t>Verifying the patient’s eligibility to receive payment of his or her NHS travel expenses,</w:t>
      </w:r>
    </w:p>
    <w:p w:rsidR="00E060A7" w:rsidRPr="009256DE" w:rsidRDefault="00E060A7" w:rsidP="00BC5BD4">
      <w:pPr>
        <w:pStyle w:val="ListParagraph"/>
        <w:numPr>
          <w:ilvl w:val="0"/>
          <w:numId w:val="82"/>
        </w:numPr>
        <w:rPr>
          <w:lang w:val="en-US"/>
        </w:rPr>
      </w:pPr>
      <w:r w:rsidRPr="009256DE">
        <w:rPr>
          <w:lang w:val="en-US"/>
        </w:rPr>
        <w:t>Calculating the actual amount payable by reference to the cost of travelling by the cheapest means of transport which is reasonable having regard to the person’s age, medical condition or any other relevant circumstance. Where the NHS travel expenses incurred relate to travel by private car, the amount payable may include parking expenses, a mileage allowance, road tolls and charges (including the London Congestion Charge which should then be reclaimed from Transport for London); and</w:t>
      </w:r>
    </w:p>
    <w:p w:rsidR="00E060A7" w:rsidRPr="009256DE" w:rsidRDefault="00E060A7" w:rsidP="00BC5BD4">
      <w:pPr>
        <w:pStyle w:val="ListParagraph"/>
        <w:numPr>
          <w:ilvl w:val="0"/>
          <w:numId w:val="82"/>
        </w:numPr>
        <w:rPr>
          <w:lang w:val="en-US"/>
        </w:rPr>
      </w:pPr>
      <w:r w:rsidRPr="009256DE">
        <w:rPr>
          <w:lang w:val="en-US"/>
        </w:rPr>
        <w:t>Making the payment.</w:t>
      </w:r>
    </w:p>
    <w:p w:rsidR="00E060A7" w:rsidRPr="008D0AA0" w:rsidRDefault="00E060A7" w:rsidP="008D0AA0">
      <w:pPr>
        <w:rPr>
          <w:lang w:val="en-US"/>
        </w:rPr>
      </w:pPr>
      <w:r w:rsidRPr="008D0AA0">
        <w:rPr>
          <w:lang w:val="en-US"/>
        </w:rPr>
        <w:t>Under the Regulations, eligibility for the full or partial payment of NHS travel expenses depends upon three conditions being met:</w:t>
      </w:r>
    </w:p>
    <w:p w:rsidR="00E060A7" w:rsidRPr="009256DE" w:rsidRDefault="00E060A7" w:rsidP="00BC5BD4">
      <w:pPr>
        <w:pStyle w:val="ListParagraph"/>
        <w:numPr>
          <w:ilvl w:val="0"/>
          <w:numId w:val="82"/>
        </w:numPr>
        <w:rPr>
          <w:lang w:val="en-US"/>
        </w:rPr>
      </w:pPr>
      <w:r w:rsidRPr="009256DE">
        <w:rPr>
          <w:lang w:val="en-US"/>
        </w:rPr>
        <w:t>The patient must be:</w:t>
      </w:r>
    </w:p>
    <w:p w:rsidR="00E060A7" w:rsidRPr="009256DE" w:rsidRDefault="00E060A7" w:rsidP="00BC5BD4">
      <w:pPr>
        <w:pStyle w:val="ListParagraph"/>
        <w:numPr>
          <w:ilvl w:val="1"/>
          <w:numId w:val="82"/>
        </w:numPr>
        <w:rPr>
          <w:lang w:val="en-US"/>
        </w:rPr>
      </w:pPr>
      <w:r w:rsidRPr="009256DE">
        <w:rPr>
          <w:lang w:val="en-US"/>
        </w:rPr>
        <w:t>In receipt of one of the qualifying benefits or allowances specified in the 2003 Regulations (or in certain cases be a member of the same family as a person receiving a qualifying benefit or allowance), or</w:t>
      </w:r>
    </w:p>
    <w:p w:rsidR="00E060A7" w:rsidRPr="009256DE" w:rsidRDefault="00E060A7" w:rsidP="00BC5BD4">
      <w:pPr>
        <w:pStyle w:val="ListParagraph"/>
        <w:numPr>
          <w:ilvl w:val="1"/>
          <w:numId w:val="82"/>
        </w:numPr>
        <w:rPr>
          <w:lang w:val="en-US"/>
        </w:rPr>
      </w:pPr>
      <w:r w:rsidRPr="009256DE">
        <w:rPr>
          <w:lang w:val="en-US"/>
        </w:rPr>
        <w:t>Be named on a NHS Low Income Scheme certificate HC2 or HC3 (or in certain cases be a member of the same family as a person named on a NHS Low Income Scheme certificate).</w:t>
      </w:r>
    </w:p>
    <w:p w:rsidR="00E060A7" w:rsidRPr="009256DE" w:rsidRDefault="00E060A7" w:rsidP="00BC5BD4">
      <w:pPr>
        <w:pStyle w:val="ListParagraph"/>
        <w:numPr>
          <w:ilvl w:val="0"/>
          <w:numId w:val="82"/>
        </w:numPr>
        <w:rPr>
          <w:lang w:val="en-US"/>
        </w:rPr>
      </w:pPr>
      <w:r w:rsidRPr="009256DE">
        <w:rPr>
          <w:lang w:val="en-US"/>
        </w:rPr>
        <w:t>The journey undertaken must be made to receive services under the National Health Service Act 2006, which are not primary medical or primary dental care services, for which the patient has been referred by a doctor or dentist.</w:t>
      </w:r>
    </w:p>
    <w:p w:rsidR="00E060A7" w:rsidRPr="009256DE" w:rsidRDefault="00E060A7" w:rsidP="00BC5BD4">
      <w:pPr>
        <w:pStyle w:val="ListParagraph"/>
        <w:numPr>
          <w:ilvl w:val="0"/>
          <w:numId w:val="82"/>
        </w:numPr>
        <w:rPr>
          <w:lang w:val="en-US"/>
        </w:rPr>
      </w:pPr>
      <w:r w:rsidRPr="009256DE">
        <w:rPr>
          <w:lang w:val="en-US"/>
        </w:rPr>
        <w:t>Where a doctor or dentist has provided the primary medical or primary dental services which lead to the referral for non-primary care services, those services must be provided on a different visit or involve an additional journey to the premises where the primary medical or primary dental services which lead to that referral were provided.</w:t>
      </w:r>
    </w:p>
    <w:p w:rsidR="00E060A7" w:rsidRPr="008D0AA0" w:rsidRDefault="00E060A7" w:rsidP="008D0AA0">
      <w:pPr>
        <w:rPr>
          <w:lang w:val="en-US"/>
        </w:rPr>
      </w:pPr>
      <w:r w:rsidRPr="008D0AA0">
        <w:rPr>
          <w:lang w:val="en-US"/>
        </w:rPr>
        <w:t xml:space="preserve">Where a patient is travelling abroad for treatment under the NHS a claim may be made for travel costs incurred in travelling to a port (including an airport, ferry port or </w:t>
      </w:r>
      <w:r w:rsidRPr="008D0AA0">
        <w:rPr>
          <w:lang w:val="en-US"/>
        </w:rPr>
        <w:lastRenderedPageBreak/>
        <w:t>international train station) in Great Britain from which an international journey begins. The costs of the patient’s travel from the port to the place of treatment fall within NHS foreign travel expenses and cannot be claimed through HTCS.</w:t>
      </w:r>
      <w:r>
        <w:rPr>
          <w:rStyle w:val="FootnoteReference"/>
          <w:lang w:val="en-US"/>
        </w:rPr>
        <w:footnoteReference w:id="228"/>
      </w:r>
    </w:p>
    <w:p w:rsidR="00E060A7" w:rsidRPr="00E90492" w:rsidRDefault="00E060A7" w:rsidP="009256DE">
      <w:pPr>
        <w:pStyle w:val="Heading4"/>
      </w:pPr>
      <w:r w:rsidRPr="00E90492">
        <w:t>Health Technical Memorandum 05-02: Firecode Guidance in Support of Functional Provisions (Fire Safety in the Design of Healthcare Premises)</w:t>
      </w:r>
      <w:bookmarkEnd w:id="477"/>
    </w:p>
    <w:p w:rsidR="00E060A7" w:rsidRPr="00E90492" w:rsidRDefault="00E060A7" w:rsidP="009256DE">
      <w:pPr>
        <w:jc w:val="both"/>
      </w:pPr>
      <w:r w:rsidRPr="00E90492">
        <w:t>Health Technical Memorandum (HTM) 05-02 and the series of which it is part provide specific guidance on fire safety in the design of new healthcare premises and major new extensions to existing healthcare premises. While not intended to cover every possible scenario, the standards and principles it advocates recognise that fire safety in healthcare premises is dependent on the interaction between physical fire precautions, the dependency of the patient, the fire hazards and the availability of sufficient and appropriately trained staff to safely evacuate patients in a fire emergency.</w:t>
      </w:r>
    </w:p>
    <w:p w:rsidR="00E060A7" w:rsidRPr="00E90492" w:rsidRDefault="00E060A7" w:rsidP="009256DE">
      <w:pPr>
        <w:jc w:val="both"/>
      </w:pPr>
      <w:r w:rsidRPr="00E90492">
        <w:t xml:space="preserve">The guidance is applicable to all premises regulated by the Care Quality Commission (CQC), irrespective of ownership that provides </w:t>
      </w:r>
      <w:r>
        <w:t>the following types of service:</w:t>
      </w:r>
      <w:r w:rsidRPr="00E90492">
        <w:rPr>
          <w:vertAlign w:val="superscript"/>
        </w:rPr>
        <w:footnoteReference w:id="229"/>
      </w:r>
    </w:p>
    <w:p w:rsidR="00E060A7" w:rsidRPr="00E90492" w:rsidRDefault="00E060A7" w:rsidP="00BC5BD4">
      <w:pPr>
        <w:pStyle w:val="ListParagraph"/>
        <w:numPr>
          <w:ilvl w:val="0"/>
          <w:numId w:val="82"/>
        </w:numPr>
      </w:pPr>
      <w:r w:rsidRPr="00E90492">
        <w:t xml:space="preserve">Acute services </w:t>
      </w:r>
    </w:p>
    <w:p w:rsidR="00E060A7" w:rsidRPr="00E90492" w:rsidRDefault="00E060A7" w:rsidP="00BC5BD4">
      <w:pPr>
        <w:pStyle w:val="ListParagraph"/>
        <w:numPr>
          <w:ilvl w:val="0"/>
          <w:numId w:val="82"/>
        </w:numPr>
      </w:pPr>
      <w:r w:rsidRPr="00E90492">
        <w:t xml:space="preserve">Hyperbaric chamber services </w:t>
      </w:r>
    </w:p>
    <w:p w:rsidR="00E060A7" w:rsidRPr="00E90492" w:rsidRDefault="00E060A7" w:rsidP="00BC5BD4">
      <w:pPr>
        <w:pStyle w:val="ListParagraph"/>
        <w:numPr>
          <w:ilvl w:val="0"/>
          <w:numId w:val="82"/>
        </w:numPr>
      </w:pPr>
      <w:r w:rsidRPr="00E90492">
        <w:t xml:space="preserve">Hospice services </w:t>
      </w:r>
    </w:p>
    <w:p w:rsidR="00E060A7" w:rsidRPr="00E90492" w:rsidRDefault="00E060A7" w:rsidP="00BC5BD4">
      <w:pPr>
        <w:pStyle w:val="ListParagraph"/>
        <w:numPr>
          <w:ilvl w:val="0"/>
          <w:numId w:val="82"/>
        </w:numPr>
      </w:pPr>
      <w:r w:rsidRPr="00E90492">
        <w:t xml:space="preserve">Long-term condition services </w:t>
      </w:r>
    </w:p>
    <w:p w:rsidR="00E060A7" w:rsidRPr="00E90492" w:rsidRDefault="00E060A7" w:rsidP="00BC5BD4">
      <w:pPr>
        <w:pStyle w:val="ListParagraph"/>
        <w:numPr>
          <w:ilvl w:val="0"/>
          <w:numId w:val="82"/>
        </w:numPr>
      </w:pPr>
      <w:r w:rsidRPr="00E90492">
        <w:t>Hospital services for people with mental health needs, and/or learning disabilities, and/or problems with substance misuse</w:t>
      </w:r>
    </w:p>
    <w:p w:rsidR="00E060A7" w:rsidRPr="00E90492" w:rsidRDefault="00E060A7" w:rsidP="00BC5BD4">
      <w:pPr>
        <w:pStyle w:val="ListParagraph"/>
        <w:numPr>
          <w:ilvl w:val="0"/>
          <w:numId w:val="82"/>
        </w:numPr>
      </w:pPr>
      <w:r w:rsidRPr="00E90492">
        <w:t xml:space="preserve">Rehabilitation services </w:t>
      </w:r>
    </w:p>
    <w:p w:rsidR="00E060A7" w:rsidRPr="00E90492" w:rsidRDefault="00E060A7" w:rsidP="00BC5BD4">
      <w:pPr>
        <w:pStyle w:val="ListParagraph"/>
        <w:numPr>
          <w:ilvl w:val="0"/>
          <w:numId w:val="82"/>
        </w:numPr>
      </w:pPr>
      <w:r w:rsidRPr="00E90492">
        <w:t xml:space="preserve">Residential substance misuse and treatment/rehabilitation services </w:t>
      </w:r>
    </w:p>
    <w:p w:rsidR="00E060A7" w:rsidRPr="00E90492" w:rsidRDefault="00E060A7" w:rsidP="00BC5BD4">
      <w:pPr>
        <w:pStyle w:val="ListParagraph"/>
        <w:numPr>
          <w:ilvl w:val="0"/>
          <w:numId w:val="82"/>
        </w:numPr>
      </w:pPr>
      <w:r w:rsidRPr="00E90492">
        <w:t xml:space="preserve">Doctors’ treatment services </w:t>
      </w:r>
    </w:p>
    <w:p w:rsidR="00E060A7" w:rsidRPr="00E90492" w:rsidRDefault="00E060A7" w:rsidP="00BC5BD4">
      <w:pPr>
        <w:pStyle w:val="ListParagraph"/>
        <w:numPr>
          <w:ilvl w:val="0"/>
          <w:numId w:val="82"/>
        </w:numPr>
      </w:pPr>
      <w:r w:rsidRPr="00E90492">
        <w:t xml:space="preserve">Diagnostic and/or screening services </w:t>
      </w:r>
    </w:p>
    <w:p w:rsidR="00E060A7" w:rsidRPr="00E90492" w:rsidRDefault="00E060A7" w:rsidP="00BC5BD4">
      <w:pPr>
        <w:pStyle w:val="ListParagraph"/>
        <w:numPr>
          <w:ilvl w:val="0"/>
          <w:numId w:val="82"/>
        </w:numPr>
      </w:pPr>
      <w:r w:rsidRPr="00E90492">
        <w:t>Urgent care services</w:t>
      </w:r>
    </w:p>
    <w:p w:rsidR="00E060A7" w:rsidRPr="00E90492" w:rsidRDefault="00E060A7" w:rsidP="009256DE">
      <w:pPr>
        <w:pStyle w:val="Heading4"/>
      </w:pPr>
      <w:bookmarkStart w:id="478" w:name="_Toc418101311"/>
      <w:r w:rsidRPr="00E90492">
        <w:t>Planning Code</w:t>
      </w:r>
      <w:bookmarkEnd w:id="478"/>
    </w:p>
    <w:p w:rsidR="00E060A7" w:rsidRPr="00E90492" w:rsidRDefault="00E060A7" w:rsidP="009256DE">
      <w:pPr>
        <w:jc w:val="both"/>
      </w:pPr>
      <w:r w:rsidRPr="00E90492">
        <w:t xml:space="preserve">The government has introduced a </w:t>
      </w:r>
      <w:r w:rsidRPr="00E90492">
        <w:rPr>
          <w:i/>
        </w:rPr>
        <w:t>Good Practice Guide</w:t>
      </w:r>
      <w:r w:rsidRPr="00E90492">
        <w:t xml:space="preserve">, to encourage local planning authorities and developers alike to consider access for disabled people, as an inclusive part of initial design. It also stresses the importance of consultation on disability issues </w:t>
      </w:r>
      <w:r w:rsidRPr="00E90492">
        <w:lastRenderedPageBreak/>
        <w:t>when formulating development plans and p</w:t>
      </w:r>
      <w:r>
        <w:t xml:space="preserve">reparing planning applications. </w:t>
      </w:r>
      <w:r w:rsidRPr="00E90492">
        <w:t>The good practice points include:</w:t>
      </w:r>
      <w:r w:rsidRPr="00E90492">
        <w:rPr>
          <w:vertAlign w:val="superscript"/>
        </w:rPr>
        <w:footnoteReference w:id="230"/>
      </w:r>
    </w:p>
    <w:p w:rsidR="00E060A7" w:rsidRPr="00E90492" w:rsidRDefault="00E060A7" w:rsidP="00BC5BD4">
      <w:pPr>
        <w:pStyle w:val="ListParagraph"/>
        <w:numPr>
          <w:ilvl w:val="0"/>
          <w:numId w:val="82"/>
        </w:numPr>
      </w:pPr>
      <w:r w:rsidRPr="00E90492">
        <w:t>Refusal of planning consent on grounds of not complying with local development plan, if latter includes access policies.</w:t>
      </w:r>
    </w:p>
    <w:p w:rsidR="00E060A7" w:rsidRPr="00E90492" w:rsidRDefault="00E060A7" w:rsidP="00BC5BD4">
      <w:pPr>
        <w:pStyle w:val="ListParagraph"/>
        <w:numPr>
          <w:ilvl w:val="0"/>
          <w:numId w:val="82"/>
        </w:numPr>
      </w:pPr>
      <w:r w:rsidRPr="00E90492">
        <w:t>Include a strategic inclusive access policy in local development plan.</w:t>
      </w:r>
    </w:p>
    <w:p w:rsidR="00E060A7" w:rsidRPr="00E90492" w:rsidRDefault="00E060A7" w:rsidP="00BC5BD4">
      <w:pPr>
        <w:pStyle w:val="ListParagraph"/>
        <w:numPr>
          <w:ilvl w:val="0"/>
          <w:numId w:val="82"/>
        </w:numPr>
      </w:pPr>
      <w:r w:rsidRPr="00E90492">
        <w:t>Local planning authority to develop definitive inclusive design guidance for applicants.</w:t>
      </w:r>
    </w:p>
    <w:p w:rsidR="00E060A7" w:rsidRPr="00E90492" w:rsidRDefault="00E060A7" w:rsidP="00BC5BD4">
      <w:pPr>
        <w:pStyle w:val="ListParagraph"/>
        <w:numPr>
          <w:ilvl w:val="0"/>
          <w:numId w:val="82"/>
        </w:numPr>
      </w:pPr>
      <w:r w:rsidRPr="00E90492">
        <w:t>Consider use of planning conditions for provision of inclusive access.</w:t>
      </w:r>
    </w:p>
    <w:p w:rsidR="00E060A7" w:rsidRPr="00E90492" w:rsidRDefault="00E060A7" w:rsidP="00BC5BD4">
      <w:pPr>
        <w:pStyle w:val="ListParagraph"/>
        <w:numPr>
          <w:ilvl w:val="0"/>
          <w:numId w:val="82"/>
        </w:numPr>
      </w:pPr>
      <w:r w:rsidRPr="00E90492">
        <w:t>Applicants to be encouraged to submit Access Statements as an integral part of a planning application.</w:t>
      </w:r>
    </w:p>
    <w:p w:rsidR="00E060A7" w:rsidRPr="00E90492" w:rsidRDefault="00E060A7" w:rsidP="00BC5BD4">
      <w:pPr>
        <w:pStyle w:val="ListParagraph"/>
        <w:numPr>
          <w:ilvl w:val="0"/>
          <w:numId w:val="82"/>
        </w:numPr>
      </w:pPr>
      <w:r w:rsidRPr="00E90492">
        <w:t xml:space="preserve">As a minimum, each planning authority should be able to call upon appropriate professional advice. </w:t>
      </w:r>
    </w:p>
    <w:p w:rsidR="00E060A7" w:rsidRPr="00E90492" w:rsidRDefault="00E060A7" w:rsidP="00BC5BD4">
      <w:pPr>
        <w:pStyle w:val="ListParagraph"/>
        <w:numPr>
          <w:ilvl w:val="0"/>
          <w:numId w:val="82"/>
        </w:numPr>
      </w:pPr>
      <w:r w:rsidRPr="00E90492">
        <w:t>Encourage applicants to include an access consultant as part of the design team.</w:t>
      </w:r>
    </w:p>
    <w:p w:rsidR="00E060A7" w:rsidRPr="00E90492" w:rsidRDefault="00E060A7" w:rsidP="009256DE">
      <w:pPr>
        <w:pStyle w:val="Heading4"/>
      </w:pPr>
      <w:bookmarkStart w:id="479" w:name="_Toc418101312"/>
      <w:r w:rsidRPr="00E90492">
        <w:t>Good Medical Practice and Disability Equality</w:t>
      </w:r>
      <w:bookmarkEnd w:id="479"/>
    </w:p>
    <w:p w:rsidR="00E060A7" w:rsidRDefault="00E060A7" w:rsidP="009256DE">
      <w:pPr>
        <w:spacing w:after="120"/>
        <w:jc w:val="both"/>
        <w:rPr>
          <w:rFonts w:cs="Arial"/>
          <w:szCs w:val="20"/>
        </w:rPr>
      </w:pPr>
      <w:r w:rsidRPr="00E90492">
        <w:rPr>
          <w:rFonts w:cs="Arial"/>
          <w:szCs w:val="20"/>
        </w:rPr>
        <w:t>This is a supplement to the General Medical Council’s 'Good Medical Practice' guidance. It is designed to draw out specific implica</w:t>
      </w:r>
      <w:r>
        <w:rPr>
          <w:rFonts w:cs="Arial"/>
          <w:szCs w:val="20"/>
        </w:rPr>
        <w:t xml:space="preserve">tions for disability equality. </w:t>
      </w:r>
      <w:r w:rsidRPr="00E90492">
        <w:rPr>
          <w:rFonts w:cs="Arial"/>
          <w:szCs w:val="20"/>
        </w:rPr>
        <w:t>This guidance was produced by the former Disability Rights Commission in close conjunction with the General Medical Council (GMC). It is intended to be useful to disabled people generally and to patients and employees in health services. It is particularly important for doctors on the register, whether they work in the NHS, the private sector or other healthcare professions, to be aware of the important difference they can make to the way services are delivered to disabled people. A high proportion of service users and their families are disabled people so this document is key to aiding doctors to understand how they can improve service delivery to this group of people.</w:t>
      </w:r>
    </w:p>
    <w:p w:rsidR="00E060A7" w:rsidRDefault="00E060A7" w:rsidP="009256DE">
      <w:pPr>
        <w:spacing w:after="120"/>
        <w:jc w:val="both"/>
        <w:rPr>
          <w:rFonts w:cs="Arial"/>
          <w:szCs w:val="20"/>
        </w:rPr>
      </w:pPr>
      <w:r w:rsidRPr="00E90492">
        <w:rPr>
          <w:rFonts w:cs="Arial"/>
          <w:szCs w:val="20"/>
        </w:rPr>
        <w:t xml:space="preserve">This guidance will help disabled people to understand the terminology in ‘Good Medical Practice’ and how it might apply to them. It will also give doctors and other healthcare professional’s practical guidance on how they can meet their obligations to disabled patients and colleagues under the </w:t>
      </w:r>
      <w:r w:rsidRPr="00E90492">
        <w:rPr>
          <w:rFonts w:cs="Arial"/>
          <w:i/>
          <w:szCs w:val="20"/>
        </w:rPr>
        <w:t>Disability Discrimination Act</w:t>
      </w:r>
      <w:r w:rsidRPr="00E90492">
        <w:rPr>
          <w:rFonts w:cs="Arial"/>
          <w:szCs w:val="20"/>
        </w:rPr>
        <w:t xml:space="preserve"> 1995.</w:t>
      </w:r>
      <w:r w:rsidRPr="00E90492">
        <w:rPr>
          <w:vertAlign w:val="superscript"/>
        </w:rPr>
        <w:footnoteReference w:id="231"/>
      </w:r>
    </w:p>
    <w:p w:rsidR="00E060A7" w:rsidRPr="00760FCA" w:rsidRDefault="00E060A7" w:rsidP="009256DE">
      <w:pPr>
        <w:pStyle w:val="Heading4"/>
      </w:pPr>
      <w:r w:rsidRPr="00760FCA">
        <w:t>Mobility Scooters</w:t>
      </w:r>
    </w:p>
    <w:p w:rsidR="00E060A7" w:rsidRPr="00737EA6" w:rsidRDefault="00E060A7" w:rsidP="009256DE">
      <w:pPr>
        <w:jc w:val="both"/>
      </w:pPr>
      <w:r w:rsidRPr="00737EA6">
        <w:t xml:space="preserve">The UK House of Commons Transport Committee announced their inquiry into the use and regulation of mobility scooters on 11 December, 2009. Their inquiry had three main </w:t>
      </w:r>
      <w:r w:rsidRPr="00737EA6">
        <w:lastRenderedPageBreak/>
        <w:t>aims: to determine whether or not the current legal position with regard to the use of mobility scooters on roads and pavements is clear; whether pedestrians and other road users are protected sufficiently by the law, and whether the number of mobility scooter users—currently estimated to be around 330,000—is such that training or guidance on the usage of the vehicles is required. They also sought evidence of the number and nature of accidents involving pedestrians and mobility scooters.</w:t>
      </w:r>
      <w:r w:rsidRPr="00737EA6">
        <w:rPr>
          <w:rStyle w:val="FootnoteReference"/>
        </w:rPr>
        <w:footnoteReference w:id="232"/>
      </w:r>
    </w:p>
    <w:p w:rsidR="00E060A7" w:rsidRPr="00737EA6" w:rsidRDefault="00E060A7" w:rsidP="008D0AA0">
      <w:r>
        <w:t>Current policies: people do no</w:t>
      </w:r>
      <w:r w:rsidRPr="00737EA6">
        <w:t>t need a licence to drive a mobility scooter or powered wheelchair, but may have to register it. Only certain types can be driven on the road. Mobility scooters and powered wheelchairs come in 2 categories:</w:t>
      </w:r>
      <w:r w:rsidRPr="00737EA6">
        <w:rPr>
          <w:rStyle w:val="FootnoteReference"/>
        </w:rPr>
        <w:footnoteReference w:id="233"/>
      </w:r>
    </w:p>
    <w:p w:rsidR="00E060A7" w:rsidRPr="00737EA6" w:rsidRDefault="00E060A7" w:rsidP="00BC5BD4">
      <w:pPr>
        <w:pStyle w:val="ListParagraph"/>
        <w:numPr>
          <w:ilvl w:val="0"/>
          <w:numId w:val="82"/>
        </w:numPr>
      </w:pPr>
      <w:r>
        <w:t>Class 2 invalid carriages:</w:t>
      </w:r>
      <w:r w:rsidRPr="00737EA6">
        <w:t xml:space="preserve"> these can</w:t>
      </w:r>
      <w:r>
        <w:t>no</w:t>
      </w:r>
      <w:r w:rsidRPr="00737EA6">
        <w:t>t be used on t</w:t>
      </w:r>
      <w:r>
        <w:t>he road (except where there is no</w:t>
      </w:r>
      <w:r w:rsidRPr="00737EA6">
        <w:t xml:space="preserve">t a pavement) </w:t>
      </w:r>
      <w:r>
        <w:t>and have a maximum speed of 4mph. These do not need to be registered.</w:t>
      </w:r>
    </w:p>
    <w:p w:rsidR="00E060A7" w:rsidRPr="00737EA6" w:rsidRDefault="00E060A7" w:rsidP="00BC5BD4">
      <w:pPr>
        <w:pStyle w:val="ListParagraph"/>
        <w:numPr>
          <w:ilvl w:val="0"/>
          <w:numId w:val="82"/>
        </w:numPr>
      </w:pPr>
      <w:r>
        <w:t>Class 3 invalid carriages:</w:t>
      </w:r>
      <w:r w:rsidRPr="00737EA6">
        <w:t xml:space="preserve"> these can be used on the road, and have a maximum speed of 4mph off</w:t>
      </w:r>
      <w:r>
        <w:t xml:space="preserve"> the road, and 8mph on the road. These</w:t>
      </w:r>
      <w:r w:rsidRPr="00737EA6">
        <w:t xml:space="preserve"> must </w:t>
      </w:r>
      <w:r>
        <w:t xml:space="preserve">be </w:t>
      </w:r>
      <w:r w:rsidRPr="00737EA6">
        <w:t>register</w:t>
      </w:r>
      <w:r>
        <w:t xml:space="preserve">ed and the driver </w:t>
      </w:r>
      <w:r w:rsidRPr="00737EA6">
        <w:t>must be 14 or over.</w:t>
      </w:r>
    </w:p>
    <w:p w:rsidR="00E060A7" w:rsidRPr="00737EA6" w:rsidRDefault="008D0AA0" w:rsidP="009256DE">
      <w:pPr>
        <w:pStyle w:val="Heading4"/>
      </w:pPr>
      <w:r>
        <w:t xml:space="preserve">The Independent </w:t>
      </w:r>
      <w:r w:rsidR="00E060A7" w:rsidRPr="00737EA6">
        <w:t xml:space="preserve">Living Fund (ILF) </w:t>
      </w:r>
    </w:p>
    <w:p w:rsidR="00E060A7" w:rsidRDefault="00E060A7" w:rsidP="009256DE">
      <w:pPr>
        <w:jc w:val="both"/>
        <w:rPr>
          <w:lang w:val="en"/>
        </w:rPr>
      </w:pPr>
      <w:r w:rsidRPr="00FE72FE">
        <w:rPr>
          <w:lang w:val="en"/>
        </w:rPr>
        <w:t xml:space="preserve">The ILF is a trust set up and financed by central government to support people to live independently rather than in residential care. If </w:t>
      </w:r>
      <w:r>
        <w:rPr>
          <w:lang w:val="en"/>
        </w:rPr>
        <w:t>an individual</w:t>
      </w:r>
      <w:r w:rsidRPr="00FE72FE">
        <w:rPr>
          <w:lang w:val="en"/>
        </w:rPr>
        <w:t xml:space="preserve"> get higher rate care component Disability Living Allowance then </w:t>
      </w:r>
      <w:r>
        <w:rPr>
          <w:lang w:val="en"/>
        </w:rPr>
        <w:t xml:space="preserve">they </w:t>
      </w:r>
      <w:r w:rsidRPr="00FE72FE">
        <w:rPr>
          <w:lang w:val="en"/>
        </w:rPr>
        <w:t xml:space="preserve">may be able to apply. In order to qualify for ILF </w:t>
      </w:r>
      <w:r>
        <w:rPr>
          <w:lang w:val="en"/>
        </w:rPr>
        <w:t>they</w:t>
      </w:r>
      <w:r w:rsidRPr="00FE72FE">
        <w:rPr>
          <w:lang w:val="en"/>
        </w:rPr>
        <w:t xml:space="preserve"> already need to be receiving a certain amount of support from social care services and your application needs to be made jointly with them, although sometimes there can be flexibility with your local authority about this. If </w:t>
      </w:r>
      <w:r>
        <w:rPr>
          <w:lang w:val="en"/>
        </w:rPr>
        <w:t>they</w:t>
      </w:r>
      <w:r w:rsidRPr="00FE72FE">
        <w:rPr>
          <w:lang w:val="en"/>
        </w:rPr>
        <w:t xml:space="preserve"> are eligible the ILF will provide funding for </w:t>
      </w:r>
      <w:r>
        <w:rPr>
          <w:lang w:val="en"/>
        </w:rPr>
        <w:t>them to pay for a care giver to support them</w:t>
      </w:r>
      <w:r w:rsidRPr="00FE72FE">
        <w:rPr>
          <w:lang w:val="en"/>
        </w:rPr>
        <w:t xml:space="preserve"> at home or in the community. If </w:t>
      </w:r>
      <w:r>
        <w:rPr>
          <w:lang w:val="en"/>
        </w:rPr>
        <w:t>a child is</w:t>
      </w:r>
      <w:r w:rsidRPr="00FE72FE">
        <w:rPr>
          <w:lang w:val="en"/>
        </w:rPr>
        <w:t xml:space="preserve"> in a residential school placement, </w:t>
      </w:r>
      <w:r>
        <w:rPr>
          <w:lang w:val="en"/>
        </w:rPr>
        <w:t>their parents</w:t>
      </w:r>
      <w:r w:rsidRPr="00FE72FE">
        <w:rPr>
          <w:lang w:val="en"/>
        </w:rPr>
        <w:t xml:space="preserve"> can rece</w:t>
      </w:r>
      <w:r>
        <w:rPr>
          <w:lang w:val="en"/>
        </w:rPr>
        <w:t>ive ILF to pay for support for their</w:t>
      </w:r>
      <w:r w:rsidRPr="00FE72FE">
        <w:rPr>
          <w:lang w:val="en"/>
        </w:rPr>
        <w:t xml:space="preserve"> son or daughter when they are not in school but spending time at home with you.</w:t>
      </w:r>
      <w:r>
        <w:rPr>
          <w:lang w:val="en"/>
        </w:rPr>
        <w:t xml:space="preserve"> This fund supports transitioning into adulthood.</w:t>
      </w:r>
      <w:r w:rsidRPr="00737EA6">
        <w:rPr>
          <w:rStyle w:val="FootnoteReference"/>
        </w:rPr>
        <w:footnoteReference w:id="234"/>
      </w:r>
    </w:p>
    <w:p w:rsidR="00E060A7" w:rsidRPr="002413E5" w:rsidRDefault="00E060A7" w:rsidP="009256DE">
      <w:pPr>
        <w:pStyle w:val="Heading4"/>
      </w:pPr>
      <w:r w:rsidRPr="002413E5">
        <w:t>Community</w:t>
      </w:r>
      <w:r>
        <w:t>-</w:t>
      </w:r>
      <w:r w:rsidRPr="002413E5">
        <w:t xml:space="preserve">based services </w:t>
      </w:r>
    </w:p>
    <w:p w:rsidR="00E060A7" w:rsidRDefault="00E060A7" w:rsidP="00E060A7">
      <w:pPr>
        <w:jc w:val="both"/>
      </w:pPr>
      <w:r w:rsidRPr="002413E5">
        <w:t xml:space="preserve">In the United Kingdom, learning disability teams are widely available for people with intellectual impairment. These teams provide specialist treatment where general services are unable to meet needs, support primary care services to identify and meet </w:t>
      </w:r>
      <w:r w:rsidRPr="002413E5">
        <w:lastRenderedPageBreak/>
        <w:t>health needs, facilitate access to general services, and provide education and advice to individuals, families, and other professionals</w:t>
      </w:r>
      <w:r>
        <w:t>.</w:t>
      </w:r>
      <w:r>
        <w:rPr>
          <w:rStyle w:val="FootnoteReference"/>
          <w:rFonts w:ascii="Arial" w:hAnsi="Arial" w:cs="Arial"/>
          <w:szCs w:val="20"/>
        </w:rPr>
        <w:footnoteReference w:id="235"/>
      </w:r>
    </w:p>
    <w:p w:rsidR="00E060A7" w:rsidRPr="00E90492" w:rsidRDefault="00E060A7" w:rsidP="009256DE">
      <w:pPr>
        <w:pStyle w:val="Heading2"/>
      </w:pPr>
      <w:bookmarkStart w:id="480" w:name="_Toc421805853"/>
      <w:bookmarkStart w:id="481" w:name="_Toc424669278"/>
      <w:bookmarkStart w:id="482" w:name="_Toc457553309"/>
      <w:r>
        <w:t>Ireland</w:t>
      </w:r>
      <w:bookmarkEnd w:id="480"/>
      <w:bookmarkEnd w:id="481"/>
      <w:bookmarkEnd w:id="482"/>
    </w:p>
    <w:p w:rsidR="00E060A7" w:rsidRPr="00E90492" w:rsidRDefault="00E060A7" w:rsidP="009256DE">
      <w:pPr>
        <w:pStyle w:val="Heading3"/>
      </w:pPr>
      <w:r w:rsidRPr="00E90492">
        <w:rPr>
          <w:rFonts w:eastAsia="Univers 45 Light"/>
        </w:rPr>
        <w:t>Policies and Regulations</w:t>
      </w:r>
    </w:p>
    <w:p w:rsidR="00E060A7" w:rsidRPr="004F2B2B" w:rsidRDefault="00E060A7" w:rsidP="009256DE">
      <w:pPr>
        <w:pStyle w:val="Heading4"/>
        <w:rPr>
          <w:rFonts w:asciiTheme="minorHAnsi" w:hAnsiTheme="minorHAnsi" w:cs="Arial"/>
          <w:color w:val="000000"/>
          <w:szCs w:val="16"/>
          <w:u w:val="single"/>
          <w:lang w:val="en-US"/>
        </w:rPr>
      </w:pPr>
      <w:bookmarkStart w:id="483" w:name="_Toc418101313"/>
      <w:r w:rsidRPr="006B76F5">
        <w:rPr>
          <w:lang w:val="en-US"/>
        </w:rPr>
        <w:t>Equal Status Acts</w:t>
      </w:r>
      <w:r>
        <w:rPr>
          <w:lang w:val="en-US"/>
        </w:rPr>
        <w:t>,</w:t>
      </w:r>
      <w:r w:rsidRPr="006B76F5">
        <w:rPr>
          <w:lang w:val="en-US"/>
        </w:rPr>
        <w:t xml:space="preserve"> 2000 to 2011</w:t>
      </w:r>
    </w:p>
    <w:p w:rsidR="00E060A7" w:rsidRDefault="00E060A7" w:rsidP="009256DE">
      <w:pPr>
        <w:jc w:val="both"/>
      </w:pPr>
      <w:r w:rsidRPr="004F2B2B">
        <w:t>Prohibit discrimination in the provision of goods and services on the grounds of disability. The Acts require that service providers accommodate the needs of people with disabilities by making reasonable changes to the service, including special treatment and special facilities, where this is necessary.</w:t>
      </w:r>
      <w:r>
        <w:rPr>
          <w:rStyle w:val="FootnoteReference"/>
        </w:rPr>
        <w:footnoteReference w:id="236"/>
      </w:r>
    </w:p>
    <w:p w:rsidR="00E060A7" w:rsidRDefault="00E060A7" w:rsidP="009256DE">
      <w:pPr>
        <w:pStyle w:val="Heading4"/>
        <w:rPr>
          <w:lang w:val="en-US"/>
        </w:rPr>
      </w:pPr>
      <w:r>
        <w:rPr>
          <w:lang w:val="en-US"/>
        </w:rPr>
        <w:t xml:space="preserve">Disability Act, </w:t>
      </w:r>
      <w:r w:rsidRPr="006B76F5">
        <w:rPr>
          <w:lang w:val="en-US"/>
        </w:rPr>
        <w:t>2005</w:t>
      </w:r>
    </w:p>
    <w:p w:rsidR="00E060A7" w:rsidRPr="004F2B2B" w:rsidRDefault="00E060A7" w:rsidP="009256DE">
      <w:pPr>
        <w:jc w:val="both"/>
        <w:rPr>
          <w:lang w:val="en-US"/>
        </w:rPr>
      </w:pPr>
      <w:r>
        <w:t>R</w:t>
      </w:r>
      <w:r w:rsidRPr="004F2B2B">
        <w:t>equires organizations providing services and information to accommodate the needs of people with disabilities. Health service providers are required to accommodate the needs of people with disabilities, including the provision of information in formats accessible to disabled people.</w:t>
      </w:r>
      <w:r>
        <w:rPr>
          <w:rStyle w:val="FootnoteReference"/>
        </w:rPr>
        <w:footnoteReference w:id="237"/>
      </w:r>
      <w:r w:rsidRPr="004F2B2B">
        <w:t xml:space="preserve"> </w:t>
      </w:r>
    </w:p>
    <w:p w:rsidR="00E060A7" w:rsidRDefault="00E060A7" w:rsidP="009256DE">
      <w:pPr>
        <w:pStyle w:val="Heading4"/>
      </w:pPr>
      <w:r w:rsidRPr="004A3B7A">
        <w:t>National Disability Strategy</w:t>
      </w:r>
    </w:p>
    <w:p w:rsidR="00E060A7" w:rsidRPr="004A3B7A" w:rsidRDefault="00E060A7" w:rsidP="008D0AA0">
      <w:r w:rsidRPr="004A3B7A">
        <w:t xml:space="preserve">The Government launched the National Disability Strategy to underpin the participation of people with disabilities in Irish society. The strategy builds on existing policy and legislation, including the policy of mainstreaming public services for people with disabilities. It has been endorsed in the social partnership agreement </w:t>
      </w:r>
      <w:r>
        <w:t>“</w:t>
      </w:r>
      <w:r w:rsidRPr="004A3B7A">
        <w:t>Towards 2016</w:t>
      </w:r>
      <w:r>
        <w:t>”</w:t>
      </w:r>
      <w:r w:rsidRPr="004A3B7A">
        <w:t>.</w:t>
      </w:r>
      <w:r>
        <w:rPr>
          <w:rStyle w:val="FootnoteReference"/>
        </w:rPr>
        <w:footnoteReference w:id="238"/>
      </w:r>
    </w:p>
    <w:p w:rsidR="00E060A7" w:rsidRPr="004F2B2B" w:rsidRDefault="00E060A7" w:rsidP="009256DE">
      <w:pPr>
        <w:pStyle w:val="Heading4"/>
      </w:pPr>
      <w:r w:rsidRPr="004F2B2B">
        <w:t>National Disability Authority</w:t>
      </w:r>
    </w:p>
    <w:p w:rsidR="00E060A7" w:rsidRDefault="00E060A7" w:rsidP="005D44FF">
      <w:pPr>
        <w:rPr>
          <w:lang w:val="en-IE"/>
        </w:rPr>
      </w:pPr>
      <w:r>
        <w:rPr>
          <w:lang w:val="en-IE"/>
        </w:rPr>
        <w:t>Conducted a r</w:t>
      </w:r>
      <w:r w:rsidRPr="004A3B7A">
        <w:rPr>
          <w:lang w:val="en-IE"/>
        </w:rPr>
        <w:t>eview of literature and guidelines on accessibility in healthcare that underpin the National Guidelines on Accessible Primary, Community and Hospital Services.</w:t>
      </w:r>
      <w:r>
        <w:rPr>
          <w:rStyle w:val="FootnoteReference"/>
          <w:lang w:val="en-IE"/>
        </w:rPr>
        <w:footnoteReference w:id="239"/>
      </w:r>
    </w:p>
    <w:p w:rsidR="00E060A7" w:rsidRPr="00E90492" w:rsidRDefault="00E060A7" w:rsidP="009256DE">
      <w:pPr>
        <w:pStyle w:val="Heading2"/>
      </w:pPr>
      <w:bookmarkStart w:id="484" w:name="_Toc421805854"/>
      <w:bookmarkStart w:id="485" w:name="_Toc424669279"/>
      <w:bookmarkStart w:id="486" w:name="_Toc457553310"/>
      <w:r w:rsidRPr="00E90492">
        <w:lastRenderedPageBreak/>
        <w:t>Australia</w:t>
      </w:r>
      <w:bookmarkEnd w:id="483"/>
      <w:bookmarkEnd w:id="484"/>
      <w:bookmarkEnd w:id="485"/>
      <w:bookmarkEnd w:id="486"/>
      <w:r w:rsidRPr="00E90492">
        <w:t xml:space="preserve"> </w:t>
      </w:r>
    </w:p>
    <w:p w:rsidR="00E060A7" w:rsidRDefault="00E060A7" w:rsidP="009256DE">
      <w:pPr>
        <w:jc w:val="both"/>
      </w:pPr>
      <w:r>
        <w:t>Approximately o</w:t>
      </w:r>
      <w:r w:rsidRPr="00E90492">
        <w:t>ne in five Australians ha</w:t>
      </w:r>
      <w:r>
        <w:t>ve</w:t>
      </w:r>
      <w:r w:rsidRPr="00E90492">
        <w:t xml:space="preserve"> a disability. However, many face significant barriers when it comes to work, study, sports, getting around, and simply taking part in everyday activities.</w:t>
      </w:r>
      <w:r w:rsidRPr="00E90492">
        <w:rPr>
          <w:vertAlign w:val="superscript"/>
        </w:rPr>
        <w:footnoteReference w:id="240"/>
      </w:r>
      <w:bookmarkStart w:id="487" w:name="_Toc418101314"/>
    </w:p>
    <w:p w:rsidR="00E060A7" w:rsidRPr="006D0D5F" w:rsidRDefault="00E060A7" w:rsidP="009256DE">
      <w:pPr>
        <w:pStyle w:val="Heading3"/>
      </w:pPr>
      <w:r w:rsidRPr="00E90492">
        <w:rPr>
          <w:rFonts w:eastAsia="Univers 45 Light"/>
        </w:rPr>
        <w:t>Policies and Regulations</w:t>
      </w:r>
      <w:bookmarkEnd w:id="487"/>
    </w:p>
    <w:p w:rsidR="00E060A7" w:rsidRPr="00E90492" w:rsidRDefault="00E060A7" w:rsidP="009256DE">
      <w:pPr>
        <w:pStyle w:val="Heading4"/>
      </w:pPr>
      <w:bookmarkStart w:id="488" w:name="_Toc418101315"/>
      <w:r w:rsidRPr="00E90492">
        <w:t>Disability Discrimination Act</w:t>
      </w:r>
      <w:r>
        <w:t>,</w:t>
      </w:r>
      <w:r w:rsidRPr="00E90492">
        <w:t xml:space="preserve"> 1992</w:t>
      </w:r>
      <w:bookmarkEnd w:id="488"/>
    </w:p>
    <w:p w:rsidR="00E060A7" w:rsidRPr="00E90492" w:rsidRDefault="00E060A7" w:rsidP="009256DE">
      <w:pPr>
        <w:jc w:val="both"/>
      </w:pPr>
      <w:r w:rsidRPr="00E90492">
        <w:t xml:space="preserve">The </w:t>
      </w:r>
      <w:r w:rsidRPr="00E90492">
        <w:rPr>
          <w:i/>
        </w:rPr>
        <w:t>Disability Discrimination Act</w:t>
      </w:r>
      <w:r>
        <w:rPr>
          <w:i/>
        </w:rPr>
        <w:t>,</w:t>
      </w:r>
      <w:r w:rsidRPr="00E90492">
        <w:t xml:space="preserve"> 1992 protects individuals across Australia from unfair treatment in many parts of public life. The Act makes disability discrimination unlawful and promotes equal rights, equal opportunity, and equal access</w:t>
      </w:r>
      <w:r>
        <w:t xml:space="preserve"> for people with disabilities. </w:t>
      </w:r>
      <w:r w:rsidRPr="00E90492">
        <w:t xml:space="preserve">The </w:t>
      </w:r>
      <w:r w:rsidRPr="00E90492">
        <w:rPr>
          <w:i/>
        </w:rPr>
        <w:t>Commonwealth Disability Discrimination Act</w:t>
      </w:r>
      <w:r w:rsidRPr="00E90492">
        <w:t xml:space="preserve"> 1992 (the "DDA") aims, as far as possible, to promote the rights of people with a disability to participate equally in all areas of life. It does this by making it unlawful to discriminate against a person with a disability, subject to a number of exceptions intended to balance the rights of people with disabiliti</w:t>
      </w:r>
      <w:r>
        <w:t>es with those of other persons.</w:t>
      </w:r>
    </w:p>
    <w:p w:rsidR="00E060A7" w:rsidRPr="00E90492" w:rsidRDefault="00E060A7" w:rsidP="009256DE">
      <w:pPr>
        <w:pStyle w:val="Heading4"/>
      </w:pPr>
      <w:bookmarkStart w:id="489" w:name="_Toc418101316"/>
      <w:r w:rsidRPr="00E90492">
        <w:t>Disability (Access to Premises - Buildings) Standards 2010 - F2010L00668</w:t>
      </w:r>
      <w:bookmarkEnd w:id="489"/>
      <w:r w:rsidRPr="00E90492">
        <w:t xml:space="preserve"> </w:t>
      </w:r>
    </w:p>
    <w:p w:rsidR="00E060A7" w:rsidRPr="00E90492" w:rsidRDefault="00E060A7" w:rsidP="009256DE">
      <w:pPr>
        <w:jc w:val="both"/>
      </w:pPr>
      <w:r w:rsidRPr="00E90492">
        <w:t>The Disability (Access to Premises-Buildings) Standards 2010 (Premises Standards) aim to ensure greater and dignified access to and use of buildings by people with a disability as well as to provide certainty to the building industry in meeting its obligations under the Disab</w:t>
      </w:r>
      <w:r>
        <w:t xml:space="preserve">ility Discrimination Act 1992. </w:t>
      </w:r>
      <w:r w:rsidRPr="00E90492">
        <w:t>The Premises Standards came into effect on 1 May 2011. Every five years the Minister for Industry and Science must, in consultation with the Attorney-General, review the effectiveness of the Premises Standards in achieving their objectives and identify any necessary amendments.</w:t>
      </w:r>
      <w:r w:rsidRPr="00E90492">
        <w:rPr>
          <w:vertAlign w:val="superscript"/>
        </w:rPr>
        <w:footnoteReference w:id="241"/>
      </w:r>
    </w:p>
    <w:p w:rsidR="00E060A7" w:rsidRPr="00E90492" w:rsidRDefault="00E060A7" w:rsidP="009256DE">
      <w:pPr>
        <w:pStyle w:val="Heading4"/>
      </w:pPr>
      <w:bookmarkStart w:id="490" w:name="_Toc418101317"/>
      <w:r w:rsidRPr="00E90492">
        <w:t>National Construction Code of Australia</w:t>
      </w:r>
      <w:r w:rsidRPr="00E90492">
        <w:rPr>
          <w:vertAlign w:val="superscript"/>
        </w:rPr>
        <w:footnoteReference w:id="242"/>
      </w:r>
      <w:bookmarkEnd w:id="490"/>
    </w:p>
    <w:p w:rsidR="00E060A7" w:rsidRPr="00E90492" w:rsidRDefault="00E060A7" w:rsidP="009256DE">
      <w:pPr>
        <w:jc w:val="both"/>
      </w:pPr>
      <w:r w:rsidRPr="00E90492">
        <w:t>The NCC is a uniform set of technical provisions for building work and plumbing and drainage installations throughout Australia whilst allowing for variations in climate and geological or geographic conditions. The NCC comprises the Building Code of Australia (BCA), Volume One and Two; and the Plumbing Code of Au</w:t>
      </w:r>
      <w:r>
        <w:t xml:space="preserve">stralia (PCA), as Volume Three. </w:t>
      </w:r>
      <w:r w:rsidRPr="00E90492">
        <w:t>The National Construction Code (NCC) is given legal effect by relevant legislation in each State and Territory. This legislation prescribes or "calls up" the NCC to fulfill any technical requirements, which have to be satisfied when undertaking building work or plumb</w:t>
      </w:r>
      <w:r>
        <w:t xml:space="preserve">ing and drainage installations. </w:t>
      </w:r>
      <w:r w:rsidRPr="00E90492">
        <w:t xml:space="preserve">Each State's and Territory's legislation consists of an Act of Parliament and subordinate legislation, which empowers </w:t>
      </w:r>
      <w:r w:rsidRPr="00E90492">
        <w:lastRenderedPageBreak/>
        <w:t xml:space="preserve">the regulation of certain aspects of building work or plumbing and drainage installations, and contains the administrative provisions necessary to </w:t>
      </w:r>
      <w:r>
        <w:t>give effect to the legislation.</w:t>
      </w:r>
    </w:p>
    <w:p w:rsidR="00E060A7" w:rsidRPr="00E90492" w:rsidRDefault="00E060A7" w:rsidP="009256DE">
      <w:pPr>
        <w:pStyle w:val="Heading4"/>
      </w:pPr>
      <w:bookmarkStart w:id="491" w:name="_Toc418101318"/>
      <w:r w:rsidRPr="00E90492">
        <w:t>Building Code of Australia</w:t>
      </w:r>
      <w:bookmarkEnd w:id="491"/>
    </w:p>
    <w:p w:rsidR="00E060A7" w:rsidRPr="00E90492" w:rsidRDefault="00E060A7" w:rsidP="009256DE">
      <w:pPr>
        <w:jc w:val="both"/>
      </w:pPr>
      <w:r w:rsidRPr="00E90492">
        <w:t>The Building Code of Australia (BCA) is Volumes One and Two of the National Construction Code (NCC). The BCA is produced and maintained by the Australian Building Codes Board (ABCB) on behalf of the Australian Government and State and Territory Governments. The BCA has been given the status of building regulation</w:t>
      </w:r>
      <w:r>
        <w:t xml:space="preserve"> by all States and Territories.</w:t>
      </w:r>
      <w:r w:rsidRPr="00E90492">
        <w:rPr>
          <w:vertAlign w:val="superscript"/>
        </w:rPr>
        <w:footnoteReference w:id="243"/>
      </w:r>
    </w:p>
    <w:p w:rsidR="00E060A7" w:rsidRPr="00E90492" w:rsidRDefault="00E060A7" w:rsidP="009256DE">
      <w:pPr>
        <w:pStyle w:val="Heading3"/>
        <w:rPr>
          <w:rFonts w:eastAsia="Univers 45 Light"/>
        </w:rPr>
      </w:pPr>
      <w:bookmarkStart w:id="492" w:name="_Toc417575073"/>
      <w:bookmarkStart w:id="493" w:name="_Toc418101319"/>
      <w:r w:rsidRPr="00E90492">
        <w:rPr>
          <w:rFonts w:eastAsia="Univers 45 Light"/>
        </w:rPr>
        <w:t>Programs</w:t>
      </w:r>
      <w:bookmarkEnd w:id="492"/>
      <w:bookmarkEnd w:id="493"/>
    </w:p>
    <w:p w:rsidR="00E060A7" w:rsidRPr="00E90492" w:rsidRDefault="00E060A7" w:rsidP="009256DE">
      <w:pPr>
        <w:pStyle w:val="Heading4"/>
      </w:pPr>
      <w:bookmarkStart w:id="494" w:name="_Toc418101320"/>
      <w:r w:rsidRPr="00E90492">
        <w:t>National Disability Strategy 2010-2020</w:t>
      </w:r>
      <w:bookmarkEnd w:id="494"/>
    </w:p>
    <w:p w:rsidR="00E060A7" w:rsidRPr="00E90492" w:rsidRDefault="00E060A7" w:rsidP="009256DE">
      <w:pPr>
        <w:jc w:val="both"/>
      </w:pPr>
      <w:r w:rsidRPr="00E90492">
        <w:t>The National Disability Strategy (the Strategy) sets out a ten-year national plan for improving life for Australians with disability, their families, and carers. It draws on the findings of extensive consultation conducted in 2008-09 by the National People with Disabilities and Carer Council and reported in Shut Out: The Experience of People with Disabilities and their F</w:t>
      </w:r>
      <w:r>
        <w:t xml:space="preserve">amilies in Australia (2009). </w:t>
      </w:r>
      <w:r w:rsidRPr="00E90492">
        <w:t>The purpose of the National Disability Strategy is to:</w:t>
      </w:r>
      <w:r>
        <w:rPr>
          <w:rStyle w:val="FootnoteReference"/>
        </w:rPr>
        <w:footnoteReference w:id="244"/>
      </w:r>
    </w:p>
    <w:p w:rsidR="00E060A7" w:rsidRPr="00E90492" w:rsidRDefault="00E060A7" w:rsidP="00BC5BD4">
      <w:pPr>
        <w:pStyle w:val="ListParagraph"/>
        <w:numPr>
          <w:ilvl w:val="0"/>
          <w:numId w:val="82"/>
        </w:numPr>
      </w:pPr>
      <w:r>
        <w:t>E</w:t>
      </w:r>
      <w:r w:rsidRPr="00E90492">
        <w:t>stablish a high level policy framework to give coherence to, and guide government activity across mainstream and disability-specific areas of public policy</w:t>
      </w:r>
    </w:p>
    <w:p w:rsidR="00E060A7" w:rsidRPr="00E90492" w:rsidRDefault="00E060A7" w:rsidP="00BC5BD4">
      <w:pPr>
        <w:pStyle w:val="ListParagraph"/>
        <w:numPr>
          <w:ilvl w:val="0"/>
          <w:numId w:val="82"/>
        </w:numPr>
      </w:pPr>
      <w:r>
        <w:t>D</w:t>
      </w:r>
      <w:r w:rsidRPr="00E90492">
        <w:t>rive improved performance of mainstream services in delivering outcomes for people with disability</w:t>
      </w:r>
    </w:p>
    <w:p w:rsidR="00E060A7" w:rsidRPr="00E90492" w:rsidRDefault="00E060A7" w:rsidP="00BC5BD4">
      <w:pPr>
        <w:pStyle w:val="ListParagraph"/>
        <w:numPr>
          <w:ilvl w:val="0"/>
          <w:numId w:val="82"/>
        </w:numPr>
      </w:pPr>
      <w:r>
        <w:t>G</w:t>
      </w:r>
      <w:r w:rsidRPr="00E90492">
        <w:t>ive visibility to disability issues and ensure they are included in the development and implementation of all public policy that impacts on people with disability</w:t>
      </w:r>
    </w:p>
    <w:p w:rsidR="00E060A7" w:rsidRPr="00E90492" w:rsidRDefault="00E060A7" w:rsidP="00BC5BD4">
      <w:pPr>
        <w:pStyle w:val="ListParagraph"/>
        <w:numPr>
          <w:ilvl w:val="0"/>
          <w:numId w:val="82"/>
        </w:numPr>
      </w:pPr>
      <w:r>
        <w:t>P</w:t>
      </w:r>
      <w:r w:rsidRPr="00E90492">
        <w:t>rovide national leadership toward greater inclusion of people with disability.</w:t>
      </w:r>
    </w:p>
    <w:p w:rsidR="00E060A7" w:rsidRPr="00E90492" w:rsidRDefault="00E060A7" w:rsidP="009256DE">
      <w:pPr>
        <w:jc w:val="both"/>
      </w:pPr>
      <w:r w:rsidRPr="00E90492">
        <w:rPr>
          <w:b/>
        </w:rPr>
        <w:t>Policy Directions:</w:t>
      </w:r>
    </w:p>
    <w:p w:rsidR="00E060A7" w:rsidRPr="00E90492" w:rsidRDefault="00E060A7" w:rsidP="00BC5BD4">
      <w:pPr>
        <w:pStyle w:val="ListParagraph"/>
        <w:numPr>
          <w:ilvl w:val="0"/>
          <w:numId w:val="82"/>
        </w:numPr>
      </w:pPr>
      <w:r w:rsidRPr="00E90492">
        <w:t>All health service providers (including hospitals, general practices, specialist services, allied health, dental health, mental health and population health programs and ambulance services) have the capability to meet the needs of people with disability.</w:t>
      </w:r>
    </w:p>
    <w:p w:rsidR="00E060A7" w:rsidRPr="00E90492" w:rsidRDefault="00E060A7" w:rsidP="00BC5BD4">
      <w:pPr>
        <w:pStyle w:val="ListParagraph"/>
        <w:numPr>
          <w:ilvl w:val="0"/>
          <w:numId w:val="82"/>
        </w:numPr>
      </w:pPr>
      <w:r w:rsidRPr="00E90492">
        <w:lastRenderedPageBreak/>
        <w:t>Timely, comprehensive, and effective prevention and early intervention health services for people with disability.</w:t>
      </w:r>
    </w:p>
    <w:p w:rsidR="00E060A7" w:rsidRPr="00E90492" w:rsidRDefault="00E060A7" w:rsidP="00BC5BD4">
      <w:pPr>
        <w:pStyle w:val="ListParagraph"/>
        <w:numPr>
          <w:ilvl w:val="0"/>
          <w:numId w:val="82"/>
        </w:numPr>
      </w:pPr>
      <w:r w:rsidRPr="00E90492">
        <w:t>Universal health reforms and initiatives to address the needs of people with disability, their families, and carers.</w:t>
      </w:r>
    </w:p>
    <w:p w:rsidR="00E060A7" w:rsidRPr="00E67667" w:rsidRDefault="00E060A7" w:rsidP="00BC5BD4">
      <w:pPr>
        <w:pStyle w:val="ListParagraph"/>
        <w:numPr>
          <w:ilvl w:val="0"/>
          <w:numId w:val="82"/>
        </w:numPr>
      </w:pPr>
      <w:r w:rsidRPr="00E90492">
        <w:t>Factors fundamental to wellbeing and health status such as choice and control, social participation and relationships, to be supported in government policy and program design.</w:t>
      </w:r>
    </w:p>
    <w:p w:rsidR="00E060A7" w:rsidRPr="00E90492" w:rsidRDefault="00E060A7" w:rsidP="009256DE">
      <w:pPr>
        <w:pStyle w:val="Heading4"/>
      </w:pPr>
      <w:bookmarkStart w:id="495" w:name="_Toc418101321"/>
      <w:r w:rsidRPr="00E90492">
        <w:t>The Way Forward - A New Disability Policy Framework for Australia</w:t>
      </w:r>
      <w:r w:rsidRPr="00E90492">
        <w:rPr>
          <w:vertAlign w:val="superscript"/>
        </w:rPr>
        <w:footnoteReference w:id="245"/>
      </w:r>
      <w:bookmarkEnd w:id="495"/>
    </w:p>
    <w:p w:rsidR="00E060A7" w:rsidRPr="00E90492" w:rsidRDefault="00E060A7" w:rsidP="009256DE">
      <w:pPr>
        <w:jc w:val="both"/>
      </w:pPr>
      <w:r w:rsidRPr="00E90492">
        <w:t>In April 2008, the former Parliamentary Secretary for Disabilities and Children’s Services, the Hon Bill Shorten MP, established the Disability Investment Group (DIG). The Group’s role was to explore innovative funding ideas from the private sector that will help people with disability and their families access greater support and plan for the future.</w:t>
      </w:r>
    </w:p>
    <w:p w:rsidR="00E060A7" w:rsidRPr="00E90492" w:rsidRDefault="00E060A7" w:rsidP="009256DE">
      <w:pPr>
        <w:jc w:val="both"/>
      </w:pPr>
      <w:r w:rsidRPr="00E90492">
        <w:t>The re</w:t>
      </w:r>
      <w:r>
        <w:t>port makes six recommendations with t</w:t>
      </w:r>
      <w:r w:rsidRPr="00E90492">
        <w:t>he principal recommendation for a feasibility study into a national disability insurance scheme for Australia. Other recommen</w:t>
      </w:r>
      <w:r>
        <w:t>dations refer to the following:</w:t>
      </w:r>
    </w:p>
    <w:p w:rsidR="00E060A7" w:rsidRPr="00E90492" w:rsidRDefault="00E060A7" w:rsidP="00BC5BD4">
      <w:pPr>
        <w:pStyle w:val="ListParagraph"/>
        <w:numPr>
          <w:ilvl w:val="0"/>
          <w:numId w:val="82"/>
        </w:numPr>
      </w:pPr>
      <w:r w:rsidRPr="00E90492">
        <w:t>special disability trusts</w:t>
      </w:r>
    </w:p>
    <w:p w:rsidR="00E060A7" w:rsidRPr="00E90492" w:rsidRDefault="00E060A7" w:rsidP="00BC5BD4">
      <w:pPr>
        <w:pStyle w:val="ListParagraph"/>
        <w:numPr>
          <w:ilvl w:val="0"/>
          <w:numId w:val="82"/>
        </w:numPr>
      </w:pPr>
      <w:r w:rsidRPr="00E90492">
        <w:t>savings and investment incentives</w:t>
      </w:r>
    </w:p>
    <w:p w:rsidR="00E060A7" w:rsidRPr="00E90492" w:rsidRDefault="00E060A7" w:rsidP="00BC5BD4">
      <w:pPr>
        <w:pStyle w:val="ListParagraph"/>
        <w:numPr>
          <w:ilvl w:val="0"/>
          <w:numId w:val="82"/>
        </w:numPr>
      </w:pPr>
      <w:r w:rsidRPr="00E90492">
        <w:t>private investment in housing</w:t>
      </w:r>
    </w:p>
    <w:p w:rsidR="00E060A7" w:rsidRPr="00E90492" w:rsidRDefault="00E060A7" w:rsidP="00BC5BD4">
      <w:pPr>
        <w:pStyle w:val="ListParagraph"/>
        <w:numPr>
          <w:ilvl w:val="0"/>
          <w:numId w:val="82"/>
        </w:numPr>
      </w:pPr>
      <w:r w:rsidRPr="00E90492">
        <w:t>better employment opportunities</w:t>
      </w:r>
    </w:p>
    <w:p w:rsidR="00E060A7" w:rsidRPr="005710A3" w:rsidRDefault="00E060A7" w:rsidP="00BC5BD4">
      <w:pPr>
        <w:pStyle w:val="ListParagraph"/>
        <w:numPr>
          <w:ilvl w:val="0"/>
          <w:numId w:val="82"/>
        </w:numPr>
      </w:pPr>
      <w:r w:rsidRPr="00E90492">
        <w:t>building best practice and research</w:t>
      </w:r>
    </w:p>
    <w:p w:rsidR="00E060A7" w:rsidRPr="00E90492" w:rsidRDefault="00E060A7" w:rsidP="009256DE">
      <w:pPr>
        <w:jc w:val="both"/>
      </w:pPr>
      <w:r w:rsidRPr="00E90492">
        <w:t>The Gover</w:t>
      </w:r>
      <w:r>
        <w:t xml:space="preserve">nment recognizes this need and </w:t>
      </w:r>
      <w:r w:rsidRPr="00E90492">
        <w:t>on November 23, 2009</w:t>
      </w:r>
      <w:r>
        <w:t>,</w:t>
      </w:r>
      <w:r w:rsidRPr="00E90492">
        <w:t xml:space="preserve"> announced that as part of the National Disability Strategy, </w:t>
      </w:r>
      <w:r>
        <w:t>a</w:t>
      </w:r>
      <w:r w:rsidRPr="00E90492">
        <w:t xml:space="preserve"> Productivity Commission </w:t>
      </w:r>
      <w:r>
        <w:t>was</w:t>
      </w:r>
      <w:r w:rsidRPr="00E90492">
        <w:t xml:space="preserve"> </w:t>
      </w:r>
      <w:r>
        <w:t>established</w:t>
      </w:r>
      <w:r w:rsidRPr="00E90492">
        <w:t xml:space="preserve"> to undertake an Inquiry into long-term care and support for people with disability in Australia. The Inquiry </w:t>
      </w:r>
      <w:r>
        <w:t>was</w:t>
      </w:r>
      <w:r w:rsidRPr="00E90492">
        <w:t xml:space="preserve"> supported by an independent pane</w:t>
      </w:r>
      <w:r>
        <w:t xml:space="preserve">l of prominent experts. As well, the government committed to </w:t>
      </w:r>
      <w:r w:rsidRPr="00E90492">
        <w:t>make significant investment via the new National Disability Agreement, including more than $5 billion in funding over five years to the States for specialist disability services including supported accommodation, respite, and in-home care. The Agreement includes the highest ever level of growth funding so that in 2013 the Australian Government's contribution will exceed $1.2 billion, compared to $620 million in 2007 under the previous government.</w:t>
      </w:r>
    </w:p>
    <w:p w:rsidR="00E060A7" w:rsidRPr="00E90492" w:rsidRDefault="00E060A7" w:rsidP="009256DE">
      <w:pPr>
        <w:pStyle w:val="Heading4"/>
      </w:pPr>
      <w:bookmarkStart w:id="496" w:name="_Toc418101322"/>
      <w:r w:rsidRPr="00E90492">
        <w:lastRenderedPageBreak/>
        <w:t>Action Plan</w:t>
      </w:r>
      <w:bookmarkEnd w:id="496"/>
    </w:p>
    <w:p w:rsidR="00E060A7" w:rsidRPr="00E90492" w:rsidRDefault="00E060A7" w:rsidP="009256DE">
      <w:pPr>
        <w:jc w:val="both"/>
      </w:pPr>
      <w:r w:rsidRPr="00E90492">
        <w:t xml:space="preserve">The </w:t>
      </w:r>
      <w:r w:rsidRPr="00E90492">
        <w:rPr>
          <w:i/>
        </w:rPr>
        <w:t>Disability Discrimination Act</w:t>
      </w:r>
      <w:r>
        <w:rPr>
          <w:i/>
        </w:rPr>
        <w:t>,</w:t>
      </w:r>
      <w:r w:rsidRPr="00E90492">
        <w:t xml:space="preserve"> 1992 (DDA) makes it unlawful to discriminate, in the provision of goods, services or facilities, against people on the basis that they have, or may have, a disability. It also makes it unlawful to discriminate against a person on the basis that one of her or his associates has, or may have, a disability</w:t>
      </w:r>
      <w:r>
        <w:t xml:space="preserve">. </w:t>
      </w:r>
      <w:r w:rsidRPr="00E90492">
        <w:t>The Act encourages organisations to develop Action Plans to eliminate discriminatory practices. Copies of these may be given to the Aust</w:t>
      </w:r>
      <w:r>
        <w:t xml:space="preserve">ralian Human Rights Commission. </w:t>
      </w:r>
      <w:r w:rsidRPr="00E90492">
        <w:t>An Action Plan is a strategy for changing business practices, which might result in discrimination against people with disabilities. An Action Plan will help businesses to identify these practices an</w:t>
      </w:r>
      <w:r>
        <w:t>d offer a blueprint for change</w:t>
      </w:r>
      <w:r w:rsidRPr="00E90492">
        <w:t>.</w:t>
      </w:r>
      <w:r>
        <w:rPr>
          <w:rStyle w:val="FootnoteReference"/>
        </w:rPr>
        <w:footnoteReference w:id="246"/>
      </w:r>
    </w:p>
    <w:p w:rsidR="00E060A7" w:rsidRPr="00E90492" w:rsidRDefault="00E060A7" w:rsidP="009256DE">
      <w:pPr>
        <w:pStyle w:val="Heading4"/>
      </w:pPr>
      <w:bookmarkStart w:id="497" w:name="_Toc418101323"/>
      <w:r w:rsidRPr="00E90492">
        <w:t>Service Framework to Improve Health Care of People with Intellectual Disability</w:t>
      </w:r>
      <w:r w:rsidRPr="00E90492">
        <w:rPr>
          <w:vertAlign w:val="superscript"/>
        </w:rPr>
        <w:footnoteReference w:id="247"/>
      </w:r>
      <w:bookmarkEnd w:id="497"/>
      <w:r w:rsidRPr="00E90492">
        <w:t xml:space="preserve"> </w:t>
      </w:r>
    </w:p>
    <w:p w:rsidR="00E060A7" w:rsidRPr="00E90492" w:rsidRDefault="00E060A7" w:rsidP="009256DE">
      <w:pPr>
        <w:jc w:val="both"/>
      </w:pPr>
      <w:r w:rsidRPr="00E90492">
        <w:t>The Service Framework aims to reduce health inequalities for children, adolescents, and adults with intellectual disability by:</w:t>
      </w:r>
    </w:p>
    <w:p w:rsidR="00E060A7" w:rsidRPr="00E90492" w:rsidRDefault="00E060A7" w:rsidP="00BC5BD4">
      <w:pPr>
        <w:pStyle w:val="ListParagraph"/>
        <w:numPr>
          <w:ilvl w:val="0"/>
          <w:numId w:val="82"/>
        </w:numPr>
      </w:pPr>
      <w:r w:rsidRPr="00E90492">
        <w:t>establishing specialised intellectual disability health services</w:t>
      </w:r>
    </w:p>
    <w:p w:rsidR="00E060A7" w:rsidRPr="00E90492" w:rsidRDefault="00E060A7" w:rsidP="00BC5BD4">
      <w:pPr>
        <w:pStyle w:val="ListParagraph"/>
        <w:numPr>
          <w:ilvl w:val="0"/>
          <w:numId w:val="82"/>
        </w:numPr>
      </w:pPr>
      <w:r w:rsidRPr="00E90492">
        <w:t>creating a centre for clinical leadership, education and training</w:t>
      </w:r>
    </w:p>
    <w:p w:rsidR="00E060A7" w:rsidRPr="00E90492" w:rsidRDefault="00E060A7" w:rsidP="00BC5BD4">
      <w:pPr>
        <w:pStyle w:val="ListParagraph"/>
        <w:numPr>
          <w:ilvl w:val="0"/>
          <w:numId w:val="82"/>
        </w:numPr>
      </w:pPr>
      <w:r w:rsidRPr="00E90492">
        <w:t>enhancing the capacity of existing services to meet their health needs</w:t>
      </w:r>
    </w:p>
    <w:p w:rsidR="00E060A7" w:rsidRPr="00E90492" w:rsidRDefault="00E060A7" w:rsidP="00BC5BD4">
      <w:pPr>
        <w:pStyle w:val="ListParagraph"/>
        <w:numPr>
          <w:ilvl w:val="0"/>
          <w:numId w:val="82"/>
        </w:numPr>
      </w:pPr>
      <w:r w:rsidRPr="00E90492">
        <w:t>improving access to quality health care services</w:t>
      </w:r>
    </w:p>
    <w:p w:rsidR="00E060A7" w:rsidRPr="00E90492" w:rsidRDefault="00E060A7" w:rsidP="009256DE">
      <w:pPr>
        <w:jc w:val="both"/>
      </w:pPr>
      <w:r w:rsidRPr="00E90492">
        <w:t>The Service Framework is based on a tiered model of care:</w:t>
      </w:r>
    </w:p>
    <w:p w:rsidR="00E060A7" w:rsidRPr="00E90492" w:rsidRDefault="00E060A7" w:rsidP="00BC5BD4">
      <w:pPr>
        <w:pStyle w:val="ListParagraph"/>
        <w:numPr>
          <w:ilvl w:val="0"/>
          <w:numId w:val="82"/>
        </w:numPr>
      </w:pPr>
      <w:r w:rsidRPr="00E90492">
        <w:t>Tier 1: strategic health policy promotes better health and well-being and focuses on the entire community, including people with intellectual disability.</w:t>
      </w:r>
    </w:p>
    <w:p w:rsidR="00E060A7" w:rsidRPr="00E90492" w:rsidRDefault="00E060A7" w:rsidP="00BC5BD4">
      <w:pPr>
        <w:pStyle w:val="ListParagraph"/>
        <w:numPr>
          <w:ilvl w:val="0"/>
          <w:numId w:val="82"/>
        </w:numPr>
      </w:pPr>
      <w:r w:rsidRPr="00E90492">
        <w:t>Tier 2: Primary and community health services are the first point of contact for most people seeking health care and from where referrals to further health care are made.</w:t>
      </w:r>
    </w:p>
    <w:p w:rsidR="00E060A7" w:rsidRPr="00E90492" w:rsidRDefault="00E060A7" w:rsidP="00BC5BD4">
      <w:pPr>
        <w:pStyle w:val="ListParagraph"/>
        <w:numPr>
          <w:ilvl w:val="0"/>
          <w:numId w:val="82"/>
        </w:numPr>
      </w:pPr>
      <w:r w:rsidRPr="00E90492">
        <w:t>Tier 3: Acute health care services deal with critical or emergency health care needs of patients.</w:t>
      </w:r>
    </w:p>
    <w:p w:rsidR="00E060A7" w:rsidRPr="00E90492" w:rsidRDefault="00E060A7" w:rsidP="00BC5BD4">
      <w:pPr>
        <w:pStyle w:val="ListParagraph"/>
        <w:numPr>
          <w:ilvl w:val="0"/>
          <w:numId w:val="82"/>
        </w:numPr>
      </w:pPr>
      <w:r w:rsidRPr="00E90492">
        <w:t>Tier 4: Specialised intellectual disability health services staffed with experience multidisciplinary clinical teams would be able to better assess, treat, and manage the health needs of people with intellectual disability. At the same time, these services could provide advice to general primary and secondary health services.</w:t>
      </w:r>
    </w:p>
    <w:p w:rsidR="00E060A7" w:rsidRPr="00E90492" w:rsidRDefault="00E060A7" w:rsidP="00BC5BD4">
      <w:pPr>
        <w:pStyle w:val="ListParagraph"/>
        <w:numPr>
          <w:ilvl w:val="0"/>
          <w:numId w:val="82"/>
        </w:numPr>
      </w:pPr>
      <w:r w:rsidRPr="00E90492">
        <w:t xml:space="preserve">Tier 5: Clinical leadership, research, and education are essential elements for enhancing the capacity of primary and secondary health services to care for and </w:t>
      </w:r>
      <w:r w:rsidRPr="00E90492">
        <w:lastRenderedPageBreak/>
        <w:t xml:space="preserve">manage the health of people with intellectual disability. A centre of excellence would also provide a focal point for improved clinical practice based of robust evidence through the development of clinical practice and clinical education programs. </w:t>
      </w:r>
    </w:p>
    <w:p w:rsidR="00E060A7" w:rsidRPr="00E90492" w:rsidRDefault="00E060A7" w:rsidP="009256DE">
      <w:pPr>
        <w:pStyle w:val="Heading4"/>
      </w:pPr>
      <w:bookmarkStart w:id="498" w:name="_Toc418101324"/>
      <w:r w:rsidRPr="00E90492">
        <w:t>Financial Assistance for Carers</w:t>
      </w:r>
      <w:bookmarkEnd w:id="498"/>
    </w:p>
    <w:p w:rsidR="00E060A7" w:rsidRPr="00E90492" w:rsidRDefault="00E060A7" w:rsidP="009256DE">
      <w:pPr>
        <w:jc w:val="both"/>
      </w:pPr>
      <w:r w:rsidRPr="00E90492">
        <w:t>Financial assistance and services are available if one provides care to someone who has a disability, illness or is frail aged.</w:t>
      </w:r>
    </w:p>
    <w:p w:rsidR="00E060A7" w:rsidRPr="00ED2022" w:rsidRDefault="00E060A7" w:rsidP="00BC5BD4">
      <w:pPr>
        <w:pStyle w:val="ListParagraph"/>
        <w:numPr>
          <w:ilvl w:val="0"/>
          <w:numId w:val="82"/>
        </w:numPr>
      </w:pPr>
      <w:r w:rsidRPr="00ED2022">
        <w:t>Carer Payment and Carer Allowance can provide financial assistance if one provides care every day to someone with a disability, illness, or who is frail aged.</w:t>
      </w:r>
    </w:p>
    <w:p w:rsidR="00E060A7" w:rsidRPr="00ED2022" w:rsidRDefault="00E060A7" w:rsidP="00BC5BD4">
      <w:pPr>
        <w:pStyle w:val="ListParagraph"/>
        <w:numPr>
          <w:ilvl w:val="0"/>
          <w:numId w:val="82"/>
        </w:numPr>
      </w:pPr>
      <w:r w:rsidRPr="00ED2022">
        <w:t>Carer Supplement is an annual lump sum payment to help with the costs of caring for a person with a disability.</w:t>
      </w:r>
    </w:p>
    <w:p w:rsidR="00E060A7" w:rsidRPr="00ED2022" w:rsidRDefault="00E060A7" w:rsidP="00BC5BD4">
      <w:pPr>
        <w:pStyle w:val="ListParagraph"/>
        <w:numPr>
          <w:ilvl w:val="0"/>
          <w:numId w:val="82"/>
        </w:numPr>
      </w:pPr>
      <w:r w:rsidRPr="00ED2022">
        <w:t>Carer Adjustment Payment can provide one off financial assistance to help you with the care needs of a child aged under 7 years after a sudden accident, illness, or disability.</w:t>
      </w:r>
    </w:p>
    <w:p w:rsidR="00E060A7" w:rsidRPr="00ED2022" w:rsidRDefault="00E060A7" w:rsidP="00BC5BD4">
      <w:pPr>
        <w:pStyle w:val="ListParagraph"/>
        <w:numPr>
          <w:ilvl w:val="0"/>
          <w:numId w:val="82"/>
        </w:numPr>
      </w:pPr>
      <w:r w:rsidRPr="00ED2022">
        <w:t>Child Disability Assistance Payment is an annual payment that helps you with the costs of caring for a child with a disability.</w:t>
      </w:r>
    </w:p>
    <w:p w:rsidR="00E060A7" w:rsidRPr="00ED2022" w:rsidRDefault="00E060A7" w:rsidP="00BC5BD4">
      <w:pPr>
        <w:pStyle w:val="ListParagraph"/>
        <w:numPr>
          <w:ilvl w:val="0"/>
          <w:numId w:val="82"/>
        </w:numPr>
      </w:pPr>
      <w:r w:rsidRPr="00ED2022">
        <w:t>The Assistance for Isolated Children Scheme can help parents and carers of school-aged students who cannot go to state school on a daily basis because they have a disability or have special health needs.</w:t>
      </w:r>
    </w:p>
    <w:p w:rsidR="00E060A7" w:rsidRPr="00B719E3" w:rsidRDefault="00E060A7" w:rsidP="00BC5BD4">
      <w:pPr>
        <w:pStyle w:val="ListParagraph"/>
        <w:numPr>
          <w:ilvl w:val="0"/>
          <w:numId w:val="82"/>
        </w:numPr>
      </w:pPr>
      <w:r w:rsidRPr="00ED2022">
        <w:t>A Special Disability Trust helps immediate family members of people with severe disabilities make a private financial provision for their future care and accommodation needs.</w:t>
      </w:r>
    </w:p>
    <w:p w:rsidR="00E060A7" w:rsidRPr="00E90492" w:rsidRDefault="00E060A7" w:rsidP="009256DE">
      <w:pPr>
        <w:pStyle w:val="Heading4"/>
      </w:pPr>
      <w:bookmarkStart w:id="499" w:name="_Toc418101325"/>
      <w:r w:rsidRPr="00E90492">
        <w:t>Financial Assistance for People Needing Care</w:t>
      </w:r>
      <w:bookmarkEnd w:id="499"/>
    </w:p>
    <w:p w:rsidR="00E060A7" w:rsidRPr="00E90492" w:rsidRDefault="00E060A7" w:rsidP="009256DE">
      <w:pPr>
        <w:jc w:val="both"/>
      </w:pPr>
      <w:r w:rsidRPr="00E90492">
        <w:t>There are payments to help with the cost of medical equipment you need due to your disability or illness.</w:t>
      </w:r>
    </w:p>
    <w:p w:rsidR="00E060A7" w:rsidRPr="00B719E3" w:rsidRDefault="00E060A7" w:rsidP="009256DE">
      <w:pPr>
        <w:jc w:val="both"/>
        <w:rPr>
          <w:b/>
        </w:rPr>
      </w:pPr>
      <w:r w:rsidRPr="00ED2022">
        <w:rPr>
          <w:b/>
        </w:rPr>
        <w:t>Continence Aids Payment Scheme</w:t>
      </w:r>
      <w:r>
        <w:rPr>
          <w:b/>
        </w:rPr>
        <w:t xml:space="preserve">: </w:t>
      </w:r>
      <w:r w:rsidRPr="00E90492">
        <w:t>The Continence Aids Payment Scheme provides an annual payment to cover the cost of buying continence products from the supplier of your choice.</w:t>
      </w:r>
      <w:r w:rsidRPr="00B719E3">
        <w:rPr>
          <w:vertAlign w:val="superscript"/>
        </w:rPr>
        <w:footnoteReference w:id="248"/>
      </w:r>
    </w:p>
    <w:p w:rsidR="00E060A7" w:rsidRPr="00B719E3" w:rsidRDefault="00E060A7" w:rsidP="009256DE">
      <w:pPr>
        <w:jc w:val="both"/>
        <w:rPr>
          <w:b/>
        </w:rPr>
      </w:pPr>
      <w:r w:rsidRPr="00ED2022">
        <w:rPr>
          <w:b/>
        </w:rPr>
        <w:t>Essential Medical Equipment Payment</w:t>
      </w:r>
      <w:r>
        <w:rPr>
          <w:b/>
        </w:rPr>
        <w:t xml:space="preserve">: </w:t>
      </w:r>
      <w:r w:rsidRPr="00E90492">
        <w:t>The Essential Medical Equipment Payment is an annual $140 payment if you experience additional increases in home energy costs from the use of essential medical equipment to manage your disability or medica</w:t>
      </w:r>
      <w:r>
        <w:t xml:space="preserve">l condition. </w:t>
      </w:r>
      <w:r w:rsidRPr="00E90492">
        <w:t xml:space="preserve">The following list of equipment will attract an Essential Medical Equipment Payment. These items (except electric wheelchairs) currently attract subsidies under the </w:t>
      </w:r>
      <w:r w:rsidRPr="00E90492">
        <w:lastRenderedPageBreak/>
        <w:t>various state and territory, and government life-support equipment subsidy schemes. Equipment not listed will not attract an Essential Medical Equipment Payment.</w:t>
      </w:r>
      <w:r w:rsidRPr="00B719E3">
        <w:rPr>
          <w:vertAlign w:val="superscript"/>
        </w:rPr>
        <w:footnoteReference w:id="249"/>
      </w:r>
    </w:p>
    <w:p w:rsidR="00E060A7" w:rsidRDefault="00E060A7" w:rsidP="009256DE">
      <w:pPr>
        <w:jc w:val="both"/>
      </w:pPr>
      <w:r w:rsidRPr="00E90492">
        <w:t>Eligible equipment includes:</w:t>
      </w:r>
    </w:p>
    <w:p w:rsidR="008D0AA0" w:rsidRPr="00B719E3" w:rsidRDefault="008D0AA0" w:rsidP="00BC5BD4">
      <w:pPr>
        <w:pStyle w:val="ListParagraph"/>
        <w:numPr>
          <w:ilvl w:val="0"/>
          <w:numId w:val="84"/>
        </w:numPr>
      </w:pPr>
      <w:r w:rsidRPr="00B719E3">
        <w:t>Home dialysis machine</w:t>
      </w:r>
    </w:p>
    <w:p w:rsidR="008D0AA0" w:rsidRPr="00B719E3" w:rsidRDefault="008D0AA0" w:rsidP="00BC5BD4">
      <w:pPr>
        <w:pStyle w:val="ListParagraph"/>
        <w:numPr>
          <w:ilvl w:val="0"/>
          <w:numId w:val="84"/>
        </w:numPr>
      </w:pPr>
      <w:r w:rsidRPr="00B719E3">
        <w:t>Home ventilator</w:t>
      </w:r>
    </w:p>
    <w:p w:rsidR="008D0AA0" w:rsidRPr="00B719E3" w:rsidRDefault="008D0AA0" w:rsidP="00BC5BD4">
      <w:pPr>
        <w:pStyle w:val="ListParagraph"/>
        <w:numPr>
          <w:ilvl w:val="0"/>
          <w:numId w:val="84"/>
        </w:numPr>
      </w:pPr>
      <w:r w:rsidRPr="00B719E3">
        <w:t>Home respirator</w:t>
      </w:r>
    </w:p>
    <w:p w:rsidR="008D0AA0" w:rsidRPr="00B719E3" w:rsidRDefault="008D0AA0" w:rsidP="00BC5BD4">
      <w:pPr>
        <w:pStyle w:val="ListParagraph"/>
        <w:numPr>
          <w:ilvl w:val="0"/>
          <w:numId w:val="84"/>
        </w:numPr>
      </w:pPr>
      <w:r w:rsidRPr="00B719E3">
        <w:t>Home parenteral or enteral feeding device</w:t>
      </w:r>
    </w:p>
    <w:p w:rsidR="008D0AA0" w:rsidRPr="00B719E3" w:rsidRDefault="008D0AA0" w:rsidP="00BC5BD4">
      <w:pPr>
        <w:pStyle w:val="ListParagraph"/>
        <w:numPr>
          <w:ilvl w:val="0"/>
          <w:numId w:val="84"/>
        </w:numPr>
      </w:pPr>
      <w:r w:rsidRPr="00B719E3">
        <w:t>Oxygen concentrator</w:t>
      </w:r>
    </w:p>
    <w:p w:rsidR="008D0AA0" w:rsidRPr="00B719E3" w:rsidRDefault="008D0AA0" w:rsidP="00BC5BD4">
      <w:pPr>
        <w:pStyle w:val="ListParagraph"/>
        <w:numPr>
          <w:ilvl w:val="0"/>
          <w:numId w:val="84"/>
        </w:numPr>
      </w:pPr>
      <w:r w:rsidRPr="00B719E3">
        <w:t>Heart pump</w:t>
      </w:r>
    </w:p>
    <w:p w:rsidR="008D0AA0" w:rsidRDefault="008D0AA0" w:rsidP="00BC5BD4">
      <w:pPr>
        <w:pStyle w:val="ListParagraph"/>
        <w:numPr>
          <w:ilvl w:val="0"/>
          <w:numId w:val="84"/>
        </w:numPr>
      </w:pPr>
      <w:r w:rsidRPr="00B719E3">
        <w:t xml:space="preserve">Suction pump </w:t>
      </w:r>
    </w:p>
    <w:p w:rsidR="008D0AA0" w:rsidRPr="002B54A0" w:rsidRDefault="008D0AA0" w:rsidP="008D0AA0"/>
    <w:p w:rsidR="008D0AA0" w:rsidRDefault="008D0AA0" w:rsidP="00BC5BD4">
      <w:pPr>
        <w:pStyle w:val="ListParagraph"/>
        <w:numPr>
          <w:ilvl w:val="0"/>
          <w:numId w:val="84"/>
        </w:numPr>
      </w:pPr>
      <w:r w:rsidRPr="00B719E3">
        <w:t>Infant apnoea monitor—prescribed by a medical practiti</w:t>
      </w:r>
      <w:r>
        <w:t>oner following apnoeic episodes</w:t>
      </w:r>
    </w:p>
    <w:p w:rsidR="008D0AA0" w:rsidRPr="00B719E3" w:rsidRDefault="008D0AA0" w:rsidP="00BC5BD4">
      <w:pPr>
        <w:pStyle w:val="ListParagraph"/>
        <w:numPr>
          <w:ilvl w:val="0"/>
          <w:numId w:val="84"/>
        </w:numPr>
      </w:pPr>
      <w:r w:rsidRPr="00B719E3">
        <w:t>nebuliser—used daily</w:t>
      </w:r>
    </w:p>
    <w:p w:rsidR="008D0AA0" w:rsidRPr="00B719E3" w:rsidRDefault="008D0AA0" w:rsidP="00BC5BD4">
      <w:pPr>
        <w:pStyle w:val="ListParagraph"/>
        <w:numPr>
          <w:ilvl w:val="0"/>
          <w:numId w:val="84"/>
        </w:numPr>
      </w:pPr>
      <w:r w:rsidRPr="00B719E3">
        <w:t>positive airways pressure device</w:t>
      </w:r>
    </w:p>
    <w:p w:rsidR="008D0AA0" w:rsidRPr="00B719E3" w:rsidRDefault="008D0AA0" w:rsidP="00BC5BD4">
      <w:pPr>
        <w:pStyle w:val="ListParagraph"/>
        <w:numPr>
          <w:ilvl w:val="0"/>
          <w:numId w:val="84"/>
        </w:numPr>
      </w:pPr>
      <w:r w:rsidRPr="00B719E3">
        <w:t>phototherapy equipment</w:t>
      </w:r>
    </w:p>
    <w:p w:rsidR="008D0AA0" w:rsidRPr="00B719E3" w:rsidRDefault="008D0AA0" w:rsidP="00BC5BD4">
      <w:pPr>
        <w:pStyle w:val="ListParagraph"/>
        <w:numPr>
          <w:ilvl w:val="0"/>
          <w:numId w:val="84"/>
        </w:numPr>
      </w:pPr>
      <w:r w:rsidRPr="00B719E3">
        <w:t>airbed vibrator</w:t>
      </w:r>
    </w:p>
    <w:p w:rsidR="008D0AA0" w:rsidRPr="00B719E3" w:rsidRDefault="008D0AA0" w:rsidP="00BC5BD4">
      <w:pPr>
        <w:pStyle w:val="ListParagraph"/>
        <w:numPr>
          <w:ilvl w:val="0"/>
          <w:numId w:val="84"/>
        </w:numPr>
      </w:pPr>
      <w:r w:rsidRPr="00B719E3">
        <w:t>electric wheelchair</w:t>
      </w:r>
    </w:p>
    <w:p w:rsidR="008D0AA0" w:rsidRPr="00B719E3" w:rsidRDefault="008D0AA0" w:rsidP="00BC5BD4">
      <w:pPr>
        <w:pStyle w:val="ListParagraph"/>
        <w:numPr>
          <w:ilvl w:val="0"/>
          <w:numId w:val="84"/>
        </w:numPr>
      </w:pPr>
      <w:r w:rsidRPr="00B719E3">
        <w:t>insulin pump</w:t>
      </w:r>
    </w:p>
    <w:p w:rsidR="00E060A7" w:rsidRPr="005E681A" w:rsidRDefault="00E060A7" w:rsidP="009256DE">
      <w:pPr>
        <w:pStyle w:val="Heading4"/>
      </w:pPr>
      <w:bookmarkStart w:id="500" w:name="_Toc418101326"/>
      <w:r w:rsidRPr="005E681A">
        <w:t>National Disability Insurance Scheme (NDIS)</w:t>
      </w:r>
      <w:r w:rsidRPr="005E681A">
        <w:rPr>
          <w:vertAlign w:val="superscript"/>
        </w:rPr>
        <w:footnoteReference w:id="250"/>
      </w:r>
      <w:bookmarkEnd w:id="500"/>
    </w:p>
    <w:p w:rsidR="00E060A7" w:rsidRPr="00E90492" w:rsidRDefault="00E060A7" w:rsidP="009256DE">
      <w:pPr>
        <w:jc w:val="both"/>
      </w:pPr>
      <w:r w:rsidRPr="00E90492">
        <w:t>The NDIS supports people with a permanent and significant disability that affects their ability to ta</w:t>
      </w:r>
      <w:r>
        <w:t>ke part in everyday activities. It</w:t>
      </w:r>
      <w:r w:rsidRPr="00E90492">
        <w:t xml:space="preserve"> works to identify supports one needs to live a healthy life. Supports may help one achieve goals in many aspects of life, including independence, involvement in the community, education, emplo</w:t>
      </w:r>
      <w:r>
        <w:t xml:space="preserve">yment and health and wellbeing. </w:t>
      </w:r>
      <w:r w:rsidRPr="00E90492">
        <w:t>The NDIS gives more choice and control over how, when and where the supports are provided, and gives certainty the one will receive the support</w:t>
      </w:r>
      <w:r>
        <w:t xml:space="preserve"> one needs over one’s lifetime. </w:t>
      </w:r>
      <w:r w:rsidRPr="00E90492">
        <w:t xml:space="preserve">It also focuses on early intervention where getting early supports can reduce the impact of disability on the child. </w:t>
      </w:r>
    </w:p>
    <w:p w:rsidR="00E060A7" w:rsidRPr="00ED2022" w:rsidRDefault="00E060A7" w:rsidP="009256DE">
      <w:pPr>
        <w:jc w:val="both"/>
      </w:pPr>
      <w:r w:rsidRPr="00E90492">
        <w:t xml:space="preserve">The NDIS commenced in July 2013. For the first three years, it is being introduced at trial sites at selected locations because it is a big change, and the government wants to get it </w:t>
      </w:r>
      <w:r>
        <w:t xml:space="preserve">right and make it sustainable. </w:t>
      </w:r>
      <w:r w:rsidRPr="00E90492">
        <w:t xml:space="preserve">On July 1, 2013, the NDIS began in Tasmania for </w:t>
      </w:r>
      <w:r w:rsidRPr="00E90492">
        <w:lastRenderedPageBreak/>
        <w:t>young people aged 15-24, in South Australia for children aged six and under (on July 1, 2014), and in the Barwon area of Victoria and the Hunter area in New South</w:t>
      </w:r>
      <w:r>
        <w:t xml:space="preserve"> Wales for people up to age 65. </w:t>
      </w:r>
      <w:r w:rsidRPr="00E90492">
        <w:t>From July 1, 2014 the NDIS commenced across the ACT, the Barkly region of Northern Territory, and in the Perth H</w:t>
      </w:r>
      <w:r>
        <w:t xml:space="preserve">ills area of Western Australia. </w:t>
      </w:r>
      <w:r w:rsidRPr="00E90492">
        <w:t>Rollout of the full scheme in New South Wales, Victoria, Queensland, South Australia, Tasmania, the ACT, and the Northern Territory will commenc</w:t>
      </w:r>
      <w:r>
        <w:t>e progressively from July 2016.</w:t>
      </w:r>
    </w:p>
    <w:p w:rsidR="00E060A7" w:rsidRPr="00E90492" w:rsidRDefault="00E060A7" w:rsidP="009256DE">
      <w:pPr>
        <w:pStyle w:val="Heading4"/>
      </w:pPr>
      <w:bookmarkStart w:id="501" w:name="_Toc418101327"/>
      <w:r w:rsidRPr="00E90492">
        <w:t>Disability Care and Support Report – Productivity Commission</w:t>
      </w:r>
      <w:r w:rsidRPr="00E90492">
        <w:rPr>
          <w:vertAlign w:val="superscript"/>
        </w:rPr>
        <w:footnoteReference w:id="251"/>
      </w:r>
      <w:bookmarkEnd w:id="501"/>
    </w:p>
    <w:p w:rsidR="00E060A7" w:rsidRPr="00E90492" w:rsidRDefault="00E060A7" w:rsidP="009256DE">
      <w:pPr>
        <w:spacing w:after="100" w:afterAutospacing="1"/>
        <w:jc w:val="both"/>
      </w:pPr>
      <w:r w:rsidRPr="00E90492">
        <w:t>The bottom line of this report is that a new national scheme for disability — like Medicare — is feasible, that it would produce very large benefits for Australians, and that a realistic and clear implementation pathway is available.</w:t>
      </w:r>
      <w:r>
        <w:t xml:space="preserve"> </w:t>
      </w:r>
      <w:r w:rsidRPr="00E90492">
        <w:t>Some of the major recommendations under this report are:</w:t>
      </w:r>
    </w:p>
    <w:p w:rsidR="00E060A7" w:rsidRPr="00E90492" w:rsidRDefault="00E060A7" w:rsidP="00BC5BD4">
      <w:pPr>
        <w:pStyle w:val="ListParagraph"/>
        <w:numPr>
          <w:ilvl w:val="0"/>
          <w:numId w:val="82"/>
        </w:numPr>
      </w:pPr>
      <w:r w:rsidRPr="00E90492">
        <w:t xml:space="preserve">Full coverage of all Australians for the costs of long-term disability care and support </w:t>
      </w:r>
    </w:p>
    <w:p w:rsidR="00E060A7" w:rsidRPr="00E90492" w:rsidRDefault="00E060A7" w:rsidP="00BC5BD4">
      <w:pPr>
        <w:pStyle w:val="ListParagraph"/>
        <w:numPr>
          <w:ilvl w:val="0"/>
          <w:numId w:val="82"/>
        </w:numPr>
      </w:pPr>
      <w:r w:rsidRPr="00E90492">
        <w:t xml:space="preserve">A national scheme with national standards and entitlements that would cover people with significant disabilities arising from non-accidents State-based arrangements for no-fault insurance coverage of all catastrophic accidents — with minimum national standards </w:t>
      </w:r>
    </w:p>
    <w:p w:rsidR="00E060A7" w:rsidRPr="00E90492" w:rsidRDefault="00E060A7" w:rsidP="00BC5BD4">
      <w:pPr>
        <w:pStyle w:val="ListParagraph"/>
        <w:numPr>
          <w:ilvl w:val="0"/>
          <w:numId w:val="82"/>
        </w:numPr>
      </w:pPr>
      <w:r w:rsidRPr="00E90492">
        <w:t xml:space="preserve">Funding would be doubled and tied to the Australian Government’s revenue-raising capacity </w:t>
      </w:r>
    </w:p>
    <w:p w:rsidR="00E060A7" w:rsidRPr="00E90492" w:rsidRDefault="00E060A7" w:rsidP="00BC5BD4">
      <w:pPr>
        <w:pStyle w:val="ListParagraph"/>
        <w:numPr>
          <w:ilvl w:val="0"/>
          <w:numId w:val="82"/>
        </w:numPr>
      </w:pPr>
      <w:r w:rsidRPr="00E90492">
        <w:t xml:space="preserve">The schemes, like all insurers, would aim to minimise long-term costs, so they would have a strong incentive to undertake early intervention where it is cost effective. The scheme would spend dollars to save more dollars and people would not have to wait for basic supports like wheelchairs and personal care </w:t>
      </w:r>
    </w:p>
    <w:p w:rsidR="00E060A7" w:rsidRPr="00E90492" w:rsidRDefault="00E060A7" w:rsidP="00BC5BD4">
      <w:pPr>
        <w:pStyle w:val="ListParagraph"/>
        <w:numPr>
          <w:ilvl w:val="0"/>
          <w:numId w:val="82"/>
        </w:numPr>
      </w:pPr>
      <w:r w:rsidRPr="00E90492">
        <w:t xml:space="preserve">Universal schemes; locally responsive within nationally coherent framework; funds and assessments portable across borders and support providers </w:t>
      </w:r>
    </w:p>
    <w:p w:rsidR="00E060A7" w:rsidRPr="00E90492" w:rsidRDefault="00E060A7" w:rsidP="00BC5BD4">
      <w:pPr>
        <w:pStyle w:val="ListParagraph"/>
        <w:numPr>
          <w:ilvl w:val="0"/>
          <w:numId w:val="82"/>
        </w:numPr>
      </w:pPr>
      <w:r w:rsidRPr="00E90492">
        <w:t xml:space="preserve">Assessments would identify and facilitate referrals to the right supports outside the NDIS </w:t>
      </w:r>
    </w:p>
    <w:p w:rsidR="00E060A7" w:rsidRPr="00E90492" w:rsidRDefault="00E060A7" w:rsidP="00BC5BD4">
      <w:pPr>
        <w:pStyle w:val="ListParagraph"/>
        <w:numPr>
          <w:ilvl w:val="0"/>
          <w:numId w:val="82"/>
        </w:numPr>
      </w:pPr>
      <w:r w:rsidRPr="00E90492">
        <w:t xml:space="preserve">The NDIS would leverage a bigger role for community groups and not-for-profit organisations to connect people with disabilities with the community </w:t>
      </w:r>
    </w:p>
    <w:p w:rsidR="00E060A7" w:rsidRPr="00E90492" w:rsidRDefault="00E060A7" w:rsidP="00BC5BD4">
      <w:pPr>
        <w:pStyle w:val="ListParagraph"/>
        <w:numPr>
          <w:ilvl w:val="0"/>
          <w:numId w:val="82"/>
        </w:numPr>
      </w:pPr>
      <w:r w:rsidRPr="00E90492">
        <w:t xml:space="preserve">The scheme would focus on long-term care and support needs. People would have clear entitlements to their assessed needs. There would be arrangements to guide people through the system, with strong complaints and appeals mechanisms </w:t>
      </w:r>
    </w:p>
    <w:p w:rsidR="00E060A7" w:rsidRPr="002B5A23" w:rsidRDefault="00E060A7" w:rsidP="00BC5BD4">
      <w:pPr>
        <w:pStyle w:val="ListParagraph"/>
        <w:numPr>
          <w:ilvl w:val="0"/>
          <w:numId w:val="82"/>
        </w:numPr>
      </w:pPr>
      <w:r w:rsidRPr="00E90492">
        <w:lastRenderedPageBreak/>
        <w:t>Strong reserves to buffer the insurance fund.</w:t>
      </w:r>
      <w:r>
        <w:t xml:space="preserve"> The scheme funds would not be </w:t>
      </w:r>
      <w:r w:rsidRPr="002B5A23">
        <w:t xml:space="preserve">tied to the annual budget cycle, but would have mandated funding hypothecated to a separate fund </w:t>
      </w:r>
    </w:p>
    <w:p w:rsidR="00E060A7" w:rsidRPr="00E90492" w:rsidRDefault="00E060A7" w:rsidP="009256DE">
      <w:pPr>
        <w:pStyle w:val="Heading4"/>
      </w:pPr>
      <w:bookmarkStart w:id="502" w:name="_Toc418101328"/>
      <w:r w:rsidRPr="00E90492">
        <w:t>Disability Action Plan, 2009-2014</w:t>
      </w:r>
      <w:r w:rsidRPr="00E90492">
        <w:rPr>
          <w:vertAlign w:val="superscript"/>
        </w:rPr>
        <w:footnoteReference w:id="252"/>
      </w:r>
      <w:bookmarkEnd w:id="502"/>
      <w:r w:rsidRPr="00E90492">
        <w:t xml:space="preserve"> </w:t>
      </w:r>
    </w:p>
    <w:p w:rsidR="00E060A7" w:rsidRPr="00E90492" w:rsidRDefault="00E060A7" w:rsidP="00E060A7">
      <w:pPr>
        <w:autoSpaceDE w:val="0"/>
        <w:autoSpaceDN w:val="0"/>
        <w:adjustRightInd w:val="0"/>
        <w:jc w:val="both"/>
      </w:pPr>
      <w:r w:rsidRPr="00E90492">
        <w:t xml:space="preserve">The primary objective of </w:t>
      </w:r>
      <w:r w:rsidRPr="00E90492">
        <w:rPr>
          <w:i/>
        </w:rPr>
        <w:t>Disability Action Plan (DAP)</w:t>
      </w:r>
      <w:r w:rsidRPr="00E90492">
        <w:t xml:space="preserve"> is to reduce and, where possible, eliminate discriminatory barriers to people with disability, whether they are in departmental employment, seeking employment or requiring health servi</w:t>
      </w:r>
      <w:r>
        <w:t xml:space="preserve">ces provided by the Department. </w:t>
      </w:r>
      <w:r w:rsidRPr="00E90492">
        <w:t>The Department has developed DAP in accordance with the Guidelines for Disability Action Planning</w:t>
      </w:r>
      <w:r>
        <w:t xml:space="preserve"> released by the Department of</w:t>
      </w:r>
      <w:r w:rsidRPr="00E90492">
        <w:t xml:space="preserve"> Ageing, Disability and Home Care; Department of Human Services: in late 2008.</w:t>
      </w:r>
    </w:p>
    <w:p w:rsidR="00E060A7" w:rsidRPr="00E90492" w:rsidRDefault="00E060A7" w:rsidP="00E060A7">
      <w:pPr>
        <w:jc w:val="both"/>
      </w:pPr>
    </w:p>
    <w:p w:rsidR="00E060A7" w:rsidRPr="00E90492" w:rsidRDefault="00E060A7" w:rsidP="00E060A7">
      <w:pPr>
        <w:jc w:val="both"/>
      </w:pPr>
      <w:r w:rsidRPr="00E90492">
        <w:t xml:space="preserve">The </w:t>
      </w:r>
      <w:r w:rsidRPr="00E90492">
        <w:rPr>
          <w:i/>
        </w:rPr>
        <w:t>NSW Disability Service Act</w:t>
      </w:r>
      <w:r>
        <w:rPr>
          <w:i/>
        </w:rPr>
        <w:t>,</w:t>
      </w:r>
      <w:r w:rsidRPr="00E90492">
        <w:t xml:space="preserve"> 1993 requires that all NSW State Government departments have a publicly av</w:t>
      </w:r>
      <w:r>
        <w:t xml:space="preserve">ailable Disability Action Plan. </w:t>
      </w:r>
      <w:r w:rsidRPr="00E90492">
        <w:t>Ageing, Disability and Home Care (ADHC), Department of Family and Community Services NSW provides oversight and leadership for disability action planning across NSW Government departments.</w:t>
      </w:r>
    </w:p>
    <w:p w:rsidR="00E060A7" w:rsidRPr="00E90492" w:rsidRDefault="00E060A7" w:rsidP="00E060A7">
      <w:pPr>
        <w:jc w:val="both"/>
      </w:pPr>
      <w:r w:rsidRPr="00E90492">
        <w:t xml:space="preserve">The Guidelines for disability action planning by NSW Government agencies provide guidance for departments in the development and compliance of their DAPs. They list the outcomes against </w:t>
      </w:r>
      <w:r>
        <w:t xml:space="preserve">which departments need to plan. </w:t>
      </w:r>
      <w:r w:rsidRPr="00E90492">
        <w:t>NSW Government departments focus on five outcomes in their DAPs that will support inclusive services, access, and participation and reduce barriers for people with disability:</w:t>
      </w:r>
    </w:p>
    <w:p w:rsidR="00E060A7" w:rsidRPr="00E90492" w:rsidRDefault="00E060A7" w:rsidP="00BC5BD4">
      <w:pPr>
        <w:pStyle w:val="ListParagraph"/>
        <w:numPr>
          <w:ilvl w:val="0"/>
          <w:numId w:val="82"/>
        </w:numPr>
      </w:pPr>
      <w:r w:rsidRPr="00E90492">
        <w:t xml:space="preserve">Outcome 1: Identify and remove barriers </w:t>
      </w:r>
    </w:p>
    <w:p w:rsidR="00E060A7" w:rsidRPr="00E90492" w:rsidRDefault="00E060A7" w:rsidP="00BC5BD4">
      <w:pPr>
        <w:pStyle w:val="ListParagraph"/>
        <w:numPr>
          <w:ilvl w:val="0"/>
          <w:numId w:val="82"/>
        </w:numPr>
      </w:pPr>
      <w:r w:rsidRPr="00E90492">
        <w:t xml:space="preserve">Outcome 2: Information and services in a range of formats </w:t>
      </w:r>
    </w:p>
    <w:p w:rsidR="00E060A7" w:rsidRPr="00E90492" w:rsidRDefault="00E060A7" w:rsidP="00BC5BD4">
      <w:pPr>
        <w:pStyle w:val="ListParagraph"/>
        <w:numPr>
          <w:ilvl w:val="0"/>
          <w:numId w:val="82"/>
        </w:numPr>
      </w:pPr>
      <w:r w:rsidRPr="00E90492">
        <w:t xml:space="preserve">Outcome 3: Accessible buildings and facilities </w:t>
      </w:r>
    </w:p>
    <w:p w:rsidR="00E060A7" w:rsidRPr="00E90492" w:rsidRDefault="00E060A7" w:rsidP="00BC5BD4">
      <w:pPr>
        <w:pStyle w:val="ListParagraph"/>
        <w:numPr>
          <w:ilvl w:val="0"/>
          <w:numId w:val="82"/>
        </w:numPr>
      </w:pPr>
      <w:r w:rsidRPr="00E90492">
        <w:t xml:space="preserve">Outcome 4: Participation in public consultations, advisory boards and committees </w:t>
      </w:r>
    </w:p>
    <w:p w:rsidR="00E060A7" w:rsidRPr="00E90492" w:rsidRDefault="00E060A7" w:rsidP="00BC5BD4">
      <w:pPr>
        <w:pStyle w:val="ListParagraph"/>
        <w:numPr>
          <w:ilvl w:val="0"/>
          <w:numId w:val="82"/>
        </w:numPr>
      </w:pPr>
      <w:r w:rsidRPr="00E90492">
        <w:t xml:space="preserve">Outcome 5: Employment participation </w:t>
      </w:r>
    </w:p>
    <w:p w:rsidR="00E060A7" w:rsidRPr="00E90492" w:rsidRDefault="00E060A7" w:rsidP="00E060A7">
      <w:pPr>
        <w:jc w:val="both"/>
      </w:pPr>
      <w:r w:rsidRPr="00E90492">
        <w:t>Where appropriate, departments also fo</w:t>
      </w:r>
      <w:r>
        <w:t xml:space="preserve">cus on the following outcomes: </w:t>
      </w:r>
    </w:p>
    <w:p w:rsidR="00E060A7" w:rsidRPr="00E90492" w:rsidRDefault="00E060A7" w:rsidP="00BC5BD4">
      <w:pPr>
        <w:pStyle w:val="ListParagraph"/>
        <w:numPr>
          <w:ilvl w:val="0"/>
          <w:numId w:val="82"/>
        </w:numPr>
      </w:pPr>
      <w:r w:rsidRPr="00E90492">
        <w:t xml:space="preserve">Outcome 6: Influence other agencies and sectors </w:t>
      </w:r>
    </w:p>
    <w:p w:rsidR="00E060A7" w:rsidRPr="00E90492" w:rsidRDefault="00E060A7" w:rsidP="00BC5BD4">
      <w:pPr>
        <w:pStyle w:val="ListParagraph"/>
        <w:numPr>
          <w:ilvl w:val="0"/>
          <w:numId w:val="82"/>
        </w:numPr>
      </w:pPr>
      <w:r w:rsidRPr="00E90492">
        <w:t>Outcome 7: Specialist and adapted services</w:t>
      </w:r>
    </w:p>
    <w:p w:rsidR="00E060A7" w:rsidRPr="00E90492" w:rsidRDefault="00E060A7" w:rsidP="009256DE">
      <w:pPr>
        <w:pStyle w:val="Heading2"/>
      </w:pPr>
      <w:bookmarkStart w:id="503" w:name="_Toc417575093"/>
      <w:bookmarkStart w:id="504" w:name="_Toc418101329"/>
      <w:bookmarkStart w:id="505" w:name="_Toc421805855"/>
      <w:bookmarkStart w:id="506" w:name="_Toc424669280"/>
      <w:bookmarkStart w:id="507" w:name="_Toc457553311"/>
      <w:r w:rsidRPr="00E90492">
        <w:lastRenderedPageBreak/>
        <w:t>Egypt</w:t>
      </w:r>
      <w:bookmarkEnd w:id="503"/>
      <w:bookmarkEnd w:id="504"/>
      <w:bookmarkEnd w:id="505"/>
      <w:bookmarkEnd w:id="506"/>
      <w:bookmarkEnd w:id="507"/>
    </w:p>
    <w:p w:rsidR="00E060A7" w:rsidRPr="00E90492" w:rsidRDefault="00E060A7" w:rsidP="009256DE">
      <w:pPr>
        <w:pStyle w:val="Heading3"/>
        <w:rPr>
          <w:rFonts w:eastAsia="Univers 45 Light"/>
        </w:rPr>
      </w:pPr>
      <w:bookmarkStart w:id="508" w:name="_Toc418101330"/>
      <w:bookmarkStart w:id="509" w:name="_Toc417575094"/>
      <w:r w:rsidRPr="00E90492">
        <w:rPr>
          <w:rFonts w:eastAsia="Univers 45 Light"/>
        </w:rPr>
        <w:t>Policies and Regulations</w:t>
      </w:r>
      <w:bookmarkEnd w:id="508"/>
    </w:p>
    <w:p w:rsidR="00E060A7" w:rsidRPr="00E90492" w:rsidRDefault="00E060A7" w:rsidP="009256DE">
      <w:pPr>
        <w:pStyle w:val="Heading4"/>
      </w:pPr>
      <w:bookmarkStart w:id="510" w:name="_Toc418101331"/>
      <w:r w:rsidRPr="00E90492">
        <w:t>Law for the Care of Mental Patients</w:t>
      </w:r>
      <w:r w:rsidRPr="00E90492">
        <w:rPr>
          <w:vertAlign w:val="superscript"/>
        </w:rPr>
        <w:footnoteReference w:id="253"/>
      </w:r>
      <w:bookmarkEnd w:id="509"/>
      <w:bookmarkEnd w:id="510"/>
    </w:p>
    <w:p w:rsidR="00E060A7" w:rsidRPr="00E90492" w:rsidRDefault="00E060A7" w:rsidP="009256DE">
      <w:pPr>
        <w:jc w:val="both"/>
      </w:pPr>
      <w:r w:rsidRPr="00E90492">
        <w:t>The Egyptian Parliament adopted in late April 2009 a new law entitled the “Law for the Care of Mental Patients.” Mental health law reform is particularly timely in Egypt, given the country’s ratification in April 2008 of the UN Convention on the Rights of Persons with Disabilities, which includes rights provisions for persons wi</w:t>
      </w:r>
      <w:r>
        <w:t xml:space="preserve">th mental health disabilities. </w:t>
      </w:r>
      <w:r w:rsidRPr="00E90492">
        <w:t xml:space="preserve">The civil society organization, the Egyptian Initiative for Personal Rights (EIPR) led a vigorous advocacy campaign to ensure that the new law protects the rights of people with mental health disabilities. </w:t>
      </w:r>
    </w:p>
    <w:p w:rsidR="00E060A7" w:rsidRPr="00E90492" w:rsidRDefault="00E060A7" w:rsidP="009256DE">
      <w:pPr>
        <w:jc w:val="both"/>
      </w:pPr>
    </w:p>
    <w:p w:rsidR="00E060A7" w:rsidRPr="00E90492" w:rsidRDefault="00E060A7" w:rsidP="009256DE">
      <w:pPr>
        <w:jc w:val="both"/>
      </w:pPr>
      <w:r w:rsidRPr="00E90492">
        <w:t xml:space="preserve">The new law obliges the Minister of Health to issue implementing regulations. Although the mental health law is a milestone in human rights protection, there are several provisions, which did not make it into the final text. Given the need for the implementing regulations to address these missing elements, EIPR and MDAC are planning to jointly write and publish an analysis of the law against international human rights standards, with suggestions about topics which should be included in the regulations. </w:t>
      </w:r>
    </w:p>
    <w:p w:rsidR="00E060A7" w:rsidRPr="00E90492" w:rsidRDefault="00E060A7" w:rsidP="009256DE">
      <w:pPr>
        <w:pStyle w:val="Heading4"/>
      </w:pPr>
      <w:bookmarkStart w:id="511" w:name="_Toc417575095"/>
      <w:bookmarkStart w:id="512" w:name="_Toc418101332"/>
      <w:r w:rsidRPr="00E90492">
        <w:t>Rehabilitation of Disabled Persons No. 39 of year 1975</w:t>
      </w:r>
      <w:r w:rsidRPr="00E90492">
        <w:rPr>
          <w:vertAlign w:val="superscript"/>
        </w:rPr>
        <w:footnoteReference w:id="254"/>
      </w:r>
      <w:bookmarkEnd w:id="511"/>
      <w:bookmarkEnd w:id="512"/>
    </w:p>
    <w:p w:rsidR="00E060A7" w:rsidRPr="00E90492" w:rsidRDefault="00E060A7" w:rsidP="009256DE">
      <w:pPr>
        <w:jc w:val="both"/>
      </w:pPr>
      <w:r w:rsidRPr="00E90492">
        <w:t>During the 1970s the Egyptian Ministry of Social Affairs (MoSA) introduced the Rehabilitation Law 39 (1975), later amended under Law 49 (1982), in order to bring together disab</w:t>
      </w:r>
      <w:r>
        <w:t>ility policy under one statute.</w:t>
      </w:r>
    </w:p>
    <w:p w:rsidR="00E060A7" w:rsidRPr="001E1B6F" w:rsidRDefault="00E060A7" w:rsidP="009256DE">
      <w:pPr>
        <w:jc w:val="both"/>
        <w:rPr>
          <w:b/>
        </w:rPr>
      </w:pPr>
      <w:r>
        <w:rPr>
          <w:b/>
        </w:rPr>
        <w:t xml:space="preserve">Article (2): </w:t>
      </w:r>
      <w:r w:rsidRPr="00E90492">
        <w:t>Intended in the application of the provisions of this law, the word of the disabled - everyone became unable to rely on himself to engage in work or do something else, and the stability or decreased ability due to organ failure, mental or sensory deficit or the result of a congenital birth.</w:t>
      </w:r>
      <w:r>
        <w:rPr>
          <w:b/>
        </w:rPr>
        <w:t xml:space="preserve"> </w:t>
      </w:r>
      <w:r w:rsidRPr="00E90492">
        <w:t>It is intended rehabilitation of disabled persons providing social services, psychological, medical, and educational and professional that needs to be provided for the disabled to be able to overcome the deficit, which has lagged behind disability.</w:t>
      </w:r>
    </w:p>
    <w:p w:rsidR="00E060A7" w:rsidRPr="001E1B6F" w:rsidRDefault="00E060A7" w:rsidP="009256DE">
      <w:pPr>
        <w:jc w:val="both"/>
        <w:rPr>
          <w:b/>
        </w:rPr>
      </w:pPr>
      <w:r>
        <w:rPr>
          <w:b/>
        </w:rPr>
        <w:t xml:space="preserve">Article (9): </w:t>
      </w:r>
      <w:r w:rsidRPr="00E90492">
        <w:t xml:space="preserve">On employers of fifty or more workers, whether they are working in a place or one country or places of the country or sporadic use of persons with disabilities who are nominated Offices of labor force from the reality of being disabled </w:t>
      </w:r>
      <w:r>
        <w:t xml:space="preserve">and record it in </w:t>
      </w:r>
      <w:r>
        <w:lastRenderedPageBreak/>
        <w:t>the range of 5</w:t>
      </w:r>
      <w:r w:rsidRPr="00E90492">
        <w:t>% of the total number of workers in the party that nominated them, however, may be referred for business owners.</w:t>
      </w:r>
    </w:p>
    <w:p w:rsidR="00E060A7" w:rsidRPr="00E90492" w:rsidRDefault="00E060A7" w:rsidP="009256DE">
      <w:pPr>
        <w:pStyle w:val="Heading4"/>
      </w:pPr>
      <w:bookmarkStart w:id="513" w:name="_Toc417575096"/>
      <w:bookmarkStart w:id="514" w:name="_Toc418101333"/>
      <w:r w:rsidRPr="00E90492">
        <w:t>Law No. 12 of 1996, the Provisions of Disabled Child Protection</w:t>
      </w:r>
      <w:r w:rsidRPr="00E90492">
        <w:rPr>
          <w:vertAlign w:val="superscript"/>
        </w:rPr>
        <w:footnoteReference w:id="255"/>
      </w:r>
      <w:bookmarkEnd w:id="513"/>
      <w:bookmarkEnd w:id="514"/>
    </w:p>
    <w:p w:rsidR="00E060A7" w:rsidRPr="001E1B6F" w:rsidRDefault="00E060A7" w:rsidP="009256DE">
      <w:pPr>
        <w:jc w:val="both"/>
        <w:rPr>
          <w:b/>
        </w:rPr>
      </w:pPr>
      <w:r>
        <w:rPr>
          <w:b/>
        </w:rPr>
        <w:t xml:space="preserve">Article (75): </w:t>
      </w:r>
      <w:r w:rsidRPr="00E90492">
        <w:t>The State ensures the protection of the child from all the work would affect health or physical, mental, spiritual, or social of the child.</w:t>
      </w:r>
    </w:p>
    <w:p w:rsidR="00E060A7" w:rsidRPr="001E1B6F" w:rsidRDefault="00E060A7" w:rsidP="009256DE">
      <w:pPr>
        <w:jc w:val="both"/>
        <w:rPr>
          <w:b/>
        </w:rPr>
      </w:pPr>
      <w:r>
        <w:rPr>
          <w:b/>
        </w:rPr>
        <w:t xml:space="preserve">Article (76): </w:t>
      </w:r>
      <w:r w:rsidRPr="00E90492">
        <w:t>The right of the disabled child to special care social, health and psychological develop self-reliance and facilitate the integration and participation in society.</w:t>
      </w:r>
    </w:p>
    <w:p w:rsidR="00E060A7" w:rsidRPr="001E1B6F" w:rsidRDefault="00E060A7" w:rsidP="009256DE">
      <w:pPr>
        <w:jc w:val="both"/>
        <w:rPr>
          <w:b/>
        </w:rPr>
      </w:pPr>
      <w:r>
        <w:rPr>
          <w:b/>
        </w:rPr>
        <w:t xml:space="preserve">Article (77): </w:t>
      </w:r>
      <w:r w:rsidRPr="00E90492">
        <w:t>A disabled child has the right to rehabilitation and habilitation intended delivery of social services, psychological, medical, and educational and professional that need to be provided to the disabled child and his family and enable him to overcome the effects arising from the inability to lead the state and rehabilitation services and prosthetic devices in the amounts listed for this purpose in the state budget.</w:t>
      </w:r>
    </w:p>
    <w:p w:rsidR="00E060A7" w:rsidRPr="001E1B6F" w:rsidRDefault="00E060A7" w:rsidP="009256DE">
      <w:pPr>
        <w:jc w:val="both"/>
        <w:rPr>
          <w:b/>
        </w:rPr>
      </w:pPr>
      <w:r w:rsidRPr="00E90492">
        <w:rPr>
          <w:b/>
        </w:rPr>
        <w:t>Article (85):</w:t>
      </w:r>
      <w:r>
        <w:rPr>
          <w:b/>
        </w:rPr>
        <w:t xml:space="preserve"> </w:t>
      </w:r>
      <w:r w:rsidRPr="00E90492">
        <w:t>Fund shall be established for the care and rehabilitation of children with disabilities and shall have legal personality and issue organized and determine the terms of reference of the President and falls within its resources.</w:t>
      </w:r>
    </w:p>
    <w:p w:rsidR="00E060A7" w:rsidRPr="00E90492" w:rsidRDefault="00E060A7" w:rsidP="009256DE">
      <w:pPr>
        <w:pStyle w:val="Heading4"/>
        <w:rPr>
          <w:vertAlign w:val="superscript"/>
        </w:rPr>
      </w:pPr>
      <w:bookmarkStart w:id="515" w:name="_Toc417575097"/>
      <w:bookmarkStart w:id="516" w:name="_Toc418101334"/>
      <w:r w:rsidRPr="00E90492">
        <w:t>National Council on Disability Affairs (NCDA)</w:t>
      </w:r>
      <w:bookmarkEnd w:id="515"/>
      <w:bookmarkEnd w:id="516"/>
    </w:p>
    <w:p w:rsidR="00E060A7" w:rsidRPr="00E90492" w:rsidRDefault="00E060A7" w:rsidP="009256DE">
      <w:pPr>
        <w:jc w:val="both"/>
      </w:pPr>
      <w:r w:rsidRPr="00E90492">
        <w:t>Since its establishment in June 2011, the NCDA has been lobbying all sectors to abide by the law. The independent governmental council has proposed a draft law that raises the quota to seven percent on compani</w:t>
      </w:r>
      <w:r>
        <w:t xml:space="preserve">es with more than 25 employees. </w:t>
      </w:r>
      <w:r w:rsidRPr="00E90492">
        <w:t>The council initiated a protocol with the Ministry of Health. The Ministry of Health protocol, implemented on 10 November 2011, offers health insurance to children below the age of six along with children withdrawn from schools, and raises the insurance coverage on cochlear implants operations f</w:t>
      </w:r>
      <w:r>
        <w:t xml:space="preserve">rom EGP 60,000 to EGP 100,000. </w:t>
      </w:r>
      <w:r w:rsidRPr="00E90492">
        <w:t>The minister of social solidarity is responsi</w:t>
      </w:r>
      <w:r>
        <w:t>ble for overseeing NCDA affairs.</w:t>
      </w:r>
      <w:r w:rsidRPr="00E90492">
        <w:rPr>
          <w:vertAlign w:val="superscript"/>
        </w:rPr>
        <w:footnoteReference w:id="256"/>
      </w:r>
      <w:r w:rsidRPr="00E90492">
        <w:rPr>
          <w:vertAlign w:val="superscript"/>
        </w:rPr>
        <w:t>,</w:t>
      </w:r>
      <w:r w:rsidRPr="00E90492">
        <w:rPr>
          <w:vertAlign w:val="superscript"/>
        </w:rPr>
        <w:footnoteReference w:id="257"/>
      </w:r>
    </w:p>
    <w:p w:rsidR="00E060A7" w:rsidRPr="00E90492" w:rsidRDefault="00E060A7" w:rsidP="009256DE">
      <w:pPr>
        <w:pStyle w:val="Heading4"/>
      </w:pPr>
      <w:bookmarkStart w:id="517" w:name="_Toc417575098"/>
      <w:bookmarkStart w:id="518" w:name="_Toc418101335"/>
      <w:r w:rsidRPr="00E90492">
        <w:t>Egyptian Constitution of 2013 Article (81)</w:t>
      </w:r>
      <w:bookmarkEnd w:id="517"/>
      <w:bookmarkEnd w:id="518"/>
    </w:p>
    <w:p w:rsidR="00E060A7" w:rsidRDefault="00E060A7" w:rsidP="00E060A7">
      <w:pPr>
        <w:jc w:val="both"/>
      </w:pPr>
      <w:r w:rsidRPr="00E90492">
        <w:t>The state is committed to ensuring the rights of persons with disabilities and provid</w:t>
      </w:r>
      <w:r>
        <w:t>ing</w:t>
      </w:r>
      <w:r w:rsidRPr="00E90492">
        <w:t xml:space="preserve"> job opportunities for them with the allocation of a certain percentage and configure utilities, the environment around them and the exercise of all political rights and their </w:t>
      </w:r>
      <w:r w:rsidRPr="00E90492">
        <w:lastRenderedPageBreak/>
        <w:t>integration with other citizens pursuant to the principles of equality, j</w:t>
      </w:r>
      <w:r>
        <w:t>ustice and equal opportunities.</w:t>
      </w:r>
      <w:bookmarkStart w:id="519" w:name="_Toc418101336"/>
      <w:r w:rsidRPr="00E90492">
        <w:rPr>
          <w:vertAlign w:val="superscript"/>
        </w:rPr>
        <w:footnoteReference w:id="258"/>
      </w:r>
    </w:p>
    <w:p w:rsidR="00E060A7" w:rsidRPr="00E90492" w:rsidRDefault="00E060A7" w:rsidP="009256DE">
      <w:pPr>
        <w:pStyle w:val="Heading2"/>
      </w:pPr>
      <w:bookmarkStart w:id="520" w:name="_Toc421805856"/>
      <w:bookmarkStart w:id="521" w:name="_Toc424669281"/>
      <w:bookmarkStart w:id="522" w:name="_Toc457553312"/>
      <w:r w:rsidRPr="00E90492">
        <w:t>Israel</w:t>
      </w:r>
      <w:bookmarkEnd w:id="519"/>
      <w:bookmarkEnd w:id="520"/>
      <w:bookmarkEnd w:id="521"/>
      <w:bookmarkEnd w:id="522"/>
    </w:p>
    <w:p w:rsidR="00E060A7" w:rsidRPr="00E90492" w:rsidRDefault="00E060A7" w:rsidP="009256DE">
      <w:pPr>
        <w:pStyle w:val="Heading3"/>
        <w:rPr>
          <w:rFonts w:eastAsia="Univers 45 Light"/>
        </w:rPr>
      </w:pPr>
      <w:bookmarkStart w:id="523" w:name="_Toc418101337"/>
      <w:r w:rsidRPr="00E90492">
        <w:rPr>
          <w:rFonts w:eastAsia="Univers 45 Light"/>
        </w:rPr>
        <w:t>Policies and Regulations</w:t>
      </w:r>
      <w:bookmarkEnd w:id="523"/>
      <w:r w:rsidRPr="00E90492">
        <w:rPr>
          <w:vertAlign w:val="superscript"/>
        </w:rPr>
        <w:footnoteReference w:id="259"/>
      </w:r>
    </w:p>
    <w:p w:rsidR="00E060A7" w:rsidRDefault="00E060A7" w:rsidP="009256DE">
      <w:pPr>
        <w:pStyle w:val="Heading4"/>
      </w:pPr>
      <w:bookmarkStart w:id="524" w:name="_Toc418101338"/>
      <w:r>
        <w:t>Accessible Health Services</w:t>
      </w:r>
    </w:p>
    <w:p w:rsidR="00E060A7" w:rsidRDefault="00E060A7" w:rsidP="009256DE">
      <w:pPr>
        <w:jc w:val="both"/>
      </w:pPr>
      <w:r w:rsidRPr="00B1584B">
        <w:t>“A disabled person is entitled to accessibility to pub</w:t>
      </w:r>
      <w:r>
        <w:t xml:space="preserve">lic places and public services”. </w:t>
      </w:r>
      <w:r w:rsidRPr="00B1584B">
        <w:t>Accessibility is defined under the law as the “possibility to reach any location, find his way around in it, use and benefit from the service, receive information which is provided or produced as a part of the location or the service or in their context, use their facilities and participate in the activities taking place in them, all of which shall be done in an egalitarian, dignified, independent and safe ma</w:t>
      </w:r>
      <w:r>
        <w:t xml:space="preserve">nner.” </w:t>
      </w:r>
      <w:r w:rsidRPr="00B1584B">
        <w:t xml:space="preserve">Disabled person is defined under the law as “a person with a physical, mental or cerebral disability, including cognitive disability, whether permanent or temporary, due to which the person’s function is substantially impaired in one or more of the </w:t>
      </w:r>
      <w:r>
        <w:t>main aspects of daily life.</w:t>
      </w:r>
      <w:r w:rsidRPr="00B1584B">
        <w:t>”</w:t>
      </w:r>
    </w:p>
    <w:p w:rsidR="00E060A7" w:rsidRPr="00B1584B" w:rsidRDefault="00E060A7" w:rsidP="009256DE">
      <w:pPr>
        <w:jc w:val="both"/>
      </w:pPr>
      <w:r w:rsidRPr="00B1584B">
        <w:t>The equal rights law for people with disabilities was passed in 1998 and was a decisive milestone in the legal recognition of the rights of persons with disabilities within the Israeli legal system.</w:t>
      </w:r>
    </w:p>
    <w:p w:rsidR="00E060A7" w:rsidRPr="00B1584B" w:rsidRDefault="00E060A7" w:rsidP="009256DE">
      <w:pPr>
        <w:jc w:val="both"/>
      </w:pPr>
      <w:r w:rsidRPr="00B1584B">
        <w:t>The law anchored the rights of people with disabilities to accessibility and also laid down a set of fundamental principles, which serve as guidelines for further legislation and secondary laws.</w:t>
      </w:r>
      <w:r>
        <w:rPr>
          <w:rStyle w:val="FootnoteReference"/>
          <w:rFonts w:ascii="Arial" w:hAnsi="Arial" w:cs="Arial"/>
        </w:rPr>
        <w:footnoteReference w:id="260"/>
      </w:r>
    </w:p>
    <w:p w:rsidR="00E060A7" w:rsidRPr="00E90492" w:rsidRDefault="00E060A7" w:rsidP="009256DE">
      <w:pPr>
        <w:pStyle w:val="Heading4"/>
      </w:pPr>
      <w:r w:rsidRPr="00E90492">
        <w:t>Long Term Care Insurance Benefits Law</w:t>
      </w:r>
      <w:bookmarkEnd w:id="524"/>
    </w:p>
    <w:p w:rsidR="00E060A7" w:rsidRPr="00E90492" w:rsidRDefault="00E060A7" w:rsidP="009256DE">
      <w:pPr>
        <w:jc w:val="both"/>
      </w:pPr>
      <w:r w:rsidRPr="00E90492">
        <w:t xml:space="preserve">The </w:t>
      </w:r>
      <w:r w:rsidRPr="00E90492">
        <w:rPr>
          <w:i/>
          <w:iCs/>
        </w:rPr>
        <w:t>Long Term Care Insurance Benefits Law</w:t>
      </w:r>
      <w:r w:rsidRPr="00E90492">
        <w:t xml:space="preserve"> entitles disabled seniors to a personal home care benefit through the National Insurance Institute (Social Security Administration) if they pass a dependence assessment and an income test. The benefit may be used to hire a personal care giver, visit a geriatric day center, purchase absorbent materials, and laundry services, or lease alarm transmitters. In June 1998, </w:t>
      </w:r>
      <w:r w:rsidRPr="00E90492">
        <w:lastRenderedPageBreak/>
        <w:t>more than 80,000 senior citizens were rec</w:t>
      </w:r>
      <w:r>
        <w:t xml:space="preserve">eiving long-term care benefits. </w:t>
      </w:r>
      <w:r w:rsidRPr="00E90492">
        <w:t>Ten years after it was first implemented (1998); more than 10% of senior citizens were receiving home benefits. The vast majority of beneficiaries opt for personal care services; a small minority use the benefit to attend day centers or to combine personal care at home with visits to day centers or other options. Home care benefits improve the quality of life of both the disabled elderly and their families.</w:t>
      </w:r>
    </w:p>
    <w:p w:rsidR="00E060A7" w:rsidRPr="00E90492" w:rsidRDefault="00E060A7" w:rsidP="009256DE">
      <w:pPr>
        <w:jc w:val="both"/>
      </w:pPr>
      <w:r w:rsidRPr="00E90492">
        <w:t>According to the law, the Long-Term Care Benefit is given to people who have reached retirement age, live at home in the community, and need help with daily activities (such as getting dressed, getting bathed, eating, mobility in the home, etc.), as well as elderly people who need supervision in order to prevent them from endangering themselves, or their surroundings (such as people with decreased mental faculties like Alzheimer's disease patients who are liable to endanger themselves or their su</w:t>
      </w:r>
      <w:r>
        <w:t xml:space="preserve">rroundings if left home alone). </w:t>
      </w:r>
      <w:r w:rsidRPr="00E90492">
        <w:t>The benefit is provided in the form of services, and is not monetary in nature; however, in specific cases it is possible to receive a Monetary Long-Term Ca</w:t>
      </w:r>
      <w:r>
        <w:t>re Benefit to Hire a Caregiver.</w:t>
      </w:r>
      <w:r w:rsidRPr="00E90492">
        <w:rPr>
          <w:vertAlign w:val="superscript"/>
        </w:rPr>
        <w:footnoteReference w:id="261"/>
      </w:r>
    </w:p>
    <w:p w:rsidR="00E060A7" w:rsidRPr="00E90492" w:rsidRDefault="00E060A7" w:rsidP="009256DE">
      <w:pPr>
        <w:pStyle w:val="Heading4"/>
      </w:pPr>
      <w:bookmarkStart w:id="525" w:name="_Toc418101339"/>
      <w:r w:rsidRPr="00E90492">
        <w:t>The Israel Building Code, 2015</w:t>
      </w:r>
      <w:bookmarkEnd w:id="525"/>
    </w:p>
    <w:p w:rsidR="00E060A7" w:rsidRPr="00E90492" w:rsidRDefault="00E060A7" w:rsidP="009256DE">
      <w:pPr>
        <w:jc w:val="both"/>
      </w:pPr>
      <w:r w:rsidRPr="00E90492">
        <w:t xml:space="preserve">The </w:t>
      </w:r>
      <w:r w:rsidRPr="00E90492">
        <w:rPr>
          <w:i/>
        </w:rPr>
        <w:t>Building Code</w:t>
      </w:r>
      <w:r w:rsidRPr="00E90492">
        <w:t xml:space="preserve"> is a set of regulations that defines the minimum necessary requirements to ensure the quality and safety for planning and construction of structures from the perspective of the State and the people of Israel. The </w:t>
      </w:r>
      <w:r w:rsidRPr="00E90492">
        <w:rPr>
          <w:i/>
        </w:rPr>
        <w:t>Building Code</w:t>
      </w:r>
      <w:r w:rsidRPr="00E90492">
        <w:t xml:space="preserve"> will replace the building and planning regulations that exist at present and will be binding as the p</w:t>
      </w:r>
      <w:r>
        <w:t xml:space="preserve">resent regulations are binding. </w:t>
      </w:r>
      <w:r w:rsidRPr="00E90492">
        <w:t>The Code will both serve and obligate architects, planners, engineers, consultants, contractors and anyone involved in construction work and related fields.</w:t>
      </w:r>
      <w:r w:rsidRPr="00E90492">
        <w:rPr>
          <w:vertAlign w:val="superscript"/>
        </w:rPr>
        <w:footnoteReference w:id="262"/>
      </w:r>
    </w:p>
    <w:p w:rsidR="00E060A7" w:rsidRPr="00E90492" w:rsidRDefault="00E060A7" w:rsidP="009256DE">
      <w:pPr>
        <w:pStyle w:val="Heading4"/>
      </w:pPr>
      <w:bookmarkStart w:id="526" w:name="_Toc418101340"/>
      <w:r w:rsidRPr="00E90492">
        <w:t>Welfare (Treatment of Persons with Mental Disabilities) Law, 5729-1969</w:t>
      </w:r>
      <w:bookmarkEnd w:id="526"/>
    </w:p>
    <w:p w:rsidR="00E060A7" w:rsidRPr="00E90492" w:rsidRDefault="00E060A7" w:rsidP="009256DE">
      <w:pPr>
        <w:jc w:val="both"/>
      </w:pPr>
      <w:r w:rsidRPr="00E90492">
        <w:t xml:space="preserve">The </w:t>
      </w:r>
      <w:r w:rsidRPr="00E90492">
        <w:rPr>
          <w:i/>
        </w:rPr>
        <w:t>Welfare (Treatment of Persons with Mental Disabilities) Law, 5729-1969</w:t>
      </w:r>
      <w:r w:rsidRPr="00E90492">
        <w:t>, provides that when determining the type of housing framework, priority should</w:t>
      </w:r>
      <w:r>
        <w:t xml:space="preserve"> be given to Community Housing.</w:t>
      </w:r>
    </w:p>
    <w:p w:rsidR="00E060A7" w:rsidRPr="00E90492" w:rsidRDefault="00E060A7" w:rsidP="009256DE">
      <w:pPr>
        <w:pStyle w:val="Heading4"/>
      </w:pPr>
      <w:bookmarkStart w:id="527" w:name="_Toc418101341"/>
      <w:r w:rsidRPr="00E90492">
        <w:t>Planning and Construction Law, 5726- 1965</w:t>
      </w:r>
      <w:bookmarkEnd w:id="527"/>
    </w:p>
    <w:p w:rsidR="00E060A7" w:rsidRPr="00E90492" w:rsidRDefault="00E060A7" w:rsidP="009256DE">
      <w:pPr>
        <w:jc w:val="both"/>
      </w:pPr>
      <w:r w:rsidRPr="00E90492">
        <w:t xml:space="preserve">The </w:t>
      </w:r>
      <w:r w:rsidRPr="00E90492">
        <w:rPr>
          <w:i/>
        </w:rPr>
        <w:t>Planning and Construction Law, 5726- 1965</w:t>
      </w:r>
      <w:r w:rsidRPr="00E90492">
        <w:t xml:space="preserve">, deals with the accessibility issues in buildings: </w:t>
      </w:r>
    </w:p>
    <w:p w:rsidR="00E060A7" w:rsidRPr="00E90492" w:rsidRDefault="00E060A7" w:rsidP="00BC5BD4">
      <w:pPr>
        <w:pStyle w:val="ListParagraph"/>
        <w:numPr>
          <w:ilvl w:val="0"/>
          <w:numId w:val="82"/>
        </w:numPr>
      </w:pPr>
      <w:r w:rsidRPr="00E90492">
        <w:t xml:space="preserve">Chapter E1: Special arrangements for people with disabilities in public buildings; </w:t>
      </w:r>
    </w:p>
    <w:p w:rsidR="00E060A7" w:rsidRPr="00E90492" w:rsidRDefault="00E060A7" w:rsidP="00BC5BD4">
      <w:pPr>
        <w:pStyle w:val="ListParagraph"/>
        <w:numPr>
          <w:ilvl w:val="0"/>
          <w:numId w:val="82"/>
        </w:numPr>
      </w:pPr>
      <w:r w:rsidRPr="00E90492">
        <w:lastRenderedPageBreak/>
        <w:t xml:space="preserve">Chapter E1a: Accessibility to people with disabilities; </w:t>
      </w:r>
    </w:p>
    <w:p w:rsidR="00E060A7" w:rsidRPr="00E90492" w:rsidRDefault="00E060A7" w:rsidP="00BC5BD4">
      <w:pPr>
        <w:pStyle w:val="ListParagraph"/>
        <w:numPr>
          <w:ilvl w:val="0"/>
          <w:numId w:val="82"/>
        </w:numPr>
      </w:pPr>
      <w:r w:rsidRPr="00E90492">
        <w:t>Section 158a: Determining the obligation to install appropriate elevators in high buildings or residential buildings.</w:t>
      </w:r>
    </w:p>
    <w:p w:rsidR="00E060A7" w:rsidRPr="00E90492" w:rsidRDefault="00E060A7" w:rsidP="009256DE">
      <w:pPr>
        <w:pStyle w:val="Heading4"/>
      </w:pPr>
      <w:bookmarkStart w:id="528" w:name="_Toc418101342"/>
      <w:r w:rsidRPr="00E90492">
        <w:t>Property Law 5762 – 2002 (Amendment No. 23)</w:t>
      </w:r>
      <w:bookmarkEnd w:id="528"/>
    </w:p>
    <w:p w:rsidR="00E060A7" w:rsidRPr="00E90492" w:rsidRDefault="00E060A7" w:rsidP="009256DE">
      <w:pPr>
        <w:jc w:val="both"/>
      </w:pPr>
      <w:r w:rsidRPr="00E90492">
        <w:t>The Law facilitates the implementation of modifications for disabled pe</w:t>
      </w:r>
      <w:r>
        <w:t>ople in residential properties.</w:t>
      </w:r>
    </w:p>
    <w:p w:rsidR="00E060A7" w:rsidRPr="00C62125" w:rsidRDefault="00E060A7" w:rsidP="00C62125">
      <w:pPr>
        <w:pStyle w:val="Heading4"/>
        <w:rPr>
          <w:rStyle w:val="Heading6Char"/>
          <w:b/>
          <w:bCs/>
          <w:i w:val="0"/>
          <w:iCs/>
          <w:color w:val="auto"/>
          <w:sz w:val="26"/>
        </w:rPr>
      </w:pPr>
      <w:bookmarkStart w:id="529" w:name="_Toc418101343"/>
      <w:r w:rsidRPr="00C62125">
        <w:rPr>
          <w:rStyle w:val="Heading6Char"/>
          <w:b/>
          <w:bCs/>
          <w:i w:val="0"/>
          <w:iCs/>
          <w:color w:val="auto"/>
          <w:sz w:val="26"/>
        </w:rPr>
        <w:t>Equal Rights for People with Disabilities (State Participation in Financing</w:t>
      </w:r>
      <w:r w:rsidRPr="00C62125">
        <w:t xml:space="preserve"> </w:t>
      </w:r>
      <w:r w:rsidRPr="00C62125">
        <w:rPr>
          <w:rStyle w:val="Heading6Char"/>
          <w:b/>
          <w:bCs/>
          <w:i w:val="0"/>
          <w:iCs/>
          <w:color w:val="auto"/>
          <w:sz w:val="26"/>
        </w:rPr>
        <w:t>Adjustments) Regulations 5766 -2006</w:t>
      </w:r>
      <w:bookmarkEnd w:id="529"/>
    </w:p>
    <w:p w:rsidR="00E060A7" w:rsidRPr="00E90492" w:rsidRDefault="00E060A7" w:rsidP="009256DE">
      <w:pPr>
        <w:jc w:val="both"/>
      </w:pPr>
      <w:r w:rsidRPr="00E90492">
        <w:t xml:space="preserve">According to these regulations, employers are entitled to a refund from the Government for expenses incurred in adjusting the workplace to accommodate the needs of disabled employees (subject </w:t>
      </w:r>
      <w:r>
        <w:t>to a maximal sum per employee).</w:t>
      </w:r>
    </w:p>
    <w:p w:rsidR="00E060A7" w:rsidRPr="00E90492" w:rsidRDefault="00E060A7" w:rsidP="009256DE">
      <w:pPr>
        <w:pStyle w:val="Heading4"/>
      </w:pPr>
      <w:bookmarkStart w:id="530" w:name="_Toc418101344"/>
      <w:r w:rsidRPr="00E90492">
        <w:t>Equal Rights for People with Disabilities (Licensed Service Accessibility Experts) Regulations 5767-2007</w:t>
      </w:r>
      <w:bookmarkEnd w:id="530"/>
    </w:p>
    <w:p w:rsidR="00E060A7" w:rsidRPr="00E90492" w:rsidRDefault="00E060A7" w:rsidP="009256DE">
      <w:pPr>
        <w:jc w:val="both"/>
      </w:pPr>
      <w:r w:rsidRPr="00E90492">
        <w:t>These regulations promulgate the prerequisites for the registration of licensed building, infrastructure and environment accessibility experts, as well as licensed service accessibility experts res</w:t>
      </w:r>
      <w:r>
        <w:t>pectively.</w:t>
      </w:r>
    </w:p>
    <w:p w:rsidR="00E060A7" w:rsidRPr="00E90492" w:rsidRDefault="00E060A7" w:rsidP="009256DE">
      <w:pPr>
        <w:pStyle w:val="Heading3"/>
        <w:rPr>
          <w:rFonts w:eastAsia="Univers 45 Light"/>
        </w:rPr>
      </w:pPr>
      <w:bookmarkStart w:id="531" w:name="_Toc418101345"/>
      <w:r w:rsidRPr="00E90492">
        <w:rPr>
          <w:rFonts w:eastAsia="Univers 45 Light"/>
        </w:rPr>
        <w:t>Programs</w:t>
      </w:r>
      <w:bookmarkEnd w:id="531"/>
    </w:p>
    <w:p w:rsidR="00E060A7" w:rsidRPr="00843220" w:rsidRDefault="00E060A7" w:rsidP="009256DE">
      <w:pPr>
        <w:pStyle w:val="Heading4"/>
        <w:rPr>
          <w:szCs w:val="48"/>
        </w:rPr>
      </w:pPr>
      <w:bookmarkStart w:id="532" w:name="_Toc418101346"/>
      <w:r w:rsidRPr="00E90492">
        <w:t>Disability Pension and Related Benefits</w:t>
      </w:r>
      <w:bookmarkEnd w:id="532"/>
    </w:p>
    <w:p w:rsidR="00E060A7" w:rsidRPr="00E90492" w:rsidRDefault="00E060A7" w:rsidP="009256DE">
      <w:pPr>
        <w:jc w:val="both"/>
      </w:pPr>
      <w:r w:rsidRPr="00E90492">
        <w:t>A General Disability Pension is a monthly benefit paid by the National Insurance Institute to those whose physical, mental or psychological impairments affect their ability to earn a living (or the ability of a housewife to function in the hou</w:t>
      </w:r>
      <w:r>
        <w:t xml:space="preserve">sehold) by at least 50 percent. </w:t>
      </w:r>
      <w:r w:rsidRPr="00E90492">
        <w:t>The degree of incapacity is established after a medical committee establishes the degree of medical disability in accordance with the official list of disorders and illn</w:t>
      </w:r>
      <w:r>
        <w:t xml:space="preserve">esses for medical examinations. </w:t>
      </w:r>
      <w:r w:rsidRPr="00E90492">
        <w:t>Eligibility for a disability pension may also provide additional benefits in various areas, such as housing, transportation, and healthcare.</w:t>
      </w:r>
      <w:r w:rsidRPr="00E90492">
        <w:rPr>
          <w:vertAlign w:val="superscript"/>
        </w:rPr>
        <w:footnoteReference w:id="263"/>
      </w:r>
    </w:p>
    <w:p w:rsidR="00E060A7" w:rsidRPr="00E90492" w:rsidRDefault="00E060A7" w:rsidP="009256DE">
      <w:pPr>
        <w:pStyle w:val="Heading4"/>
        <w:rPr>
          <w:szCs w:val="48"/>
        </w:rPr>
      </w:pPr>
      <w:bookmarkStart w:id="533" w:name="_Toc418101347"/>
      <w:r w:rsidRPr="00E90492">
        <w:t>Personal Nursing Care Benefit for Children and Adults Ventilated with a Tracheostomy</w:t>
      </w:r>
      <w:r w:rsidRPr="00E90492">
        <w:rPr>
          <w:vertAlign w:val="superscript"/>
        </w:rPr>
        <w:footnoteReference w:id="264"/>
      </w:r>
      <w:bookmarkEnd w:id="533"/>
    </w:p>
    <w:p w:rsidR="00E060A7" w:rsidRPr="00E90492" w:rsidRDefault="00E060A7" w:rsidP="009256DE">
      <w:pPr>
        <w:jc w:val="both"/>
      </w:pPr>
      <w:r w:rsidRPr="00E90492">
        <w:t>Children and adults ventilated with a tracheostomy may be entitled to a personal nursing care benefit from the Ministry of Social Affairs and Social Services. The benefit is paid to those entitled from the date of application (ther</w:t>
      </w:r>
      <w:r>
        <w:t>e are no retroactive payments).</w:t>
      </w:r>
    </w:p>
    <w:p w:rsidR="00E060A7" w:rsidRPr="00F83E32" w:rsidRDefault="00E060A7" w:rsidP="009256DE">
      <w:pPr>
        <w:pStyle w:val="Heading4"/>
      </w:pPr>
      <w:r>
        <w:lastRenderedPageBreak/>
        <w:t xml:space="preserve">National Insurance Institute, </w:t>
      </w:r>
      <w:r w:rsidRPr="00F83E32">
        <w:t>Mobility</w:t>
      </w:r>
      <w:r>
        <w:t xml:space="preserve"> Pension</w:t>
      </w:r>
      <w:r w:rsidRPr="00F83E32">
        <w:t xml:space="preserve"> </w:t>
      </w:r>
    </w:p>
    <w:p w:rsidR="00E060A7" w:rsidRPr="002C7E8B" w:rsidRDefault="00E060A7" w:rsidP="009256DE">
      <w:pPr>
        <w:jc w:val="both"/>
      </w:pPr>
      <w:r w:rsidRPr="002C7E8B">
        <w:t xml:space="preserve">A person who wishes to receive a </w:t>
      </w:r>
      <w:hyperlink r:id="rId18" w:tgtFrame="_blank" w:history="1">
        <w:r w:rsidRPr="002C7E8B">
          <w:t>mobility pension from the National Insurance Institute</w:t>
        </w:r>
      </w:hyperlink>
      <w:r w:rsidRPr="002C7E8B">
        <w:t xml:space="preserve"> must be assessed by a medical committee for determining the percentag</w:t>
      </w:r>
      <w:r>
        <w:t xml:space="preserve">e limitation in mobility alone. </w:t>
      </w:r>
      <w:r w:rsidRPr="002C7E8B">
        <w:t>Medical committees are held for persons who are residents of Israel, from age 3</w:t>
      </w:r>
      <w:r>
        <w:t xml:space="preserve"> to retirement age (67 years). </w:t>
      </w:r>
      <w:r w:rsidRPr="002C7E8B">
        <w:t>The role of the committee is to determine whether the status of the limitation in mobility is included in the list of mobility clauses that could allow the applicant benefits from the National Insurance Institute, including a mobility pension and benefits in respect of the purchase of an appropriate vehicle. The committee also determines whether a wheelchair is needed, and whether the impairment determined could change, or is deemed to be permanent.</w:t>
      </w:r>
    </w:p>
    <w:p w:rsidR="00E060A7" w:rsidRDefault="00E060A7" w:rsidP="009256DE">
      <w:pPr>
        <w:jc w:val="both"/>
      </w:pPr>
    </w:p>
    <w:p w:rsidR="00E060A7" w:rsidRDefault="00E060A7" w:rsidP="009256DE">
      <w:pPr>
        <w:jc w:val="both"/>
      </w:pPr>
      <w:r w:rsidRPr="000C7972">
        <w:t>The benefits from the National Insurance Institute are intended only for persons whose mobility limitation stems from a problem with their legs</w:t>
      </w:r>
      <w:r w:rsidRPr="002C7E8B">
        <w:t xml:space="preserve"> as per a defined </w:t>
      </w:r>
      <w:hyperlink r:id="rId19" w:tgtFrame="_blank" w:history="1">
        <w:r w:rsidRPr="002C7E8B">
          <w:t>list of impairments</w:t>
        </w:r>
      </w:hyperlink>
      <w:r w:rsidRPr="002C7E8B">
        <w:t>, which includes: paralysis, amputation, various limitations in joint mobility (sprains, stiffness, pseudarthrosis), arterial stenosis in the legs, discernable shortening of a limb, disorders of the lymphatic system in the lower b</w:t>
      </w:r>
      <w:r>
        <w:t xml:space="preserve">ody, as well as short stature. </w:t>
      </w:r>
      <w:r w:rsidRPr="000C7972">
        <w:t>It is important to know that there are people with greatly limited mobility, but who are nevertheless not entitled to mobility benefits, as their condition is not included in the list of handicaps in the mobility agreement, because it does not stem from leg function, e.g. heart failure, kidney failure or disseminated cancer. Also, pain alone, or problems with the veins of the legs, are not inc</w:t>
      </w:r>
      <w:r>
        <w:t xml:space="preserve">luded in the list of handicaps. </w:t>
      </w:r>
      <w:r w:rsidRPr="000C7972">
        <w:t>The medical committee for mobility is not authorized to determine entitlements in respect of other issues or due to handicaps that are not written in the list.</w:t>
      </w:r>
      <w:r w:rsidRPr="00F83E32">
        <w:rPr>
          <w:rStyle w:val="FootnoteReference"/>
          <w:rFonts w:ascii="Arial" w:hAnsi="Arial" w:cs="Arial"/>
        </w:rPr>
        <w:footnoteReference w:id="265"/>
      </w:r>
    </w:p>
    <w:p w:rsidR="00E060A7" w:rsidRPr="00F83E32" w:rsidRDefault="00E060A7" w:rsidP="009256DE">
      <w:pPr>
        <w:pStyle w:val="Heading4"/>
      </w:pPr>
      <w:r w:rsidRPr="00F83E32">
        <w:t>Emergency Assistance to a Person with a Mobility Handicap who uses a Power Wheelchair</w:t>
      </w:r>
    </w:p>
    <w:p w:rsidR="00E060A7" w:rsidRDefault="00E060A7" w:rsidP="009256DE">
      <w:pPr>
        <w:jc w:val="both"/>
      </w:pPr>
      <w:r w:rsidRPr="00F61B01">
        <w:t>The Ministry of Health operates an emergency assistance service for situations in which a handicapped person in a power wheelchair is unable to move with the wheelchair from where he is as the result of a defect in the power wheelchair. It is noted that the service is provided in emergencies only, where nobody around the person is able to assist.</w:t>
      </w:r>
      <w:r>
        <w:t xml:space="preserve"> </w:t>
      </w:r>
      <w:r w:rsidRPr="00F61B01">
        <w:t>It is emphasized that the assistance is provided only if the person’s wheelchair was provided with Ministry of Health approval, and the responsibility for servicing it rests with the Ministry.</w:t>
      </w:r>
      <w:r w:rsidRPr="00283562">
        <w:rPr>
          <w:rStyle w:val="FootnoteReference"/>
          <w:rFonts w:ascii="Arial" w:hAnsi="Arial" w:cs="Arial"/>
        </w:rPr>
        <w:t xml:space="preserve"> </w:t>
      </w:r>
      <w:r w:rsidRPr="00F83E32">
        <w:t xml:space="preserve">The assistance is provided by the </w:t>
      </w:r>
      <w:hyperlink r:id="rId20" w:history="1">
        <w:r w:rsidRPr="00F83E32">
          <w:t xml:space="preserve">National Rehabilitation and Mobility </w:t>
        </w:r>
        <w:r w:rsidRPr="00F83E32">
          <w:lastRenderedPageBreak/>
          <w:t>Devices Unit</w:t>
        </w:r>
      </w:hyperlink>
      <w:r w:rsidRPr="00F83E32">
        <w:t xml:space="preserve"> in the Ministry of Health. The assistance service is provided</w:t>
      </w:r>
      <w:r>
        <w:t xml:space="preserve"> 24 hours a day, 7 days a week.</w:t>
      </w:r>
      <w:r w:rsidRPr="00F83E32">
        <w:rPr>
          <w:rStyle w:val="FootnoteReference"/>
          <w:rFonts w:ascii="Arial" w:hAnsi="Arial" w:cs="Arial"/>
        </w:rPr>
        <w:footnoteReference w:id="266"/>
      </w:r>
    </w:p>
    <w:p w:rsidR="00E060A7" w:rsidRPr="00F83E32" w:rsidRDefault="00E060A7" w:rsidP="009256DE">
      <w:pPr>
        <w:pStyle w:val="Heading4"/>
      </w:pPr>
      <w:r w:rsidRPr="00F83E32">
        <w:t>Assistance Funding Rehabilitation and Ambulatory Assistance Devices</w:t>
      </w:r>
    </w:p>
    <w:p w:rsidR="00E060A7" w:rsidRDefault="00E060A7" w:rsidP="009256DE">
      <w:pPr>
        <w:jc w:val="both"/>
      </w:pPr>
      <w:r w:rsidRPr="00F83E32">
        <w:t xml:space="preserve">According to the third addendum to the </w:t>
      </w:r>
      <w:hyperlink r:id="rId21" w:tgtFrame="_blank" w:history="1">
        <w:r w:rsidRPr="00F83E32">
          <w:t>national health law</w:t>
        </w:r>
      </w:hyperlink>
      <w:r w:rsidRPr="00F83E32">
        <w:t xml:space="preserve">, and subject to the </w:t>
      </w:r>
      <w:hyperlink r:id="rId22" w:tgtFrame="_blank" w:history="1">
        <w:r w:rsidRPr="00F83E32">
          <w:t>Procedure for Approval of rehabilitation and ambulatory assistance devices</w:t>
        </w:r>
      </w:hyperlink>
      <w:r w:rsidRPr="00F83E32">
        <w:t xml:space="preserve">, the Ministry of Health participates in the funding of rehabilitation and mobility devices. The service is provided to the public via the district health bureaus - the </w:t>
      </w:r>
      <w:hyperlink r:id="rId23" w:history="1">
        <w:r w:rsidRPr="00F83E32">
          <w:t xml:space="preserve">departments of Chronic Illness </w:t>
        </w:r>
      </w:hyperlink>
      <w:r w:rsidRPr="00F83E32">
        <w:t>and rehabilitation.</w:t>
      </w:r>
      <w:r w:rsidRPr="00F83E32">
        <w:rPr>
          <w:rStyle w:val="FootnoteReference"/>
        </w:rPr>
        <w:footnoteReference w:id="267"/>
      </w:r>
    </w:p>
    <w:p w:rsidR="00E060A7" w:rsidRPr="00283562" w:rsidRDefault="00E060A7" w:rsidP="00C62125">
      <w:r w:rsidRPr="00283562">
        <w:rPr>
          <w:b/>
        </w:rPr>
        <w:t>Eligibility:</w:t>
      </w:r>
      <w:r>
        <w:t xml:space="preserve"> </w:t>
      </w:r>
      <w:r w:rsidRPr="00F83E32">
        <w:t>Residents with a permanent disability, living within the community, are eligible for the rehabilitation and ambulatory assistance devices as defined in the third addendum to the</w:t>
      </w:r>
      <w:r>
        <w:t xml:space="preserve"> national health insurance law. </w:t>
      </w:r>
      <w:r w:rsidRPr="00F83E32">
        <w:t>Disabled persons hospitalized in nursing institutions, hospitals and institutions run by the Ministry of Social Affairs and Social Services, are entitled to receive walking aids and artificial limbs only - these are provided by the Lewis Institute.</w:t>
      </w:r>
    </w:p>
    <w:p w:rsidR="00E060A7" w:rsidRPr="00F83E32" w:rsidRDefault="00E060A7" w:rsidP="009256DE">
      <w:pPr>
        <w:jc w:val="both"/>
      </w:pPr>
      <w:r>
        <w:rPr>
          <w:rStyle w:val="Strong"/>
          <w:rFonts w:cs="Arial"/>
          <w:color w:val="050505"/>
        </w:rPr>
        <w:t>Ineligibility for assistance:</w:t>
      </w:r>
      <w:r>
        <w:t xml:space="preserve"> (1) </w:t>
      </w:r>
      <w:r w:rsidRPr="00F83E32">
        <w:t xml:space="preserve">Individuals who do not require these devices in perpetuity and who do </w:t>
      </w:r>
      <w:r>
        <w:t>not have a permanent disability; (2) P</w:t>
      </w:r>
      <w:r w:rsidRPr="00F83E32">
        <w:t>ensioners: disabled of the IDF, the Ministry of Defense, victims of hostilities, work-related accidents, traffic accidents from 1975 onwards, and victims of Nazi persecution. These disabled persons receive</w:t>
      </w:r>
      <w:r>
        <w:t xml:space="preserve"> assistance from another source; (3) </w:t>
      </w:r>
      <w:r w:rsidRPr="00F83E32">
        <w:t>Disabled individuals who are hospitalized in institutions under the responsibility of the Ministry of Social Affairs and Social Services.</w:t>
      </w:r>
      <w:r w:rsidRPr="00F83E32">
        <w:rPr>
          <w:vanish/>
          <w:color w:val="676767"/>
        </w:rPr>
        <w:t>ServiceDescriptionParagraph3</w:t>
      </w:r>
    </w:p>
    <w:p w:rsidR="00E060A7" w:rsidRPr="00C62125" w:rsidRDefault="00E060A7" w:rsidP="00C62125">
      <w:r w:rsidRPr="00C62125">
        <w:rPr>
          <w:rStyle w:val="Strong"/>
          <w:rFonts w:cs="Arial"/>
          <w:b w:val="0"/>
          <w:color w:val="050505"/>
        </w:rPr>
        <w:t>The devices for which the Ministry provides funding assistance includes:</w:t>
      </w:r>
      <w:r w:rsidRPr="00C62125">
        <w:t xml:space="preserve"> </w:t>
      </w:r>
    </w:p>
    <w:p w:rsidR="00E060A7" w:rsidRPr="00C62125" w:rsidRDefault="00E060A7" w:rsidP="00BC5BD4">
      <w:pPr>
        <w:pStyle w:val="ListParagraph"/>
        <w:numPr>
          <w:ilvl w:val="0"/>
          <w:numId w:val="85"/>
        </w:numPr>
      </w:pPr>
      <w:r w:rsidRPr="00C62125">
        <w:t>Rehabilitation Devices</w:t>
      </w:r>
    </w:p>
    <w:p w:rsidR="00E060A7" w:rsidRPr="00C62125" w:rsidRDefault="00E060A7" w:rsidP="00BC5BD4">
      <w:pPr>
        <w:pStyle w:val="ListParagraph"/>
        <w:numPr>
          <w:ilvl w:val="0"/>
          <w:numId w:val="85"/>
        </w:numPr>
      </w:pPr>
      <w:r w:rsidRPr="00C62125">
        <w:rPr>
          <w:rStyle w:val="Strong"/>
          <w:b w:val="0"/>
        </w:rPr>
        <w:t>Ambulatory Assistance Devices</w:t>
      </w:r>
    </w:p>
    <w:p w:rsidR="00E060A7" w:rsidRPr="00C62125" w:rsidRDefault="00E060A7" w:rsidP="00BC5BD4">
      <w:pPr>
        <w:pStyle w:val="ListParagraph"/>
        <w:numPr>
          <w:ilvl w:val="0"/>
          <w:numId w:val="85"/>
        </w:numPr>
      </w:pPr>
      <w:r w:rsidRPr="00C62125">
        <w:rPr>
          <w:rStyle w:val="Strong"/>
          <w:b w:val="0"/>
        </w:rPr>
        <w:t>Devices provided to pension recipients only, and who do not have an additional source of income</w:t>
      </w:r>
      <w:r w:rsidRPr="00C62125">
        <w:t xml:space="preserve"> (such individuals are exempt of a co-pay)</w:t>
      </w:r>
    </w:p>
    <w:p w:rsidR="00E060A7" w:rsidRPr="00C62125" w:rsidRDefault="00E060A7" w:rsidP="00BC5BD4">
      <w:pPr>
        <w:pStyle w:val="ListParagraph"/>
        <w:numPr>
          <w:ilvl w:val="0"/>
          <w:numId w:val="85"/>
        </w:numPr>
      </w:pPr>
      <w:r w:rsidRPr="00C62125">
        <w:t>Regular walkers, various walking sticks, Styrofoam cushions for wheelchairs, standard Styrofoam mattresses (“egg platters”)</w:t>
      </w:r>
    </w:p>
    <w:p w:rsidR="00E060A7" w:rsidRPr="00C62125" w:rsidRDefault="00E060A7" w:rsidP="00BC5BD4">
      <w:pPr>
        <w:pStyle w:val="ListParagraph"/>
        <w:numPr>
          <w:ilvl w:val="0"/>
          <w:numId w:val="85"/>
        </w:numPr>
        <w:rPr>
          <w:rStyle w:val="Strong"/>
          <w:b w:val="0"/>
        </w:rPr>
      </w:pPr>
      <w:r w:rsidRPr="00C62125">
        <w:rPr>
          <w:rStyle w:val="Strong"/>
          <w:b w:val="0"/>
        </w:rPr>
        <w:t>Walking aids and prosthetic limbs</w:t>
      </w:r>
    </w:p>
    <w:p w:rsidR="00E060A7" w:rsidRDefault="00E060A7" w:rsidP="00C62125">
      <w:pPr>
        <w:pStyle w:val="Heading4"/>
      </w:pPr>
      <w:r w:rsidRPr="00F83E32">
        <w:rPr>
          <w:rStyle w:val="Strong"/>
          <w:b/>
        </w:rPr>
        <w:t>F</w:t>
      </w:r>
      <w:r>
        <w:rPr>
          <w:rStyle w:val="Strong"/>
          <w:b/>
        </w:rPr>
        <w:t>unding Policy</w:t>
      </w:r>
    </w:p>
    <w:p w:rsidR="00E060A7" w:rsidRPr="00284D30" w:rsidRDefault="00E060A7" w:rsidP="00C62125">
      <w:pPr>
        <w:pStyle w:val="Heading5"/>
      </w:pPr>
      <w:r w:rsidRPr="00284D30">
        <w:t xml:space="preserve">Rehabilitation devices </w:t>
      </w:r>
    </w:p>
    <w:p w:rsidR="00E060A7" w:rsidRDefault="00E060A7" w:rsidP="009256DE">
      <w:pPr>
        <w:jc w:val="both"/>
      </w:pPr>
      <w:r>
        <w:lastRenderedPageBreak/>
        <w:t>The Ministry of Health participates in the funding of rehabilitation devices, to the extent of 75% of the cost of the device or of the participation ceiling determined in the Procedure (whichever is lower), depending on the type of device:</w:t>
      </w:r>
    </w:p>
    <w:p w:rsidR="00E060A7" w:rsidRDefault="00E060A7" w:rsidP="00BC5BD4">
      <w:pPr>
        <w:pStyle w:val="ListParagraph"/>
        <w:numPr>
          <w:ilvl w:val="0"/>
          <w:numId w:val="82"/>
        </w:numPr>
      </w:pPr>
      <w:r>
        <w:t>Devices for which a price cap has been defined, and which is not necessarily the full cost of the device.</w:t>
      </w:r>
    </w:p>
    <w:p w:rsidR="00E060A7" w:rsidRDefault="00E060A7" w:rsidP="00BC5BD4">
      <w:pPr>
        <w:pStyle w:val="ListParagraph"/>
        <w:numPr>
          <w:ilvl w:val="0"/>
          <w:numId w:val="82"/>
        </w:numPr>
      </w:pPr>
      <w:r>
        <w:t>Devices for which at least three price quotes are required. The quotations are taken by the Ministry of Health, which checks them. The price of the device will be determined by the cheapest of the quotations.</w:t>
      </w:r>
    </w:p>
    <w:p w:rsidR="00E060A7" w:rsidRPr="00284D30" w:rsidRDefault="00E060A7" w:rsidP="009256DE">
      <w:pPr>
        <w:jc w:val="both"/>
      </w:pPr>
      <w:r w:rsidRPr="00284D30">
        <w:t>The patient participates in the purchase of rehabilitation devices to an amount of 25% of the cost of the device o</w:t>
      </w:r>
      <w:r>
        <w:t xml:space="preserve">r of the participation ceiling. </w:t>
      </w:r>
      <w:r w:rsidRPr="00284D30">
        <w:t>A patient who requests greater participation, or a patient who is entitled to exemption from co-payment, should apply to the soci</w:t>
      </w:r>
      <w:r>
        <w:t>al worker at the Health Bureau.</w:t>
      </w:r>
    </w:p>
    <w:p w:rsidR="00E060A7" w:rsidRPr="005D44FF" w:rsidRDefault="00E060A7" w:rsidP="005D44FF">
      <w:pPr>
        <w:pStyle w:val="Heading5"/>
      </w:pPr>
      <w:r w:rsidRPr="005D44FF">
        <w:rPr>
          <w:rStyle w:val="Strong"/>
          <w:b/>
          <w:bCs/>
        </w:rPr>
        <w:t>Ambulatory Assistive Devices</w:t>
      </w:r>
    </w:p>
    <w:p w:rsidR="00E060A7" w:rsidRDefault="00E060A7" w:rsidP="009256DE">
      <w:pPr>
        <w:jc w:val="both"/>
      </w:pPr>
      <w:r>
        <w:t>The Ministry of Health participates in the funding of ambulatory assistive devices, to the extent of 90% of the cost of the device or of the participation ceiling determined in the Procedure (whichever is lower), depending on the type of device:</w:t>
      </w:r>
    </w:p>
    <w:p w:rsidR="00E060A7" w:rsidRDefault="00E060A7" w:rsidP="00BC5BD4">
      <w:pPr>
        <w:pStyle w:val="ListParagraph"/>
        <w:numPr>
          <w:ilvl w:val="0"/>
          <w:numId w:val="82"/>
        </w:numPr>
      </w:pPr>
      <w:r>
        <w:t>Devices for which a price cap has been defined, and which is not necessarily the full cost of the device.</w:t>
      </w:r>
    </w:p>
    <w:p w:rsidR="00E060A7" w:rsidRDefault="00E060A7" w:rsidP="00BC5BD4">
      <w:pPr>
        <w:pStyle w:val="ListParagraph"/>
        <w:numPr>
          <w:ilvl w:val="0"/>
          <w:numId w:val="82"/>
        </w:numPr>
      </w:pPr>
      <w:r>
        <w:t>Devices for which at least three price quotes are required. The quotations are taken by the Ministry of Health, which checks them. The price of the device will be determined by the cheapest of the quotations.</w:t>
      </w:r>
    </w:p>
    <w:p w:rsidR="00E060A7" w:rsidRDefault="00E060A7" w:rsidP="009256DE">
      <w:pPr>
        <w:jc w:val="both"/>
        <w:rPr>
          <w:rFonts w:ascii="Arial" w:hAnsi="Arial" w:cs="Arial"/>
          <w:b/>
          <w:u w:val="single"/>
        </w:rPr>
      </w:pPr>
      <w:r>
        <w:t>The patient participates in the purchase of ambulatory assistive devices to an amount of 10% of the cost of the device or of the participation ceiling. A patient who requests greater participation, or a patient who is entitled to exemption from co-payment, should apply to the social worker at the Health Bureau.  </w:t>
      </w:r>
    </w:p>
    <w:p w:rsidR="00E060A7" w:rsidRPr="00284D30" w:rsidRDefault="00E060A7" w:rsidP="009256DE">
      <w:pPr>
        <w:pStyle w:val="Heading4"/>
      </w:pPr>
      <w:r w:rsidRPr="00F83E32">
        <w:t>Rehabilitation</w:t>
      </w:r>
      <w:r w:rsidRPr="00F83E32">
        <w:rPr>
          <w:rStyle w:val="FootnoteReference"/>
          <w:rFonts w:ascii="Arial" w:hAnsi="Arial" w:cs="Arial"/>
        </w:rPr>
        <w:footnoteReference w:id="268"/>
      </w:r>
    </w:p>
    <w:p w:rsidR="00E060A7" w:rsidRDefault="00E060A7" w:rsidP="009256DE">
      <w:pPr>
        <w:jc w:val="both"/>
        <w:rPr>
          <w:lang w:val="en"/>
        </w:rPr>
      </w:pPr>
      <w:r w:rsidRPr="00DA5414">
        <w:rPr>
          <w:lang w:val="en"/>
        </w:rPr>
        <w:t>The Rehabilitation Division was established in 2014, pursuant to a decision of the administration of the Ministry. The Division includes the following departments: the Medical Committees Department; the Rehabilitation Continuum, Prostheses and Orthoses Department; and the National Unit for Rehabilitation and Mobility Devices.</w:t>
      </w:r>
      <w:r>
        <w:rPr>
          <w:lang w:val="en"/>
        </w:rPr>
        <w:t xml:space="preserve"> </w:t>
      </w:r>
    </w:p>
    <w:p w:rsidR="00E060A7" w:rsidRPr="00DA5414" w:rsidRDefault="00E060A7" w:rsidP="009256DE">
      <w:pPr>
        <w:jc w:val="both"/>
        <w:rPr>
          <w:lang w:val="en"/>
        </w:rPr>
      </w:pPr>
      <w:r w:rsidRPr="00DA5414">
        <w:rPr>
          <w:lang w:val="en"/>
        </w:rPr>
        <w:lastRenderedPageBreak/>
        <w:t>The Division deals with issues connected to the rehabilitation of children and adults suffering from a defect in their neurological, motoric or mobility function, or a defect in the coordination between these systems (e.g. head injury victims). The Division deals with any issue that causes a limitation of the function of the body’s various limbs and systems. A portion of the Division’s work will be dedicated to prevention: prevention of accidents and injuries as well as promoting processes that prevent the worsening of existing handicaps. The Division also deals with conditions that impair the sense organs, primarily sight and hearing. The Division will promote any process that will increase the level of function of the various limbs/organs, and if needed, will also deal with the fitting of devices to improve function such as mobility assistive devices, the fitting of prostheses or electronic assistive devices.</w:t>
      </w:r>
    </w:p>
    <w:p w:rsidR="00E060A7" w:rsidRPr="00DA5414" w:rsidRDefault="00E060A7" w:rsidP="009256DE">
      <w:pPr>
        <w:jc w:val="both"/>
        <w:rPr>
          <w:lang w:val="en"/>
        </w:rPr>
      </w:pPr>
      <w:r w:rsidRPr="00DA5414">
        <w:rPr>
          <w:lang w:val="en"/>
        </w:rPr>
        <w:t>The Division does not deal with rehabilitation of persons with mental health disorders or the rehabilitation of functional impairments that develop with aging processes.</w:t>
      </w:r>
    </w:p>
    <w:p w:rsidR="00E060A7" w:rsidRPr="00DA5414" w:rsidRDefault="00E060A7" w:rsidP="009256DE">
      <w:pPr>
        <w:jc w:val="both"/>
        <w:rPr>
          <w:lang w:val="en"/>
        </w:rPr>
      </w:pPr>
    </w:p>
    <w:p w:rsidR="00E060A7" w:rsidRDefault="00E060A7" w:rsidP="009256DE">
      <w:pPr>
        <w:jc w:val="both"/>
        <w:rPr>
          <w:lang w:val="en"/>
        </w:rPr>
      </w:pPr>
      <w:r w:rsidRPr="00DA5414">
        <w:rPr>
          <w:lang w:val="en"/>
        </w:rPr>
        <w:t>The Division’s vision is to offer the person undergoing rehabilitation efficient rehabilitation pathways, and a rehabilitative outlook adapted to their needs, in order to achieve optimal function. Although the main thrust of rehabilitation is at the functional level, full realization of capabilities occasionally also necessitates psychosocial support which is part of the rehabilitation program.</w:t>
      </w:r>
    </w:p>
    <w:p w:rsidR="005D44FF" w:rsidRDefault="005D44FF" w:rsidP="005D44FF">
      <w:pPr>
        <w:pStyle w:val="Heading5"/>
        <w:rPr>
          <w:lang w:val="en"/>
        </w:rPr>
      </w:pPr>
      <w:r w:rsidRPr="005D44FF">
        <w:rPr>
          <w:lang w:val="en"/>
        </w:rPr>
        <w:t>Objectives of the Division</w:t>
      </w:r>
    </w:p>
    <w:p w:rsidR="005D44FF" w:rsidRPr="005D44FF" w:rsidRDefault="005D44FF" w:rsidP="00BC5BD4">
      <w:pPr>
        <w:pStyle w:val="ListParagraph"/>
        <w:numPr>
          <w:ilvl w:val="0"/>
          <w:numId w:val="86"/>
        </w:numPr>
        <w:rPr>
          <w:lang w:val="en"/>
        </w:rPr>
      </w:pPr>
      <w:r w:rsidRPr="005D44FF">
        <w:rPr>
          <w:rFonts w:hint="eastAsia"/>
          <w:lang w:val="en"/>
        </w:rPr>
        <w:t>Formulation of national rehabilitation policy.</w:t>
      </w:r>
    </w:p>
    <w:p w:rsidR="005D44FF" w:rsidRPr="005D44FF" w:rsidRDefault="005D44FF" w:rsidP="00BC5BD4">
      <w:pPr>
        <w:pStyle w:val="ListParagraph"/>
        <w:numPr>
          <w:ilvl w:val="0"/>
          <w:numId w:val="86"/>
        </w:numPr>
        <w:rPr>
          <w:lang w:val="en"/>
        </w:rPr>
      </w:pPr>
      <w:r w:rsidRPr="005D44FF">
        <w:rPr>
          <w:rFonts w:hint="eastAsia"/>
          <w:lang w:val="en"/>
        </w:rPr>
        <w:t>Leading the process of the development of rehabilitation services in hospitalization departments, in the community and at home.</w:t>
      </w:r>
    </w:p>
    <w:p w:rsidR="005D44FF" w:rsidRPr="005D44FF" w:rsidRDefault="005D44FF" w:rsidP="00BC5BD4">
      <w:pPr>
        <w:pStyle w:val="ListParagraph"/>
        <w:numPr>
          <w:ilvl w:val="0"/>
          <w:numId w:val="86"/>
        </w:numPr>
        <w:rPr>
          <w:lang w:val="en"/>
        </w:rPr>
      </w:pPr>
      <w:r w:rsidRPr="005D44FF">
        <w:rPr>
          <w:rFonts w:hint="eastAsia"/>
          <w:lang w:val="en"/>
        </w:rPr>
        <w:t>Carrying out professional supervision.</w:t>
      </w:r>
    </w:p>
    <w:p w:rsidR="005D44FF" w:rsidRPr="005D44FF" w:rsidRDefault="005D44FF" w:rsidP="00BC5BD4">
      <w:pPr>
        <w:pStyle w:val="ListParagraph"/>
        <w:numPr>
          <w:ilvl w:val="0"/>
          <w:numId w:val="86"/>
        </w:numPr>
        <w:rPr>
          <w:lang w:val="en"/>
        </w:rPr>
      </w:pPr>
      <w:r w:rsidRPr="005D44FF">
        <w:rPr>
          <w:rFonts w:hint="eastAsia"/>
          <w:lang w:val="en"/>
        </w:rPr>
        <w:t>Assistance in the development of training programs to advance the profession of rehabilitation and increasing the number of professionals in the field.</w:t>
      </w:r>
    </w:p>
    <w:p w:rsidR="005D44FF" w:rsidRPr="005D44FF" w:rsidRDefault="005D44FF" w:rsidP="00BC5BD4">
      <w:pPr>
        <w:pStyle w:val="ListParagraph"/>
        <w:numPr>
          <w:ilvl w:val="0"/>
          <w:numId w:val="86"/>
        </w:numPr>
        <w:rPr>
          <w:lang w:val="en"/>
        </w:rPr>
      </w:pPr>
      <w:r w:rsidRPr="005D44FF">
        <w:rPr>
          <w:rFonts w:hint="eastAsia"/>
          <w:lang w:val="en"/>
        </w:rPr>
        <w:t>Guidance, training and implementation of new models for diagnosis and rehabilitation of the disabled population.</w:t>
      </w:r>
    </w:p>
    <w:p w:rsidR="005D44FF" w:rsidRPr="005D44FF" w:rsidRDefault="005D44FF" w:rsidP="00BC5BD4">
      <w:pPr>
        <w:pStyle w:val="ListParagraph"/>
        <w:numPr>
          <w:ilvl w:val="0"/>
          <w:numId w:val="86"/>
        </w:numPr>
        <w:rPr>
          <w:lang w:val="en"/>
        </w:rPr>
      </w:pPr>
      <w:r w:rsidRPr="005D44FF">
        <w:rPr>
          <w:rFonts w:hint="eastAsia"/>
          <w:lang w:val="en"/>
        </w:rPr>
        <w:t>Definition of the basket of treatments to which the person undergoing rehabilitation is entitled in the framework of the National Health Insurance Law.</w:t>
      </w:r>
    </w:p>
    <w:p w:rsidR="005D44FF" w:rsidRPr="005D44FF" w:rsidRDefault="005D44FF" w:rsidP="00BC5BD4">
      <w:pPr>
        <w:pStyle w:val="ListParagraph"/>
        <w:numPr>
          <w:ilvl w:val="0"/>
          <w:numId w:val="86"/>
        </w:numPr>
        <w:rPr>
          <w:lang w:val="en"/>
        </w:rPr>
      </w:pPr>
      <w:r w:rsidRPr="005D44FF">
        <w:rPr>
          <w:rFonts w:hint="eastAsia"/>
          <w:lang w:val="en"/>
        </w:rPr>
        <w:t>Development of appropriate multi-disciplinary frameworks for provision of the treatment.</w:t>
      </w:r>
    </w:p>
    <w:p w:rsidR="005D44FF" w:rsidRDefault="005D44FF" w:rsidP="00BC5BD4">
      <w:pPr>
        <w:pStyle w:val="ListParagraph"/>
        <w:numPr>
          <w:ilvl w:val="0"/>
          <w:numId w:val="86"/>
        </w:numPr>
        <w:rPr>
          <w:lang w:val="en"/>
        </w:rPr>
      </w:pPr>
      <w:r w:rsidRPr="005D44FF">
        <w:rPr>
          <w:rFonts w:hint="eastAsia"/>
          <w:lang w:val="en"/>
        </w:rPr>
        <w:t>Encouragement of the formation of rehabilitation frameworks in the periphery and in locations where there is a lack of such frameworks.</w:t>
      </w:r>
    </w:p>
    <w:p w:rsidR="005D44FF" w:rsidRDefault="005D44FF" w:rsidP="005D44FF">
      <w:pPr>
        <w:pStyle w:val="Heading5"/>
        <w:rPr>
          <w:lang w:val="en"/>
        </w:rPr>
      </w:pPr>
      <w:r>
        <w:rPr>
          <w:lang w:val="en"/>
        </w:rPr>
        <w:t>Division Activities</w:t>
      </w:r>
    </w:p>
    <w:p w:rsidR="005D44FF" w:rsidRPr="005D44FF" w:rsidRDefault="005D44FF" w:rsidP="00BC5BD4">
      <w:pPr>
        <w:pStyle w:val="ListParagraph"/>
        <w:numPr>
          <w:ilvl w:val="0"/>
          <w:numId w:val="87"/>
        </w:numPr>
        <w:rPr>
          <w:lang w:val="en"/>
        </w:rPr>
      </w:pPr>
      <w:r w:rsidRPr="005D44FF">
        <w:rPr>
          <w:lang w:val="en"/>
        </w:rPr>
        <w:lastRenderedPageBreak/>
        <w:t>Coordination and unification of the dealings of all the various units of the Ministry of Health with person undergoing rehabilitation: adults and children.</w:t>
      </w:r>
    </w:p>
    <w:p w:rsidR="005D44FF" w:rsidRPr="005D44FF" w:rsidRDefault="005D44FF" w:rsidP="00BC5BD4">
      <w:pPr>
        <w:pStyle w:val="ListParagraph"/>
        <w:numPr>
          <w:ilvl w:val="0"/>
          <w:numId w:val="87"/>
        </w:numPr>
        <w:rPr>
          <w:lang w:val="en"/>
        </w:rPr>
      </w:pPr>
      <w:r w:rsidRPr="005D44FF">
        <w:rPr>
          <w:lang w:val="en"/>
        </w:rPr>
        <w:t>Integration of inter-ministerial work dealing with persons undergoing rehabilitation.</w:t>
      </w:r>
    </w:p>
    <w:p w:rsidR="005D44FF" w:rsidRPr="005D44FF" w:rsidRDefault="005D44FF" w:rsidP="00BC5BD4">
      <w:pPr>
        <w:pStyle w:val="ListParagraph"/>
        <w:numPr>
          <w:ilvl w:val="0"/>
          <w:numId w:val="87"/>
        </w:numPr>
        <w:rPr>
          <w:lang w:val="en"/>
        </w:rPr>
      </w:pPr>
      <w:r w:rsidRPr="005D44FF">
        <w:rPr>
          <w:lang w:val="en"/>
        </w:rPr>
        <w:t>Management of the provision of rehabilitation and mobility devices, prostheses and orthoses.</w:t>
      </w:r>
    </w:p>
    <w:p w:rsidR="005D44FF" w:rsidRPr="005D44FF" w:rsidRDefault="005D44FF" w:rsidP="00BC5BD4">
      <w:pPr>
        <w:pStyle w:val="ListParagraph"/>
        <w:numPr>
          <w:ilvl w:val="0"/>
          <w:numId w:val="87"/>
        </w:numPr>
        <w:rPr>
          <w:lang w:val="en"/>
        </w:rPr>
      </w:pPr>
      <w:r w:rsidRPr="005D44FF">
        <w:rPr>
          <w:lang w:val="en"/>
        </w:rPr>
        <w:t>Holding mobility committees - provision of a professional resource for mobility committees held in the district health bureaus, monitoring of mobility committees held in the district bureaus and operation of a national appeals committee.</w:t>
      </w:r>
    </w:p>
    <w:p w:rsidR="005D44FF" w:rsidRPr="005D44FF" w:rsidRDefault="005D44FF" w:rsidP="00BC5BD4">
      <w:pPr>
        <w:pStyle w:val="ListParagraph"/>
        <w:numPr>
          <w:ilvl w:val="0"/>
          <w:numId w:val="87"/>
        </w:numPr>
        <w:rPr>
          <w:lang w:val="en"/>
        </w:rPr>
      </w:pPr>
      <w:r w:rsidRPr="005D44FF">
        <w:rPr>
          <w:lang w:val="en"/>
        </w:rPr>
        <w:t>Assistance to and monitoring of committees for adapting vehicles - provision of a professional resource for committees held at the Road Safety Medical Institute (MARVAD), and monitoring of these committees.</w:t>
      </w:r>
    </w:p>
    <w:p w:rsidR="00E060A7" w:rsidRPr="00DA5414" w:rsidRDefault="00E060A7" w:rsidP="009256DE">
      <w:pPr>
        <w:pStyle w:val="Heading4"/>
        <w:rPr>
          <w:lang w:val="en"/>
        </w:rPr>
      </w:pPr>
      <w:r w:rsidRPr="00F52152">
        <w:rPr>
          <w:lang w:val="en"/>
        </w:rPr>
        <w:t>The Rehabilitation Continuum, Prostheses and Orthoses Department</w:t>
      </w:r>
    </w:p>
    <w:p w:rsidR="00E060A7" w:rsidRPr="00DA5414" w:rsidRDefault="00E060A7" w:rsidP="009256DE">
      <w:pPr>
        <w:jc w:val="both"/>
        <w:rPr>
          <w:lang w:val="en"/>
        </w:rPr>
      </w:pPr>
      <w:r w:rsidRPr="00DA5414">
        <w:rPr>
          <w:lang w:val="en"/>
        </w:rPr>
        <w:t>The objective of the Department is to ensure the continuum of care between the various parties providing treatment, and to ensure professional quality throughout the journey of the person undergoing rehabilitation.</w:t>
      </w:r>
      <w:r>
        <w:rPr>
          <w:lang w:val="en"/>
        </w:rPr>
        <w:t xml:space="preserve"> </w:t>
      </w:r>
      <w:r w:rsidRPr="00DA5414">
        <w:rPr>
          <w:lang w:val="en"/>
        </w:rPr>
        <w:t>The journey of a person undergoing rehabilitation can be long and include many stops. The Department works to arrange the transfer of information between treatment providers, to make relevant information accessible to the person undergoing rehabilitation, and to assist him in selecting the appropriate course.</w:t>
      </w:r>
    </w:p>
    <w:p w:rsidR="00E060A7" w:rsidRPr="00DA5414" w:rsidRDefault="00E060A7" w:rsidP="009256DE">
      <w:pPr>
        <w:jc w:val="both"/>
        <w:rPr>
          <w:lang w:val="en"/>
        </w:rPr>
      </w:pPr>
      <w:r w:rsidRPr="00DA5414">
        <w:rPr>
          <w:lang w:val="en"/>
        </w:rPr>
        <w:t>It is the Department’s responsibility to set standards that ensure the provision of treatment and services at a high professional level. The formulation and updating of standards will be undertaken in cooperation with the National Rehabilitation Council, the Rehabilitation Physic</w:t>
      </w:r>
      <w:r>
        <w:rPr>
          <w:lang w:val="en"/>
        </w:rPr>
        <w:t xml:space="preserve">ians’ Association and the HMOs. </w:t>
      </w:r>
      <w:r w:rsidRPr="00DA5414">
        <w:rPr>
          <w:lang w:val="en"/>
        </w:rPr>
        <w:t>The Department is responsible for carrying out ongoing supervision of hospitalization and community frameworks that provide treatment, vis-a-vis suppliers and authorized clinics, and will coordinate inquiries from the public undergoing rehabilitat</w:t>
      </w:r>
      <w:r>
        <w:rPr>
          <w:lang w:val="en"/>
        </w:rPr>
        <w:t xml:space="preserve">ion in respect of these issues. </w:t>
      </w:r>
      <w:r w:rsidRPr="00DA5414">
        <w:rPr>
          <w:lang w:val="en"/>
        </w:rPr>
        <w:t>In the framework of its work, the Department participates in the formulation of national rehabilitation policy and in updating services prov</w:t>
      </w:r>
      <w:r>
        <w:rPr>
          <w:lang w:val="en"/>
        </w:rPr>
        <w:t xml:space="preserve">ided by the Ministry of Health. </w:t>
      </w:r>
    </w:p>
    <w:p w:rsidR="00E060A7" w:rsidRPr="00DA5414" w:rsidRDefault="00E060A7" w:rsidP="009256DE">
      <w:pPr>
        <w:pStyle w:val="Heading4"/>
        <w:rPr>
          <w:lang w:val="en"/>
        </w:rPr>
      </w:pPr>
      <w:r w:rsidRPr="00F52152">
        <w:rPr>
          <w:lang w:val="en"/>
        </w:rPr>
        <w:t>The National Unit for Rehabilitation and Mobility Devices</w:t>
      </w:r>
    </w:p>
    <w:p w:rsidR="00E060A7" w:rsidRPr="00284D30" w:rsidRDefault="00E060A7" w:rsidP="009256DE">
      <w:pPr>
        <w:jc w:val="both"/>
        <w:textAlignment w:val="top"/>
        <w:rPr>
          <w:lang w:val="en"/>
        </w:rPr>
      </w:pPr>
      <w:r w:rsidRPr="00284D30">
        <w:rPr>
          <w:lang w:val="en"/>
        </w:rPr>
        <w:t>According to the third addendum to the National Health Insurance Law, and subject to the Procedure for Approval of Rehabilitation and Mobility Devices, the Ministry of Health participates in the funding of rehabilitation and mobility devices. The service is provided to the public via the health bureaus - the departments of chron</w:t>
      </w:r>
      <w:r>
        <w:rPr>
          <w:lang w:val="en"/>
        </w:rPr>
        <w:t xml:space="preserve">ic diseases and rehabilitation. </w:t>
      </w:r>
      <w:r w:rsidRPr="00284D30">
        <w:rPr>
          <w:lang w:val="en"/>
        </w:rPr>
        <w:t>Among the Unit’s Roles:</w:t>
      </w:r>
    </w:p>
    <w:p w:rsidR="00E060A7" w:rsidRPr="009256DE" w:rsidRDefault="00E060A7" w:rsidP="00BC5BD4">
      <w:pPr>
        <w:pStyle w:val="ListParagraph"/>
        <w:numPr>
          <w:ilvl w:val="0"/>
          <w:numId w:val="82"/>
        </w:numPr>
        <w:rPr>
          <w:lang w:val="en"/>
        </w:rPr>
      </w:pPr>
      <w:r w:rsidRPr="009256DE">
        <w:rPr>
          <w:lang w:val="en"/>
        </w:rPr>
        <w:t>Setting and implementing the Ministry of Health’s policy concerning rehabilitation and mobility devices.</w:t>
      </w:r>
    </w:p>
    <w:p w:rsidR="00E060A7" w:rsidRPr="009256DE" w:rsidRDefault="00E060A7" w:rsidP="00BC5BD4">
      <w:pPr>
        <w:pStyle w:val="ListParagraph"/>
        <w:numPr>
          <w:ilvl w:val="0"/>
          <w:numId w:val="82"/>
        </w:numPr>
        <w:rPr>
          <w:lang w:val="en"/>
        </w:rPr>
      </w:pPr>
      <w:r w:rsidRPr="009256DE">
        <w:rPr>
          <w:lang w:val="en"/>
        </w:rPr>
        <w:t>Setting of standards and procedures.</w:t>
      </w:r>
    </w:p>
    <w:p w:rsidR="00E060A7" w:rsidRPr="009256DE" w:rsidRDefault="00E060A7" w:rsidP="00BC5BD4">
      <w:pPr>
        <w:pStyle w:val="ListParagraph"/>
        <w:numPr>
          <w:ilvl w:val="0"/>
          <w:numId w:val="82"/>
        </w:numPr>
        <w:rPr>
          <w:lang w:val="en"/>
        </w:rPr>
      </w:pPr>
      <w:r w:rsidRPr="009256DE">
        <w:rPr>
          <w:lang w:val="en"/>
        </w:rPr>
        <w:lastRenderedPageBreak/>
        <w:t>Supervision and control of those dealing with the submission of applications for rehabilitation and mobility devices (follow-up and monitoring teams at the HMOs, the health teams at special schools and in other health frameworks), of staff at the health bureaus who handle applications for rehabilitation and mobility devices, and of service providers.</w:t>
      </w:r>
    </w:p>
    <w:p w:rsidR="00E060A7" w:rsidRPr="009256DE" w:rsidRDefault="00E060A7" w:rsidP="00BC5BD4">
      <w:pPr>
        <w:pStyle w:val="ListParagraph"/>
        <w:numPr>
          <w:ilvl w:val="0"/>
          <w:numId w:val="82"/>
        </w:numPr>
        <w:rPr>
          <w:lang w:val="en"/>
        </w:rPr>
      </w:pPr>
      <w:r w:rsidRPr="009256DE">
        <w:rPr>
          <w:lang w:val="en"/>
        </w:rPr>
        <w:t>Definition of professional guidelines for service providers, including the various professionals and the equipment suppliers.</w:t>
      </w:r>
    </w:p>
    <w:p w:rsidR="00E060A7" w:rsidRPr="009256DE" w:rsidRDefault="00E060A7" w:rsidP="00BC5BD4">
      <w:pPr>
        <w:pStyle w:val="ListParagraph"/>
        <w:numPr>
          <w:ilvl w:val="0"/>
          <w:numId w:val="82"/>
        </w:numPr>
        <w:rPr>
          <w:lang w:val="en"/>
        </w:rPr>
      </w:pPr>
      <w:r w:rsidRPr="009256DE">
        <w:rPr>
          <w:lang w:val="en"/>
        </w:rPr>
        <w:t>Maintenance of a training and continuing education system for service providers.</w:t>
      </w:r>
    </w:p>
    <w:p w:rsidR="00E060A7" w:rsidRPr="009256DE" w:rsidRDefault="00E060A7" w:rsidP="00BC5BD4">
      <w:pPr>
        <w:pStyle w:val="ListParagraph"/>
        <w:numPr>
          <w:ilvl w:val="0"/>
          <w:numId w:val="82"/>
        </w:numPr>
        <w:rPr>
          <w:lang w:val="en"/>
        </w:rPr>
      </w:pPr>
      <w:r w:rsidRPr="009256DE">
        <w:rPr>
          <w:lang w:val="en"/>
        </w:rPr>
        <w:t>Professional advancement in the field of rehabilitation and mobility assistive technology at a national level.</w:t>
      </w:r>
    </w:p>
    <w:p w:rsidR="00E060A7" w:rsidRPr="009256DE" w:rsidRDefault="00E060A7" w:rsidP="00BC5BD4">
      <w:pPr>
        <w:pStyle w:val="ListParagraph"/>
        <w:numPr>
          <w:ilvl w:val="0"/>
          <w:numId w:val="82"/>
        </w:numPr>
        <w:rPr>
          <w:lang w:val="en"/>
        </w:rPr>
      </w:pPr>
      <w:r w:rsidRPr="009256DE">
        <w:rPr>
          <w:lang w:val="en"/>
        </w:rPr>
        <w:t>Supply, repairs, delivery, putting into use and collection of electric mobility devices.</w:t>
      </w:r>
    </w:p>
    <w:p w:rsidR="00E060A7" w:rsidRPr="009256DE" w:rsidRDefault="00E060A7" w:rsidP="00BC5BD4">
      <w:pPr>
        <w:pStyle w:val="ListParagraph"/>
        <w:numPr>
          <w:ilvl w:val="0"/>
          <w:numId w:val="82"/>
        </w:numPr>
        <w:rPr>
          <w:lang w:val="en"/>
        </w:rPr>
      </w:pPr>
      <w:r w:rsidRPr="009256DE">
        <w:rPr>
          <w:lang w:val="en"/>
        </w:rPr>
        <w:t>Handling of public inquiries and complaints.</w:t>
      </w:r>
    </w:p>
    <w:p w:rsidR="00E060A7" w:rsidRPr="00284D30" w:rsidRDefault="00E060A7" w:rsidP="009256DE">
      <w:pPr>
        <w:jc w:val="both"/>
        <w:rPr>
          <w:lang w:val="en"/>
        </w:rPr>
      </w:pPr>
      <w:r w:rsidRPr="00DA5414">
        <w:rPr>
          <w:lang w:val="en"/>
        </w:rPr>
        <w:t>The Unit’s staff includes physiotherapists, occupational therapists, technicians and administrative workers. The physiotherapists and occupational therapists also handle ongoing applications to receive rehabilitation and mobility devices at the health bureaus.</w:t>
      </w:r>
    </w:p>
    <w:p w:rsidR="00E060A7" w:rsidRDefault="00E060A7" w:rsidP="009256DE">
      <w:pPr>
        <w:pStyle w:val="Heading4"/>
      </w:pPr>
      <w:r>
        <w:t>Mobility Technology Sector</w:t>
      </w:r>
    </w:p>
    <w:p w:rsidR="00E060A7" w:rsidRDefault="00E060A7" w:rsidP="00E060A7">
      <w:pPr>
        <w:jc w:val="both"/>
      </w:pPr>
      <w:r w:rsidRPr="000676A0">
        <w:t>Israel has an entire tech</w:t>
      </w:r>
      <w:r>
        <w:t>nology</w:t>
      </w:r>
      <w:r w:rsidRPr="000676A0">
        <w:t xml:space="preserve"> sector dedicated to enabling the disabled. The impact Israeli tech</w:t>
      </w:r>
      <w:r>
        <w:t>nology</w:t>
      </w:r>
      <w:r w:rsidRPr="000676A0">
        <w:t xml:space="preserve"> has on people is almost biblical in nature: whether it’s helping quadriplegics to walk (and look their loved ones directly in the eyes or use their hands or move more efficiently) or the deaf to hear and the vision-impaired to see, Israel is a leading m</w:t>
      </w:r>
      <w:r>
        <w:t xml:space="preserve">edical innovator. These are not </w:t>
      </w:r>
      <w:r w:rsidRPr="000676A0">
        <w:t>government policies, but driven by the private sector.</w:t>
      </w:r>
      <w:r w:rsidRPr="00ED2022">
        <w:rPr>
          <w:rStyle w:val="FootnoteReference"/>
          <w:rFonts w:cs="Arial"/>
        </w:rPr>
        <w:footnoteReference w:id="269"/>
      </w:r>
    </w:p>
    <w:p w:rsidR="00E060A7" w:rsidRPr="00E90492" w:rsidRDefault="00E060A7" w:rsidP="009256DE">
      <w:pPr>
        <w:pStyle w:val="Heading2"/>
      </w:pPr>
      <w:bookmarkStart w:id="534" w:name="_Toc417575099"/>
      <w:bookmarkStart w:id="535" w:name="_Toc418101348"/>
      <w:bookmarkStart w:id="536" w:name="_Toc421805857"/>
      <w:bookmarkStart w:id="537" w:name="_Toc424669282"/>
      <w:bookmarkStart w:id="538" w:name="_Toc457553313"/>
      <w:r w:rsidRPr="00E90492">
        <w:t>Jordan</w:t>
      </w:r>
      <w:bookmarkEnd w:id="534"/>
      <w:bookmarkEnd w:id="535"/>
      <w:bookmarkEnd w:id="536"/>
      <w:bookmarkEnd w:id="537"/>
      <w:bookmarkEnd w:id="538"/>
    </w:p>
    <w:p w:rsidR="00E060A7" w:rsidRPr="00E90492" w:rsidRDefault="00E060A7" w:rsidP="009256DE">
      <w:pPr>
        <w:pStyle w:val="Heading3"/>
        <w:rPr>
          <w:rFonts w:eastAsia="Univers 45 Light"/>
        </w:rPr>
      </w:pPr>
      <w:bookmarkStart w:id="539" w:name="_Toc418101349"/>
      <w:bookmarkStart w:id="540" w:name="_Toc417575100"/>
      <w:r w:rsidRPr="00E90492">
        <w:rPr>
          <w:rFonts w:eastAsia="Univers 45 Light"/>
        </w:rPr>
        <w:t>Policies and Regulations</w:t>
      </w:r>
      <w:bookmarkEnd w:id="539"/>
    </w:p>
    <w:p w:rsidR="00E060A7" w:rsidRPr="00E90492" w:rsidRDefault="00E060A7" w:rsidP="009256DE">
      <w:pPr>
        <w:pStyle w:val="Heading4"/>
      </w:pPr>
      <w:bookmarkStart w:id="541" w:name="_Toc418101350"/>
      <w:r w:rsidRPr="00E90492">
        <w:t>The National Disability Strategy of the Hashemite Kingdom of Jordan 2007 – 2009 / 2010 – 2015</w:t>
      </w:r>
      <w:r w:rsidRPr="00E90492">
        <w:rPr>
          <w:vertAlign w:val="superscript"/>
        </w:rPr>
        <w:footnoteReference w:id="270"/>
      </w:r>
      <w:bookmarkEnd w:id="540"/>
      <w:bookmarkEnd w:id="541"/>
    </w:p>
    <w:p w:rsidR="00E060A7" w:rsidRPr="00E90492" w:rsidRDefault="00E060A7" w:rsidP="009256DE">
      <w:pPr>
        <w:jc w:val="both"/>
      </w:pPr>
      <w:r w:rsidRPr="00E90492">
        <w:t xml:space="preserve">This two-phase strategy (Phase I: 2007-2009 and Phase II: 2010- 2015) aims to reduce the prevalence of disability in a society where persons with disabilities enjoy a decent and sustainable life, allowing them full participation, fairness and respect, and which </w:t>
      </w:r>
      <w:r w:rsidRPr="00E90492">
        <w:lastRenderedPageBreak/>
        <w:t>strives towards diminishing the cost of disability. Its main objectives are a decline in the occurrence of disability; the achievement of greater equity; an increased empowerment for persons with disabilities and an improved integration of people with disabilities in the life of their community.</w:t>
      </w:r>
    </w:p>
    <w:p w:rsidR="00E060A7" w:rsidRPr="00E90492" w:rsidRDefault="00E060A7" w:rsidP="009256DE">
      <w:pPr>
        <w:jc w:val="both"/>
      </w:pPr>
      <w:r w:rsidRPr="00E90492">
        <w:t>Jordan was the first country in the Middle East to adopt national legislation for disability in addition to being one of the first countries that has updated the law to align it with the United Nations Convention on the Right</w:t>
      </w:r>
      <w:r>
        <w:t xml:space="preserve">s of Persons with Disabilities. </w:t>
      </w:r>
      <w:r w:rsidRPr="00E90492">
        <w:t>Despite a strong legislative base, there is a lack of implementation and monitoring and a low level of services provided in terms of quality and quantity for people with disabilities in Jor</w:t>
      </w:r>
      <w:r>
        <w:t xml:space="preserve">dan. </w:t>
      </w:r>
      <w:r w:rsidRPr="00E90492">
        <w:t>There is also a need to further limit the incidence of disability and ensure that persons with disabilities have access to their rights that their needs are met and their aspirations respected.</w:t>
      </w:r>
    </w:p>
    <w:p w:rsidR="00E060A7" w:rsidRPr="00E90492" w:rsidRDefault="00E060A7" w:rsidP="009256DE">
      <w:pPr>
        <w:jc w:val="both"/>
      </w:pPr>
    </w:p>
    <w:p w:rsidR="00E060A7" w:rsidRPr="002D0F81" w:rsidRDefault="00E060A7" w:rsidP="005D44FF">
      <w:pPr>
        <w:pStyle w:val="Heading5"/>
      </w:pPr>
      <w:r w:rsidRPr="002D0F81">
        <w:t>Health and Disability</w:t>
      </w:r>
    </w:p>
    <w:p w:rsidR="00E060A7" w:rsidRDefault="00E060A7" w:rsidP="009256DE">
      <w:pPr>
        <w:jc w:val="both"/>
      </w:pPr>
      <w:r w:rsidRPr="00E90492">
        <w:t>Jordan faces challenges in the modernization of health services making it difficult to achieve a balance between the continued and increased demand for the maintenance of good quality, particularly for health services orient</w:t>
      </w:r>
      <w:r>
        <w:t xml:space="preserve">ed to persons with disabilities. </w:t>
      </w:r>
      <w:r w:rsidRPr="00E90492">
        <w:t>There is a need for better access to health services, including the creation of more effective mechanisms for early detection, diagnosis, e</w:t>
      </w:r>
      <w:r>
        <w:t>arly intervention, and referral.</w:t>
      </w:r>
    </w:p>
    <w:p w:rsidR="00E060A7" w:rsidRPr="00E90492" w:rsidRDefault="00E060A7" w:rsidP="005D44FF">
      <w:pPr>
        <w:pStyle w:val="Heading6"/>
      </w:pPr>
      <w:r w:rsidRPr="00E90492">
        <w:t>R</w:t>
      </w:r>
      <w:r>
        <w:t>ecommended Initiatives/Actions:</w:t>
      </w:r>
    </w:p>
    <w:p w:rsidR="00E060A7" w:rsidRPr="00E90492" w:rsidRDefault="00E060A7" w:rsidP="00BC5BD4">
      <w:pPr>
        <w:pStyle w:val="ListParagraph"/>
        <w:numPr>
          <w:ilvl w:val="0"/>
          <w:numId w:val="82"/>
        </w:numPr>
      </w:pPr>
      <w:r w:rsidRPr="00E90492">
        <w:t>Promote research programs to gain access to the children with disabilities and link program to the detection and early intervention</w:t>
      </w:r>
    </w:p>
    <w:p w:rsidR="00E060A7" w:rsidRPr="00E90492" w:rsidRDefault="00E060A7" w:rsidP="00BC5BD4">
      <w:pPr>
        <w:pStyle w:val="ListParagraph"/>
        <w:numPr>
          <w:ilvl w:val="0"/>
          <w:numId w:val="82"/>
        </w:numPr>
      </w:pPr>
      <w:r w:rsidRPr="00E90492">
        <w:t>Enhance detection programs and early intervention</w:t>
      </w:r>
    </w:p>
    <w:p w:rsidR="00E060A7" w:rsidRPr="00E90492" w:rsidRDefault="00E060A7" w:rsidP="00BC5BD4">
      <w:pPr>
        <w:pStyle w:val="ListParagraph"/>
        <w:numPr>
          <w:ilvl w:val="0"/>
          <w:numId w:val="82"/>
        </w:numPr>
      </w:pPr>
      <w:r w:rsidRPr="00E90492">
        <w:t>Raise the quality of diagnostic software and strengthen national control mechanisms</w:t>
      </w:r>
    </w:p>
    <w:p w:rsidR="00E060A7" w:rsidRPr="00E90492" w:rsidRDefault="00E060A7" w:rsidP="00BC5BD4">
      <w:pPr>
        <w:pStyle w:val="ListParagraph"/>
        <w:numPr>
          <w:ilvl w:val="0"/>
          <w:numId w:val="82"/>
        </w:numPr>
      </w:pPr>
      <w:r w:rsidRPr="00E90492">
        <w:t>Implement measures for people with disabilities to be covered by health insurance</w:t>
      </w:r>
    </w:p>
    <w:p w:rsidR="00E060A7" w:rsidRPr="002D0F81" w:rsidRDefault="00E060A7" w:rsidP="005D44FF">
      <w:pPr>
        <w:pStyle w:val="Heading5"/>
      </w:pPr>
      <w:r w:rsidRPr="002D0F81">
        <w:t>Habilitation, Rehab</w:t>
      </w:r>
      <w:r>
        <w:t>ilitation, and Support Services</w:t>
      </w:r>
    </w:p>
    <w:p w:rsidR="00E060A7" w:rsidRPr="00E90492" w:rsidRDefault="00E060A7" w:rsidP="009256DE">
      <w:pPr>
        <w:jc w:val="both"/>
      </w:pPr>
      <w:r w:rsidRPr="00E90492">
        <w:t>The habilitation and rehabilitation landscape is well developed in Jordan with the availability of a number of rehabilitation and specialized vocational training centers with trained professionals as well as professional programs for tra</w:t>
      </w:r>
      <w:r>
        <w:t>ining persons with disabilities. However, t</w:t>
      </w:r>
      <w:r w:rsidRPr="00E90492">
        <w:t>he number of programs remains insufficient with no links between detection programs, diagnosis and rehabilitation institutions.</w:t>
      </w:r>
    </w:p>
    <w:p w:rsidR="00E060A7" w:rsidRPr="00E90492" w:rsidRDefault="00E060A7" w:rsidP="005D44FF">
      <w:pPr>
        <w:pStyle w:val="Heading6"/>
      </w:pPr>
      <w:r w:rsidRPr="00E90492">
        <w:t>Recommended Initiatives/Actions:</w:t>
      </w:r>
    </w:p>
    <w:p w:rsidR="00E060A7" w:rsidRPr="00E90492" w:rsidRDefault="00E060A7" w:rsidP="00BC5BD4">
      <w:pPr>
        <w:pStyle w:val="ListParagraph"/>
        <w:numPr>
          <w:ilvl w:val="0"/>
          <w:numId w:val="82"/>
        </w:numPr>
      </w:pPr>
      <w:r w:rsidRPr="00E90492">
        <w:lastRenderedPageBreak/>
        <w:t>Raise the quality of services provided by habilitation and rehabilitation programs and community-based rehabilitation</w:t>
      </w:r>
    </w:p>
    <w:p w:rsidR="00E060A7" w:rsidRPr="00E90492" w:rsidRDefault="00E060A7" w:rsidP="00BC5BD4">
      <w:pPr>
        <w:pStyle w:val="ListParagraph"/>
        <w:numPr>
          <w:ilvl w:val="0"/>
          <w:numId w:val="82"/>
        </w:numPr>
      </w:pPr>
      <w:r w:rsidRPr="00E90492">
        <w:t>Distribute habilitation and rehabilitation services and intervention programs in governorates</w:t>
      </w:r>
    </w:p>
    <w:p w:rsidR="00E060A7" w:rsidRPr="00E90492" w:rsidRDefault="00E060A7" w:rsidP="009256DE">
      <w:pPr>
        <w:pStyle w:val="Heading4"/>
      </w:pPr>
      <w:bookmarkStart w:id="542" w:name="_Toc417575101"/>
      <w:bookmarkStart w:id="543" w:name="_Toc418101351"/>
      <w:r w:rsidRPr="00E90492">
        <w:t>Law for the Welfare of Disabled Persons</w:t>
      </w:r>
      <w:bookmarkEnd w:id="542"/>
      <w:bookmarkEnd w:id="543"/>
    </w:p>
    <w:p w:rsidR="00E060A7" w:rsidRPr="00E90492" w:rsidRDefault="00E060A7" w:rsidP="00E060A7">
      <w:pPr>
        <w:jc w:val="both"/>
      </w:pPr>
      <w:r w:rsidRPr="00E90492">
        <w:t>The philosophy of the Hashemite Kingdom of Jordan with regard to its disabled citizens springs forth from Arab-Islamic values, the Jordanian constitution, the National Charter, the Laws governing education and higher education, the World Declaration on Human Rights, and the International Declaration on Disabled Persons; and stresses the following principles:</w:t>
      </w:r>
      <w:r w:rsidRPr="00E90492">
        <w:rPr>
          <w:vertAlign w:val="superscript"/>
        </w:rPr>
        <w:footnoteReference w:id="271"/>
      </w:r>
    </w:p>
    <w:p w:rsidR="00E060A7" w:rsidRPr="00E90492" w:rsidRDefault="00E060A7" w:rsidP="00BC5BD4">
      <w:pPr>
        <w:pStyle w:val="ListParagraph"/>
        <w:numPr>
          <w:ilvl w:val="0"/>
          <w:numId w:val="82"/>
        </w:numPr>
      </w:pPr>
      <w:r w:rsidRPr="00E90492">
        <w:t>The right of disabled persons to be integrated into the general life of the society.</w:t>
      </w:r>
    </w:p>
    <w:p w:rsidR="00E060A7" w:rsidRPr="00E90492" w:rsidRDefault="00E060A7" w:rsidP="00BC5BD4">
      <w:pPr>
        <w:pStyle w:val="ListParagraph"/>
        <w:numPr>
          <w:ilvl w:val="0"/>
          <w:numId w:val="82"/>
        </w:numPr>
      </w:pPr>
      <w:r w:rsidRPr="00E90492">
        <w:t>The right of disabled persons to education and higher education commensurate with his/her abilities</w:t>
      </w:r>
    </w:p>
    <w:p w:rsidR="00E060A7" w:rsidRPr="00E90492" w:rsidRDefault="00E060A7" w:rsidP="00BC5BD4">
      <w:pPr>
        <w:pStyle w:val="ListParagraph"/>
        <w:numPr>
          <w:ilvl w:val="0"/>
          <w:numId w:val="82"/>
        </w:numPr>
      </w:pPr>
      <w:r w:rsidRPr="00E90492">
        <w:t>The right of disabled persons to employment commensurate with their capabilities and qualifications, and their right to sports and recreation.</w:t>
      </w:r>
    </w:p>
    <w:p w:rsidR="00E060A7" w:rsidRPr="00E90492" w:rsidRDefault="00E060A7" w:rsidP="00BC5BD4">
      <w:pPr>
        <w:pStyle w:val="ListParagraph"/>
        <w:numPr>
          <w:ilvl w:val="0"/>
          <w:numId w:val="82"/>
        </w:numPr>
      </w:pPr>
      <w:r w:rsidRPr="00E90492">
        <w:t>The right of disabled persons to Preventative Health Care and Medical Treatment.</w:t>
      </w:r>
    </w:p>
    <w:p w:rsidR="00E060A7" w:rsidRPr="00E90492" w:rsidRDefault="00E060A7" w:rsidP="00BC5BD4">
      <w:pPr>
        <w:pStyle w:val="ListParagraph"/>
        <w:numPr>
          <w:ilvl w:val="0"/>
          <w:numId w:val="82"/>
        </w:numPr>
      </w:pPr>
      <w:r w:rsidRPr="00E90492">
        <w:t>The right of disabled persons to a suitable environment that allows them freedom of movement and transportation in a safe and secure manner.</w:t>
      </w:r>
    </w:p>
    <w:p w:rsidR="00E060A7" w:rsidRPr="00E90492" w:rsidRDefault="00E060A7" w:rsidP="00BC5BD4">
      <w:pPr>
        <w:pStyle w:val="ListParagraph"/>
        <w:numPr>
          <w:ilvl w:val="0"/>
          <w:numId w:val="82"/>
        </w:numPr>
      </w:pPr>
      <w:r w:rsidRPr="00E90492">
        <w:t>The right of disabled persons to obtain such aids, equipment, and materials that assist them in education, training, movement, and transportation.</w:t>
      </w:r>
    </w:p>
    <w:p w:rsidR="00E060A7" w:rsidRPr="00E90492" w:rsidRDefault="00E060A7" w:rsidP="00BC5BD4">
      <w:pPr>
        <w:pStyle w:val="ListParagraph"/>
        <w:numPr>
          <w:ilvl w:val="0"/>
          <w:numId w:val="82"/>
        </w:numPr>
      </w:pPr>
      <w:r w:rsidRPr="00E90492">
        <w:t>The right of those who have multiple and severe disabilities to education, training and rehabilitation.</w:t>
      </w:r>
    </w:p>
    <w:p w:rsidR="00E060A7" w:rsidRPr="00E90492" w:rsidRDefault="00E060A7" w:rsidP="00BC5BD4">
      <w:pPr>
        <w:pStyle w:val="ListParagraph"/>
        <w:numPr>
          <w:ilvl w:val="0"/>
          <w:numId w:val="82"/>
        </w:numPr>
      </w:pPr>
      <w:r w:rsidRPr="00E90492">
        <w:t>The right of needy parents with disabled dependents to relief, welfare, and support services.</w:t>
      </w:r>
    </w:p>
    <w:p w:rsidR="00E060A7" w:rsidRPr="00E90492" w:rsidRDefault="00E060A7" w:rsidP="00BC5BD4">
      <w:pPr>
        <w:pStyle w:val="ListParagraph"/>
        <w:numPr>
          <w:ilvl w:val="0"/>
          <w:numId w:val="82"/>
        </w:numPr>
      </w:pPr>
      <w:r w:rsidRPr="00E90492">
        <w:t>The right of disabled persons to participate in decision making pertaining to them</w:t>
      </w:r>
    </w:p>
    <w:p w:rsidR="00E060A7" w:rsidRPr="00E90492" w:rsidRDefault="00E060A7" w:rsidP="009256DE">
      <w:pPr>
        <w:pStyle w:val="Heading2"/>
      </w:pPr>
      <w:bookmarkStart w:id="544" w:name="_Toc417645518"/>
      <w:bookmarkStart w:id="545" w:name="_Toc418101352"/>
      <w:bookmarkStart w:id="546" w:name="_Toc421805858"/>
      <w:bookmarkStart w:id="547" w:name="_Toc424669283"/>
      <w:bookmarkStart w:id="548" w:name="_Toc457553314"/>
      <w:r w:rsidRPr="00E90492">
        <w:t>Germany</w:t>
      </w:r>
      <w:bookmarkEnd w:id="544"/>
      <w:bookmarkEnd w:id="545"/>
      <w:bookmarkEnd w:id="546"/>
      <w:bookmarkEnd w:id="547"/>
      <w:bookmarkEnd w:id="548"/>
    </w:p>
    <w:p w:rsidR="00E060A7" w:rsidRPr="00E90492" w:rsidRDefault="00E060A7" w:rsidP="009256DE">
      <w:pPr>
        <w:pStyle w:val="Heading3"/>
        <w:rPr>
          <w:rFonts w:eastAsia="Univers 45 Light"/>
        </w:rPr>
      </w:pPr>
      <w:bookmarkStart w:id="549" w:name="_Toc418101353"/>
      <w:bookmarkStart w:id="550" w:name="_Toc417645519"/>
      <w:r w:rsidRPr="00E90492">
        <w:rPr>
          <w:rFonts w:eastAsia="Univers 45 Light"/>
        </w:rPr>
        <w:t>Policies and Regulations</w:t>
      </w:r>
      <w:bookmarkEnd w:id="549"/>
    </w:p>
    <w:p w:rsidR="00E060A7" w:rsidRPr="00E90492" w:rsidRDefault="00E060A7" w:rsidP="009256DE">
      <w:pPr>
        <w:pStyle w:val="Heading4"/>
      </w:pPr>
      <w:bookmarkStart w:id="551" w:name="_Toc418101354"/>
      <w:r w:rsidRPr="00E90492">
        <w:t>Bundesministerium für Familie, 2006</w:t>
      </w:r>
      <w:bookmarkEnd w:id="550"/>
      <w:bookmarkEnd w:id="551"/>
    </w:p>
    <w:p w:rsidR="00E060A7" w:rsidRPr="00E90492" w:rsidRDefault="00E060A7" w:rsidP="009256DE">
      <w:pPr>
        <w:jc w:val="both"/>
      </w:pPr>
      <w:r w:rsidRPr="00E90492">
        <w:t xml:space="preserve">The German social assistance system, and with it the integration support, is based on the principle of community orientation. Officially disabled people have the right to opt for institutional or community-oriented care. However, the right to choose homecare is </w:t>
      </w:r>
      <w:r w:rsidRPr="00E90492">
        <w:lastRenderedPageBreak/>
        <w:t>suspended if its implementation would result in disproportionately extra costs for the executive authorities in comparis</w:t>
      </w:r>
      <w:r>
        <w:t>on with care in an institution.</w:t>
      </w:r>
      <w:r w:rsidRPr="00E90492">
        <w:rPr>
          <w:vertAlign w:val="superscript"/>
        </w:rPr>
        <w:footnoteReference w:id="272"/>
      </w:r>
    </w:p>
    <w:p w:rsidR="00E060A7" w:rsidRPr="00E90492" w:rsidRDefault="00E060A7" w:rsidP="009256DE">
      <w:pPr>
        <w:pStyle w:val="Heading4"/>
      </w:pPr>
      <w:bookmarkStart w:id="552" w:name="_Toc417645520"/>
      <w:bookmarkStart w:id="553" w:name="_Toc418101355"/>
      <w:r w:rsidRPr="00E90492">
        <w:t>Social Code Book IX (2001)</w:t>
      </w:r>
      <w:bookmarkEnd w:id="552"/>
      <w:bookmarkEnd w:id="553"/>
    </w:p>
    <w:p w:rsidR="00E060A7" w:rsidRPr="00E90492" w:rsidRDefault="00E060A7" w:rsidP="009256DE">
      <w:pPr>
        <w:jc w:val="both"/>
      </w:pPr>
      <w:r w:rsidRPr="00E90492">
        <w:t>The Social Code Book IX (2001) is a framework legislation and covers the main areas of social law, i.e. social insurance and social assistance. It marks a turning point in German disability policy, namely the shift from the p</w:t>
      </w:r>
      <w:r>
        <w:t xml:space="preserve">rinciples of care and welfare </w:t>
      </w:r>
      <w:r w:rsidRPr="00E90492">
        <w:t>to the ones of self - determination and participation</w:t>
      </w:r>
      <w:r>
        <w:t xml:space="preserve">. </w:t>
      </w:r>
      <w:r w:rsidRPr="00E90492">
        <w:t>The law guarantees comprehensive social rights for disabled people; it also entails gender specific regulations. In general, it aims at es</w:t>
      </w:r>
      <w:r>
        <w:t>tablishing social inclusion, pa</w:t>
      </w:r>
      <w:r w:rsidRPr="00E90492">
        <w:t>rticipation and self - determination for disabled people</w:t>
      </w:r>
      <w:r>
        <w:t>.</w:t>
      </w:r>
      <w:r w:rsidRPr="00E90492">
        <w:rPr>
          <w:vertAlign w:val="superscript"/>
        </w:rPr>
        <w:footnoteReference w:id="273"/>
      </w:r>
    </w:p>
    <w:p w:rsidR="00E060A7" w:rsidRPr="00E90492" w:rsidRDefault="00E060A7" w:rsidP="009256DE">
      <w:pPr>
        <w:jc w:val="both"/>
      </w:pPr>
    </w:p>
    <w:p w:rsidR="00E060A7" w:rsidRPr="00E90492" w:rsidRDefault="00E060A7" w:rsidP="009256DE">
      <w:pPr>
        <w:jc w:val="both"/>
      </w:pPr>
      <w:r w:rsidRPr="00E90492">
        <w:t>To ensure the principle of ‘rehabilitation before care’ is complied with and that general out-patient and in-patient medical care and in-patient geriatric care places greater emphasis on rehabilitation, a three-tiered system of rehabilitative facilities has been set up</w:t>
      </w:r>
      <w:r>
        <w:t>:</w:t>
      </w:r>
      <w:r w:rsidRPr="00E90492">
        <w:rPr>
          <w:vertAlign w:val="superscript"/>
        </w:rPr>
        <w:footnoteReference w:id="274"/>
      </w:r>
    </w:p>
    <w:p w:rsidR="00E060A7" w:rsidRPr="00E90492" w:rsidRDefault="00E060A7" w:rsidP="00BC5BD4">
      <w:pPr>
        <w:pStyle w:val="ListParagraph"/>
        <w:numPr>
          <w:ilvl w:val="0"/>
          <w:numId w:val="82"/>
        </w:numPr>
      </w:pPr>
      <w:r w:rsidRPr="00E90492">
        <w:t xml:space="preserve">Geriatric out-patient departments in hospitals and social centres with mobile services (particularly physiotherapy and ergotherapy); also intended for continued intensive rehabilitation treatment following a stay in an in-patient institution </w:t>
      </w:r>
    </w:p>
    <w:p w:rsidR="00E060A7" w:rsidRPr="00E90492" w:rsidRDefault="00E060A7" w:rsidP="00BC5BD4">
      <w:pPr>
        <w:pStyle w:val="ListParagraph"/>
        <w:numPr>
          <w:ilvl w:val="0"/>
          <w:numId w:val="82"/>
        </w:numPr>
      </w:pPr>
      <w:r w:rsidRPr="00E90492">
        <w:t xml:space="preserve">Day clinics as partial in-patient institutions for patients for whom out-patient rehabilitation care is insufficient, but for whom in-patient treatment is not or no longer necessary </w:t>
      </w:r>
    </w:p>
    <w:p w:rsidR="00E060A7" w:rsidRPr="002D0F81" w:rsidRDefault="00E060A7" w:rsidP="00BC5BD4">
      <w:pPr>
        <w:pStyle w:val="ListParagraph"/>
        <w:numPr>
          <w:ilvl w:val="0"/>
          <w:numId w:val="82"/>
        </w:numPr>
      </w:pPr>
      <w:r w:rsidRPr="00E90492">
        <w:t xml:space="preserve">Institutions to provide adequate in-patient care of people suffering from age-related disease and of people with long-term illness. Among other things, these offer skin care, bladder training, physiotherapy, ergotherapy with self-help training programmes, psychological care and speech therapy. </w:t>
      </w:r>
    </w:p>
    <w:p w:rsidR="00E060A7" w:rsidRPr="00E90492" w:rsidRDefault="00E060A7" w:rsidP="009256DE">
      <w:pPr>
        <w:pStyle w:val="Heading4"/>
      </w:pPr>
      <w:bookmarkStart w:id="554" w:name="_Toc417645521"/>
      <w:bookmarkStart w:id="555" w:name="_Toc418101356"/>
      <w:r w:rsidRPr="00E90492">
        <w:t>2002 – The Act on the Equalization of Disabled Persons</w:t>
      </w:r>
      <w:bookmarkEnd w:id="554"/>
      <w:bookmarkEnd w:id="555"/>
    </w:p>
    <w:p w:rsidR="00E060A7" w:rsidRPr="00E90492" w:rsidRDefault="00E060A7" w:rsidP="009256DE">
      <w:pPr>
        <w:jc w:val="both"/>
        <w:rPr>
          <w:rFonts w:cs="Arial"/>
          <w:bCs/>
          <w:szCs w:val="20"/>
        </w:rPr>
      </w:pPr>
      <w:r w:rsidRPr="00E90492">
        <w:rPr>
          <w:rFonts w:cs="Arial"/>
          <w:bCs/>
          <w:szCs w:val="20"/>
        </w:rPr>
        <w:t xml:space="preserve">This Act regulates the competences of the federal state in terms of accessibility of federal buildings und communication with federal authorities. It also acknowledges </w:t>
      </w:r>
      <w:r w:rsidRPr="00E90492">
        <w:rPr>
          <w:rFonts w:cs="Arial"/>
          <w:bCs/>
          <w:szCs w:val="20"/>
        </w:rPr>
        <w:lastRenderedPageBreak/>
        <w:t>German Sign Language, thus giving deaf people the right to an interpreter when dealing with federal authorities. Because the Act only deals with the competences of the federal state it was clear from the beginning that further legislation would be needed on the states' level — most of which have respective laws — as well as a civil anti-discrimination law which would protect disabled people from discrimination by insurances, airlines, restaurant</w:t>
      </w:r>
      <w:r>
        <w:rPr>
          <w:rFonts w:cs="Arial"/>
          <w:bCs/>
          <w:szCs w:val="20"/>
        </w:rPr>
        <w:t xml:space="preserve"> or hotel owners and the like.</w:t>
      </w:r>
      <w:r w:rsidRPr="00E90492">
        <w:rPr>
          <w:vertAlign w:val="superscript"/>
        </w:rPr>
        <w:footnoteReference w:id="275"/>
      </w:r>
    </w:p>
    <w:p w:rsidR="00E060A7" w:rsidRPr="00E90492" w:rsidRDefault="00E060A7" w:rsidP="009256DE">
      <w:pPr>
        <w:pStyle w:val="Heading4"/>
      </w:pPr>
      <w:bookmarkStart w:id="556" w:name="_Toc417645522"/>
      <w:bookmarkStart w:id="557" w:name="_Toc418101357"/>
      <w:r w:rsidRPr="00E90492">
        <w:t>2006 – General Equality Act</w:t>
      </w:r>
      <w:bookmarkEnd w:id="556"/>
      <w:bookmarkEnd w:id="557"/>
    </w:p>
    <w:p w:rsidR="00E060A7" w:rsidRPr="00E90492" w:rsidRDefault="00E060A7" w:rsidP="009256DE">
      <w:pPr>
        <w:jc w:val="both"/>
      </w:pPr>
      <w:r w:rsidRPr="00E90492">
        <w:t>Germany transposed all four EU Equality Directives with the introduction of one law, the General Equal Treatment Act, which came into force in August 18, 2006. This first comprehensive anti-discrimination law in Germany constitutes a milestone for the legal protection against unjustified unequal tr</w:t>
      </w:r>
      <w:r>
        <w:t>eatment of various social groups</w:t>
      </w:r>
      <w:r w:rsidRPr="00E90492">
        <w:t xml:space="preserve"> avoids to a large extent the creation of a certain hierarchy of differ</w:t>
      </w:r>
      <w:r>
        <w:t xml:space="preserve">ent grounds of discrimination. </w:t>
      </w:r>
      <w:r w:rsidRPr="00E90492">
        <w:t>The most important equality provision in German legislation is the constitutional principle of equal treatment (Article 3): No one must be treated in a disadvantaged or privileged manner due to his/her sex, descent, race, language, origin, faith or religious or po</w:t>
      </w:r>
      <w:r>
        <w:t>litical opinion or disability.</w:t>
      </w:r>
      <w:r w:rsidRPr="00E90492">
        <w:rPr>
          <w:vertAlign w:val="superscript"/>
        </w:rPr>
        <w:footnoteReference w:id="276"/>
      </w:r>
      <w:r>
        <w:rPr>
          <w:rStyle w:val="FootnoteReference"/>
        </w:rPr>
        <w:footnoteReference w:id="277"/>
      </w:r>
    </w:p>
    <w:p w:rsidR="00E060A7" w:rsidRPr="00E90492" w:rsidRDefault="00E060A7" w:rsidP="009256DE">
      <w:pPr>
        <w:pStyle w:val="Heading3"/>
        <w:rPr>
          <w:rFonts w:eastAsia="Univers 45 Light"/>
        </w:rPr>
      </w:pPr>
      <w:bookmarkStart w:id="558" w:name="_Toc417645523"/>
      <w:bookmarkStart w:id="559" w:name="_Toc418101358"/>
      <w:r w:rsidRPr="00E90492">
        <w:rPr>
          <w:rFonts w:eastAsia="Univers 45 Light"/>
        </w:rPr>
        <w:t>Programs</w:t>
      </w:r>
      <w:bookmarkEnd w:id="558"/>
      <w:bookmarkEnd w:id="559"/>
    </w:p>
    <w:p w:rsidR="00E060A7" w:rsidRPr="00E90492" w:rsidRDefault="00E060A7" w:rsidP="009256DE">
      <w:pPr>
        <w:pStyle w:val="Heading4"/>
      </w:pPr>
      <w:bookmarkStart w:id="560" w:name="_Toc417645524"/>
      <w:bookmarkStart w:id="561" w:name="_Toc418101359"/>
      <w:r w:rsidRPr="00E90492">
        <w:t>InWEnt – Capacity Building International GmbH</w:t>
      </w:r>
      <w:bookmarkEnd w:id="560"/>
      <w:bookmarkEnd w:id="561"/>
      <w:r w:rsidRPr="00E90492">
        <w:t xml:space="preserve"> </w:t>
      </w:r>
    </w:p>
    <w:p w:rsidR="00E060A7" w:rsidRPr="00E90492" w:rsidRDefault="00E060A7" w:rsidP="00E060A7">
      <w:pPr>
        <w:jc w:val="both"/>
      </w:pPr>
      <w:r w:rsidRPr="00E90492">
        <w:t>Germany supports human resources and organizational development in international cooperation. To improve the situation of people with disabilities, InWEnt primarily carries out programmes in the</w:t>
      </w:r>
      <w:r>
        <w:t xml:space="preserve"> health sector, focusing on in-</w:t>
      </w:r>
      <w:r w:rsidRPr="00E90492">
        <w:t xml:space="preserve">service training and continuing education of specialists. The main purpose of this work is to foster the social and economic (re-)integration of people with physical disabilities and to make specialist medical care available for traumatized people. Examples are the improvement of medical treatment and training structures in the field of orthopedic technics in Africa – particularly in countries affected by (post-) conflict situations and in southern and eastern Africa – and the establishment of medical provision in Afghanistan that is sensitive to the special needs </w:t>
      </w:r>
      <w:r>
        <w:t>of traumatized women and girls.</w:t>
      </w:r>
      <w:r w:rsidRPr="00E90492">
        <w:rPr>
          <w:vertAlign w:val="superscript"/>
        </w:rPr>
        <w:footnoteReference w:id="278"/>
      </w:r>
    </w:p>
    <w:p w:rsidR="00E060A7" w:rsidRPr="00E90492" w:rsidRDefault="00E060A7" w:rsidP="009256DE">
      <w:pPr>
        <w:pStyle w:val="Heading2"/>
      </w:pPr>
      <w:bookmarkStart w:id="562" w:name="_Toc418101360"/>
      <w:bookmarkStart w:id="563" w:name="_Toc421805859"/>
      <w:bookmarkStart w:id="564" w:name="_Toc424669284"/>
      <w:bookmarkStart w:id="565" w:name="_Toc457553315"/>
      <w:r w:rsidRPr="00E90492">
        <w:lastRenderedPageBreak/>
        <w:t>Singapore</w:t>
      </w:r>
      <w:bookmarkEnd w:id="562"/>
      <w:bookmarkEnd w:id="563"/>
      <w:bookmarkEnd w:id="564"/>
      <w:bookmarkEnd w:id="565"/>
    </w:p>
    <w:p w:rsidR="00E060A7" w:rsidRDefault="00E060A7" w:rsidP="009256DE">
      <w:pPr>
        <w:pStyle w:val="Heading3"/>
        <w:rPr>
          <w:rFonts w:eastAsia="Univers 45 Light"/>
        </w:rPr>
      </w:pPr>
      <w:bookmarkStart w:id="566" w:name="_Toc418101361"/>
      <w:r>
        <w:rPr>
          <w:rFonts w:eastAsia="Univers 45 Light"/>
        </w:rPr>
        <w:t>Regulations and Policies</w:t>
      </w:r>
    </w:p>
    <w:p w:rsidR="00E060A7" w:rsidRPr="00E90492" w:rsidRDefault="00E060A7" w:rsidP="009256DE">
      <w:pPr>
        <w:pStyle w:val="Heading4"/>
        <w:rPr>
          <w:rFonts w:eastAsia="Univers 45 Light"/>
        </w:rPr>
      </w:pPr>
      <w:r w:rsidRPr="00E90492">
        <w:rPr>
          <w:rFonts w:eastAsia="Univers 45 Light"/>
        </w:rPr>
        <w:t>Masterplan 2012 – 2016</w:t>
      </w:r>
      <w:bookmarkEnd w:id="566"/>
    </w:p>
    <w:p w:rsidR="00E060A7" w:rsidRPr="00E90492" w:rsidRDefault="00E060A7" w:rsidP="009256DE">
      <w:pPr>
        <w:jc w:val="both"/>
      </w:pPr>
      <w:r w:rsidRPr="00E90492">
        <w:t>Ensuring that there are sufficient services and options for adults who need care is a key prior</w:t>
      </w:r>
      <w:r>
        <w:t xml:space="preserve">ity. </w:t>
      </w:r>
      <w:r w:rsidRPr="00E90492">
        <w:t>The profile of caregivers will follow the trend of rapidly ageing population. Care arrangement is a serious concern for many ageing parents. A spectrum of care options will need to be implemented over the next five years to support the varying needs of persons with disabilities and their family caregivers.</w:t>
      </w:r>
      <w:r>
        <w:t xml:space="preserve"> </w:t>
      </w:r>
      <w:r w:rsidRPr="00E90492">
        <w:t>Apart from care needs, adults with disabilities will benefit from opportunities to develop their potential. The Committee notes that the model of the Day Activity Centre (DAC) is basic. The model needs to be enhanced to enable service providers to meet the needs of adults with varying functioning levels and cater to their developmental needs.</w:t>
      </w:r>
      <w:r w:rsidRPr="00E90492">
        <w:rPr>
          <w:rFonts w:eastAsia="Univers 45 Light"/>
          <w:vertAlign w:val="superscript"/>
        </w:rPr>
        <w:footnoteReference w:id="279"/>
      </w:r>
    </w:p>
    <w:p w:rsidR="00E060A7" w:rsidRPr="00E90492" w:rsidRDefault="00E060A7" w:rsidP="009256DE">
      <w:pPr>
        <w:pStyle w:val="Heading4"/>
        <w:rPr>
          <w:rFonts w:eastAsia="Univers 45 Light"/>
        </w:rPr>
      </w:pPr>
      <w:bookmarkStart w:id="567" w:name="_Toc418101362"/>
      <w:r w:rsidRPr="00E90492">
        <w:rPr>
          <w:rFonts w:eastAsia="Univers 45 Light"/>
        </w:rPr>
        <w:t>Code on Accessibility in the Built Environment 2013</w:t>
      </w:r>
      <w:bookmarkEnd w:id="567"/>
    </w:p>
    <w:p w:rsidR="00E060A7" w:rsidRPr="00E90492" w:rsidRDefault="00E060A7" w:rsidP="009256DE">
      <w:pPr>
        <w:jc w:val="both"/>
      </w:pPr>
      <w:r w:rsidRPr="00E90492">
        <w:t>Since its inception in 1990, the Code has undergone a series of periodic reviews to ensure that its provisions are comparable to international standards and, more importantly, meet the evolv</w:t>
      </w:r>
      <w:r>
        <w:t xml:space="preserve">ing needs of local communities. </w:t>
      </w:r>
      <w:r w:rsidRPr="00E90492">
        <w:t xml:space="preserve">The Code sets out the essential requirements and guidelines for making the built environment accessible and usable to persons with disabilities and families with young children. It does not give recommendations for fire safety features within buildings to facilitate the evacuation of persons with disabilities that are already covered under the </w:t>
      </w:r>
      <w:r w:rsidRPr="00E90492">
        <w:rPr>
          <w:i/>
        </w:rPr>
        <w:t>Code of Practice for</w:t>
      </w:r>
      <w:r>
        <w:rPr>
          <w:i/>
        </w:rPr>
        <w:t xml:space="preserve"> Fire Precautions in Buildings.</w:t>
      </w:r>
      <w:r w:rsidRPr="00E90492">
        <w:rPr>
          <w:rFonts w:eastAsia="Univers 45 Light"/>
          <w:vertAlign w:val="superscript"/>
        </w:rPr>
        <w:footnoteReference w:id="280"/>
      </w:r>
    </w:p>
    <w:p w:rsidR="00E060A7" w:rsidRPr="005E681A" w:rsidRDefault="00E060A7" w:rsidP="009256DE">
      <w:pPr>
        <w:pStyle w:val="Heading4"/>
        <w:rPr>
          <w:rFonts w:eastAsia="Univers 45 Light"/>
        </w:rPr>
      </w:pPr>
      <w:bookmarkStart w:id="568" w:name="_Toc418101363"/>
      <w:r w:rsidRPr="00E90492">
        <w:rPr>
          <w:rFonts w:eastAsia="Univers 45 Light"/>
        </w:rPr>
        <w:t>Children &amp; Young Persons Act</w:t>
      </w:r>
      <w:bookmarkEnd w:id="568"/>
    </w:p>
    <w:p w:rsidR="00E060A7" w:rsidRPr="00E90492" w:rsidRDefault="00E060A7" w:rsidP="00E060A7">
      <w:pPr>
        <w:jc w:val="both"/>
      </w:pPr>
      <w:r w:rsidRPr="00E90492">
        <w:t xml:space="preserve">The </w:t>
      </w:r>
      <w:r w:rsidRPr="00E90492">
        <w:rPr>
          <w:i/>
        </w:rPr>
        <w:t>Children &amp; Young Persons Act</w:t>
      </w:r>
      <w:r w:rsidRPr="00E90492">
        <w:t xml:space="preserve"> (CYPA) safeguards the care, protection, and rehabilitation of our children and young persons who are below 16 years of age. Amendments to the Children and Young Persons Act were passed in Parliament on 10 Jan 2011 and</w:t>
      </w:r>
      <w:r>
        <w:t xml:space="preserve"> take effect from 20 July 2011. </w:t>
      </w:r>
      <w:r w:rsidRPr="00E90492">
        <w:t>A key amendment to the CYPA is the requirement for all Children and Young Persons Homes to be licensed. This aims to enhance the welfare, care, and protection of children and young persons in residential care.</w:t>
      </w:r>
    </w:p>
    <w:p w:rsidR="00E060A7" w:rsidRPr="00E90492" w:rsidRDefault="00E060A7" w:rsidP="00E060A7">
      <w:pPr>
        <w:jc w:val="both"/>
      </w:pPr>
    </w:p>
    <w:p w:rsidR="00E060A7" w:rsidRPr="00E90492" w:rsidRDefault="00E060A7" w:rsidP="00E060A7">
      <w:pPr>
        <w:jc w:val="both"/>
      </w:pPr>
      <w:r w:rsidRPr="00E90492">
        <w:lastRenderedPageBreak/>
        <w:t>With the introduction of licensing, all Homes are required to apply for a license and comply with licensing requirements. The Homes are to be guided by the regulations under the Act and Standards of</w:t>
      </w:r>
      <w:r>
        <w:t xml:space="preserve"> Care for Homes issued by MSF. </w:t>
      </w:r>
      <w:r w:rsidRPr="00E90492">
        <w:t>All cases of children residing in Homes will be reviewed by a Review Board comprising independent members from the community, to ensure that there are proper care plans in place for children to meet their long-term needs. Members of the Review Board will also conduct visits to the Homes to ensure that residents have a safe and conducive environment that meets their care and rehabilitation needs.</w:t>
      </w:r>
      <w:r w:rsidRPr="00E90492">
        <w:rPr>
          <w:rFonts w:eastAsia="Univers 45 Light"/>
          <w:vertAlign w:val="superscript"/>
        </w:rPr>
        <w:footnoteReference w:id="281"/>
      </w:r>
    </w:p>
    <w:p w:rsidR="00E060A7" w:rsidRPr="00E90492" w:rsidRDefault="00E060A7" w:rsidP="009256DE">
      <w:pPr>
        <w:pStyle w:val="Heading2"/>
      </w:pPr>
      <w:bookmarkStart w:id="569" w:name="_Toc418101364"/>
      <w:bookmarkStart w:id="570" w:name="_Toc421805860"/>
      <w:bookmarkStart w:id="571" w:name="_Toc424669285"/>
      <w:bookmarkStart w:id="572" w:name="_Toc457553316"/>
      <w:r w:rsidRPr="00E90492">
        <w:t>New Zealand</w:t>
      </w:r>
      <w:bookmarkEnd w:id="569"/>
      <w:bookmarkEnd w:id="570"/>
      <w:bookmarkEnd w:id="571"/>
      <w:bookmarkEnd w:id="572"/>
    </w:p>
    <w:p w:rsidR="00E060A7" w:rsidRDefault="00E060A7" w:rsidP="009256DE">
      <w:pPr>
        <w:pStyle w:val="Heading3"/>
        <w:rPr>
          <w:rFonts w:eastAsia="Univers 45 Light"/>
        </w:rPr>
      </w:pPr>
      <w:bookmarkStart w:id="573" w:name="_Toc418101365"/>
      <w:r>
        <w:rPr>
          <w:rFonts w:eastAsia="Univers 45 Light"/>
        </w:rPr>
        <w:t>Regulations and Policies</w:t>
      </w:r>
    </w:p>
    <w:p w:rsidR="00E060A7" w:rsidRPr="00E90492" w:rsidRDefault="00E060A7" w:rsidP="009256DE">
      <w:pPr>
        <w:pStyle w:val="Heading4"/>
        <w:rPr>
          <w:rFonts w:eastAsia="Univers 45 Light"/>
          <w:szCs w:val="36"/>
        </w:rPr>
      </w:pPr>
      <w:r w:rsidRPr="00E90492">
        <w:rPr>
          <w:rFonts w:eastAsia="Univers 45 Light"/>
        </w:rPr>
        <w:t>Building Access Review 2014</w:t>
      </w:r>
      <w:bookmarkEnd w:id="573"/>
    </w:p>
    <w:p w:rsidR="00E060A7" w:rsidRPr="00A514EC" w:rsidRDefault="00E060A7" w:rsidP="009256DE">
      <w:pPr>
        <w:jc w:val="both"/>
      </w:pPr>
      <w:r w:rsidRPr="00E90492">
        <w:t>The Building Access Review, which was announced in December 2013, is investigating how the regulatory system implements access requirements for buildings and how disabled people experience the results. A long-term plan is being developed by the Ministry of Business, Innovation and Employment and the Office for Disability Issues to identify opportunities to imp</w:t>
      </w:r>
      <w:r>
        <w:t xml:space="preserve">rove the system’s performance. </w:t>
      </w:r>
      <w:r w:rsidRPr="00E90492">
        <w:t xml:space="preserve">The regulatory system for access requirements is specified in the </w:t>
      </w:r>
      <w:r w:rsidRPr="00E90492">
        <w:rPr>
          <w:i/>
        </w:rPr>
        <w:t>Building Act</w:t>
      </w:r>
      <w:r w:rsidRPr="00E90492">
        <w:t xml:space="preserve"> 2004 and implemented through compliance with the Building Code. Guidance on meeting the Building Code requirements for access is provided in the New Zealand Standard 4121.</w:t>
      </w:r>
      <w:r w:rsidRPr="002D0F81">
        <w:rPr>
          <w:rFonts w:eastAsia="Univers 45 Light"/>
          <w:vertAlign w:val="superscript"/>
        </w:rPr>
        <w:t xml:space="preserve"> </w:t>
      </w:r>
      <w:r w:rsidRPr="00E90492">
        <w:rPr>
          <w:rFonts w:eastAsia="Univers 45 Light"/>
          <w:vertAlign w:val="superscript"/>
        </w:rPr>
        <w:footnoteReference w:id="282"/>
      </w:r>
    </w:p>
    <w:p w:rsidR="00E060A7" w:rsidRPr="00E90492" w:rsidRDefault="00E060A7" w:rsidP="009256DE">
      <w:pPr>
        <w:jc w:val="both"/>
      </w:pPr>
      <w:r w:rsidRPr="00E90492">
        <w:rPr>
          <w:i/>
        </w:rPr>
        <w:t>Building Act</w:t>
      </w:r>
      <w:r w:rsidRPr="00E90492">
        <w:t xml:space="preserve"> determinations are where the Ministry of Business, Innovation and Employment adjudicates (through a determinations process) on disputes between building owners and territorial authorities on what is needed for buildings to comply with the Building Act and Bui</w:t>
      </w:r>
      <w:r>
        <w:t>lding Code access requirements.</w:t>
      </w:r>
    </w:p>
    <w:p w:rsidR="00E060A7" w:rsidRPr="00E90492" w:rsidRDefault="00E060A7" w:rsidP="009256DE">
      <w:pPr>
        <w:pStyle w:val="Heading4"/>
        <w:rPr>
          <w:rFonts w:eastAsia="Univers 45 Light"/>
        </w:rPr>
      </w:pPr>
      <w:bookmarkStart w:id="574" w:name="_Toc418101367"/>
      <w:r w:rsidRPr="00E90492">
        <w:rPr>
          <w:rFonts w:eastAsia="Univers 45 Light"/>
        </w:rPr>
        <w:t>Building Regulations 1992</w:t>
      </w:r>
      <w:bookmarkEnd w:id="574"/>
    </w:p>
    <w:p w:rsidR="00E060A7" w:rsidRPr="00E90492" w:rsidRDefault="00E060A7" w:rsidP="009256DE">
      <w:pPr>
        <w:jc w:val="both"/>
      </w:pPr>
      <w:r w:rsidRPr="00E90492">
        <w:t xml:space="preserve">Part 3, Schedule 1, Clause D1, and D2 of the </w:t>
      </w:r>
      <w:r w:rsidRPr="00E90492">
        <w:rPr>
          <w:i/>
        </w:rPr>
        <w:t xml:space="preserve">Building Regulations 1992, </w:t>
      </w:r>
      <w:r w:rsidRPr="00E90492">
        <w:t>deal with the accessibility related requirements in a building</w:t>
      </w:r>
      <w:r>
        <w:t xml:space="preserve">. </w:t>
      </w:r>
      <w:r w:rsidRPr="00E90492">
        <w:t>The objectives of provisions under D1 are to:</w:t>
      </w:r>
      <w:r w:rsidRPr="00E90492">
        <w:rPr>
          <w:vertAlign w:val="superscript"/>
        </w:rPr>
        <w:footnoteReference w:id="283"/>
      </w:r>
    </w:p>
    <w:p w:rsidR="00E060A7" w:rsidRPr="00E90492" w:rsidRDefault="00E060A7" w:rsidP="00BC5BD4">
      <w:pPr>
        <w:pStyle w:val="ListParagraph"/>
        <w:numPr>
          <w:ilvl w:val="0"/>
          <w:numId w:val="82"/>
        </w:numPr>
      </w:pPr>
      <w:r w:rsidRPr="00E90492">
        <w:t xml:space="preserve">safeguard people from injury during movement into, within and out of </w:t>
      </w:r>
      <w:r w:rsidRPr="009256DE">
        <w:rPr>
          <w:rFonts w:asciiTheme="majorHAnsi" w:hAnsiTheme="majorHAnsi"/>
          <w:iCs/>
          <w:szCs w:val="20"/>
        </w:rPr>
        <w:t>buildings</w:t>
      </w:r>
      <w:r w:rsidRPr="009256DE">
        <w:rPr>
          <w:i/>
        </w:rPr>
        <w:t>,</w:t>
      </w:r>
    </w:p>
    <w:p w:rsidR="00E060A7" w:rsidRPr="00E90492" w:rsidRDefault="00E060A7" w:rsidP="00BC5BD4">
      <w:pPr>
        <w:pStyle w:val="ListParagraph"/>
        <w:numPr>
          <w:ilvl w:val="0"/>
          <w:numId w:val="82"/>
        </w:numPr>
      </w:pPr>
      <w:r w:rsidRPr="00E90492">
        <w:t xml:space="preserve">safeguard people from injury resulting from the movement of vehicles into, within and out of </w:t>
      </w:r>
      <w:r w:rsidRPr="009256DE">
        <w:rPr>
          <w:rFonts w:asciiTheme="majorHAnsi" w:hAnsiTheme="majorHAnsi"/>
          <w:iCs/>
          <w:szCs w:val="20"/>
        </w:rPr>
        <w:t>buildings</w:t>
      </w:r>
      <w:r w:rsidRPr="009256DE">
        <w:rPr>
          <w:i/>
        </w:rPr>
        <w:t>,</w:t>
      </w:r>
      <w:r w:rsidRPr="00E90492">
        <w:t xml:space="preserve"> and</w:t>
      </w:r>
    </w:p>
    <w:p w:rsidR="00E060A7" w:rsidRPr="00E90492" w:rsidRDefault="00E060A7" w:rsidP="00BC5BD4">
      <w:pPr>
        <w:pStyle w:val="ListParagraph"/>
        <w:numPr>
          <w:ilvl w:val="0"/>
          <w:numId w:val="82"/>
        </w:numPr>
      </w:pPr>
      <w:r w:rsidRPr="00E90492">
        <w:lastRenderedPageBreak/>
        <w:t xml:space="preserve">ensure that </w:t>
      </w:r>
      <w:r w:rsidRPr="009256DE">
        <w:rPr>
          <w:rFonts w:asciiTheme="majorHAnsi" w:hAnsiTheme="majorHAnsi"/>
          <w:i/>
          <w:iCs/>
          <w:szCs w:val="20"/>
        </w:rPr>
        <w:t xml:space="preserve">people </w:t>
      </w:r>
      <w:r w:rsidRPr="009256DE">
        <w:rPr>
          <w:rFonts w:asciiTheme="majorHAnsi" w:hAnsiTheme="majorHAnsi"/>
          <w:iCs/>
          <w:szCs w:val="20"/>
        </w:rPr>
        <w:t>with disabilities</w:t>
      </w:r>
      <w:r w:rsidRPr="009256DE">
        <w:rPr>
          <w:i/>
        </w:rPr>
        <w:t xml:space="preserve"> </w:t>
      </w:r>
      <w:r w:rsidRPr="00E90492">
        <w:t xml:space="preserve">are able to enter and carry out normal activities and functions within </w:t>
      </w:r>
      <w:r w:rsidRPr="009256DE">
        <w:rPr>
          <w:rFonts w:asciiTheme="majorHAnsi" w:hAnsiTheme="majorHAnsi"/>
          <w:iCs/>
          <w:szCs w:val="20"/>
        </w:rPr>
        <w:t>buildings</w:t>
      </w:r>
      <w:r w:rsidRPr="00E90492">
        <w:t>.</w:t>
      </w:r>
    </w:p>
    <w:p w:rsidR="00E060A7" w:rsidRPr="00E90492" w:rsidRDefault="00E060A7" w:rsidP="009256DE">
      <w:pPr>
        <w:ind w:left="720"/>
        <w:contextualSpacing/>
        <w:jc w:val="both"/>
      </w:pPr>
    </w:p>
    <w:p w:rsidR="00E060A7" w:rsidRPr="00E90492" w:rsidRDefault="00E060A7" w:rsidP="009256DE">
      <w:pPr>
        <w:jc w:val="both"/>
      </w:pPr>
      <w:r w:rsidRPr="00E90492">
        <w:t>The objectives of provisions under D2 are to:</w:t>
      </w:r>
    </w:p>
    <w:p w:rsidR="00E060A7" w:rsidRPr="00E90492" w:rsidRDefault="00E060A7" w:rsidP="00BC5BD4">
      <w:pPr>
        <w:pStyle w:val="ListParagraph"/>
        <w:numPr>
          <w:ilvl w:val="0"/>
          <w:numId w:val="82"/>
        </w:numPr>
      </w:pPr>
      <w:r w:rsidRPr="00E90492">
        <w:t xml:space="preserve">safeguard people from injury and loss of amenity while using mechanical installations for movement into, within and out of </w:t>
      </w:r>
      <w:r w:rsidRPr="009256DE">
        <w:rPr>
          <w:iCs/>
        </w:rPr>
        <w:t>buildings</w:t>
      </w:r>
      <w:r w:rsidRPr="00E90492">
        <w:t>,</w:t>
      </w:r>
    </w:p>
    <w:p w:rsidR="00E060A7" w:rsidRPr="00E90492" w:rsidRDefault="00E060A7" w:rsidP="00BC5BD4">
      <w:pPr>
        <w:pStyle w:val="ListParagraph"/>
        <w:numPr>
          <w:ilvl w:val="0"/>
          <w:numId w:val="82"/>
        </w:numPr>
      </w:pPr>
      <w:r w:rsidRPr="00E90492">
        <w:t>safeguard maintenance personnel from injury while servicing mechanical installations for access, and</w:t>
      </w:r>
    </w:p>
    <w:p w:rsidR="00E060A7" w:rsidRPr="00A30A0B" w:rsidRDefault="00E060A7" w:rsidP="00BC5BD4">
      <w:pPr>
        <w:pStyle w:val="ListParagraph"/>
        <w:numPr>
          <w:ilvl w:val="0"/>
          <w:numId w:val="82"/>
        </w:numPr>
      </w:pPr>
      <w:r w:rsidRPr="00E90492">
        <w:t xml:space="preserve">ensure that </w:t>
      </w:r>
      <w:r w:rsidRPr="009256DE">
        <w:rPr>
          <w:iCs/>
        </w:rPr>
        <w:t>people with disabilities</w:t>
      </w:r>
      <w:r w:rsidRPr="00E90492">
        <w:t xml:space="preserve"> are able to carry out normal activities and processes within </w:t>
      </w:r>
      <w:r w:rsidRPr="009256DE">
        <w:rPr>
          <w:iCs/>
        </w:rPr>
        <w:t>buildings</w:t>
      </w:r>
      <w:r w:rsidRPr="00E90492">
        <w:t>.</w:t>
      </w:r>
    </w:p>
    <w:p w:rsidR="00E060A7" w:rsidRPr="00E90492" w:rsidRDefault="00E060A7" w:rsidP="009256DE">
      <w:pPr>
        <w:pStyle w:val="Heading4"/>
        <w:rPr>
          <w:rFonts w:eastAsia="Univers 45 Light"/>
        </w:rPr>
      </w:pPr>
      <w:bookmarkStart w:id="575" w:name="_Toc418101368"/>
      <w:r w:rsidRPr="00E90492">
        <w:rPr>
          <w:rFonts w:eastAsia="Univers 45 Light"/>
        </w:rPr>
        <w:t>New Zealand Public Health and Disability Act</w:t>
      </w:r>
      <w:r>
        <w:rPr>
          <w:rFonts w:eastAsia="Univers 45 Light"/>
        </w:rPr>
        <w:t>,</w:t>
      </w:r>
      <w:r w:rsidRPr="00E90492">
        <w:rPr>
          <w:rFonts w:eastAsia="Univers 45 Light"/>
        </w:rPr>
        <w:t xml:space="preserve"> 2000</w:t>
      </w:r>
      <w:bookmarkEnd w:id="575"/>
    </w:p>
    <w:p w:rsidR="00E060A7" w:rsidRPr="00E90492" w:rsidRDefault="00E060A7" w:rsidP="009256DE">
      <w:pPr>
        <w:jc w:val="both"/>
      </w:pPr>
      <w:r w:rsidRPr="00E90492">
        <w:t xml:space="preserve">According to the </w:t>
      </w:r>
      <w:r w:rsidRPr="00E90492">
        <w:rPr>
          <w:i/>
        </w:rPr>
        <w:t>New Zealand Public Health and Disability Act 2000</w:t>
      </w:r>
      <w:r w:rsidRPr="00E90492">
        <w:t>, the government is expected to determine a strategy for health services, called the New Zealand health strategy, to provide the framework for the Government's overall direction of the health sector in improving the he</w:t>
      </w:r>
      <w:r>
        <w:t xml:space="preserve">alth of people and communities. </w:t>
      </w:r>
      <w:r w:rsidRPr="00E90492">
        <w:t>The Minister of the Crown who is responsible for disability issues must determine a strategy for disability support services, called the New Zealand disability strategy, to provide the framework for the Government's overall direction of the disability sector in improving disability support services; and may amend or replace that strategy at any time.</w:t>
      </w:r>
      <w:r w:rsidRPr="00A30A0B">
        <w:rPr>
          <w:rFonts w:eastAsia="Univers 45 Light"/>
          <w:vertAlign w:val="superscript"/>
        </w:rPr>
        <w:t xml:space="preserve"> </w:t>
      </w:r>
      <w:r w:rsidRPr="00E90492">
        <w:rPr>
          <w:rFonts w:eastAsia="Univers 45 Light"/>
          <w:vertAlign w:val="superscript"/>
        </w:rPr>
        <w:footnoteReference w:id="284"/>
      </w:r>
    </w:p>
    <w:p w:rsidR="00E060A7" w:rsidRPr="00E90492" w:rsidRDefault="00E060A7" w:rsidP="009256DE">
      <w:pPr>
        <w:pStyle w:val="Heading4"/>
        <w:rPr>
          <w:rFonts w:eastAsia="Univers 45 Light"/>
        </w:rPr>
      </w:pPr>
      <w:bookmarkStart w:id="576" w:name="_Toc418101369"/>
      <w:r w:rsidRPr="00E90492">
        <w:rPr>
          <w:rFonts w:eastAsia="Univers 45 Light"/>
        </w:rPr>
        <w:t>Health and Disability Services (Safety) Act</w:t>
      </w:r>
      <w:r>
        <w:rPr>
          <w:rFonts w:eastAsia="Univers 45 Light"/>
        </w:rPr>
        <w:t>,</w:t>
      </w:r>
      <w:r w:rsidRPr="00E90492">
        <w:rPr>
          <w:rFonts w:eastAsia="Univers 45 Light"/>
        </w:rPr>
        <w:t xml:space="preserve"> 2001</w:t>
      </w:r>
      <w:bookmarkEnd w:id="576"/>
    </w:p>
    <w:p w:rsidR="00E060A7" w:rsidRPr="00E90492" w:rsidRDefault="00E060A7" w:rsidP="009256DE">
      <w:pPr>
        <w:jc w:val="both"/>
      </w:pPr>
      <w:r w:rsidRPr="00E90492">
        <w:t xml:space="preserve">Service providers seeking certification under the </w:t>
      </w:r>
      <w:r w:rsidRPr="00E90492">
        <w:rPr>
          <w:i/>
        </w:rPr>
        <w:t>Health and Disability Services (Safety) Act</w:t>
      </w:r>
      <w:r w:rsidRPr="00E90492">
        <w:t xml:space="preserve"> 2001 will need to demonstrate that their service complies with a</w:t>
      </w:r>
      <w:r>
        <w:t xml:space="preserve">ll relevant approved standards. </w:t>
      </w:r>
      <w:r w:rsidRPr="00E90492">
        <w:t>Hospitals, rest homes and providers of residential disability care, who are required by the Act to be certified, need to meet the Health and Disability Services Standards 2008. The Health and Disability Services Standards 2008 c</w:t>
      </w:r>
      <w:r>
        <w:t>ame into force on June 1, 2009.</w:t>
      </w:r>
      <w:r w:rsidRPr="00E90492">
        <w:rPr>
          <w:rFonts w:eastAsia="Univers 45 Light"/>
          <w:vertAlign w:val="superscript"/>
        </w:rPr>
        <w:footnoteReference w:id="285"/>
      </w:r>
    </w:p>
    <w:p w:rsidR="00E060A7" w:rsidRPr="00E90492" w:rsidRDefault="00E060A7" w:rsidP="009256DE">
      <w:pPr>
        <w:pStyle w:val="Heading4"/>
        <w:rPr>
          <w:rFonts w:eastAsia="Univers 45 Light"/>
        </w:rPr>
      </w:pPr>
      <w:bookmarkStart w:id="577" w:name="_Toc418101370"/>
      <w:r w:rsidRPr="00E90492">
        <w:rPr>
          <w:rFonts w:eastAsia="Univers 45 Light"/>
        </w:rPr>
        <w:t>Health and Disability Services Standards</w:t>
      </w:r>
      <w:r>
        <w:rPr>
          <w:rFonts w:eastAsia="Univers 45 Light"/>
        </w:rPr>
        <w:t>,</w:t>
      </w:r>
      <w:r w:rsidRPr="00E90492">
        <w:rPr>
          <w:rFonts w:eastAsia="Univers 45 Light"/>
        </w:rPr>
        <w:t xml:space="preserve"> 2008</w:t>
      </w:r>
      <w:bookmarkEnd w:id="577"/>
    </w:p>
    <w:p w:rsidR="00E060A7" w:rsidRPr="00E90492" w:rsidRDefault="00E060A7" w:rsidP="009256DE">
      <w:r w:rsidRPr="00E90492">
        <w:t xml:space="preserve">The Health and Disability Services Standards 2008 came into effect on June 1, 2009. They replaced the Health and Disability </w:t>
      </w:r>
      <w:r>
        <w:t xml:space="preserve">Standards 2001. </w:t>
      </w:r>
      <w:r w:rsidRPr="00E90492">
        <w:t>These revised sector-agreed Standards are the result of three years extensive collaboration with many groups including consumers, providers, government and non-government agenc</w:t>
      </w:r>
      <w:r>
        <w:t xml:space="preserve">ies and the Ministry of Health. </w:t>
      </w:r>
      <w:r w:rsidRPr="00E90492">
        <w:t xml:space="preserve">They have been structured in a new way that will make it easier to </w:t>
      </w:r>
      <w:r w:rsidRPr="00E90492">
        <w:lastRenderedPageBreak/>
        <w:t>review and update parts of them in the future, in order to keep pace with new trends and developments. The revised Health and Disability Services Standards 2008 are made up of four sets of Standards.</w:t>
      </w:r>
      <w:r w:rsidRPr="00A30A0B">
        <w:rPr>
          <w:rFonts w:eastAsia="Univers 45 Light"/>
          <w:vertAlign w:val="superscript"/>
        </w:rPr>
        <w:t xml:space="preserve"> </w:t>
      </w:r>
      <w:r w:rsidRPr="00E90492">
        <w:rPr>
          <w:rFonts w:eastAsia="Univers 45 Light"/>
          <w:vertAlign w:val="superscript"/>
        </w:rPr>
        <w:footnoteReference w:id="286"/>
      </w:r>
    </w:p>
    <w:p w:rsidR="00E060A7" w:rsidRPr="0079272A" w:rsidRDefault="00E060A7" w:rsidP="009256DE">
      <w:pPr>
        <w:pStyle w:val="Heading4"/>
        <w:rPr>
          <w:rFonts w:eastAsia="Univers 45 Light"/>
        </w:rPr>
      </w:pPr>
      <w:r w:rsidRPr="0079272A">
        <w:rPr>
          <w:rFonts w:eastAsia="Univers 45 Light"/>
        </w:rPr>
        <w:t xml:space="preserve">New Zealand Disability Strategy: </w:t>
      </w:r>
    </w:p>
    <w:p w:rsidR="00E060A7" w:rsidRPr="00E22737" w:rsidRDefault="00E060A7" w:rsidP="009256DE">
      <w:pPr>
        <w:jc w:val="both"/>
      </w:pPr>
      <w:r w:rsidRPr="0079272A">
        <w:t>The New Zealand Disability Strategy's vision is of a society that highly values the lives and continually enhances the full participation of disabled people. It provides a framework to guide government agencies making policy and services impacting on disabled people. In taking the lead, the Government will do everything possible to influence the attitudes and behaviour of society as a whole. By all New Zealanders considering issues facing people with disabilities and their aspirations, New Zealand can become a fully inclusive society.</w:t>
      </w:r>
      <w:r>
        <w:rPr>
          <w:rStyle w:val="FootnoteReference"/>
        </w:rPr>
        <w:footnoteReference w:id="287"/>
      </w:r>
    </w:p>
    <w:p w:rsidR="00E060A7" w:rsidRPr="0079272A" w:rsidRDefault="00E060A7" w:rsidP="009256DE">
      <w:pPr>
        <w:pStyle w:val="Heading4"/>
        <w:rPr>
          <w:rFonts w:eastAsia="Univers 45 Light"/>
        </w:rPr>
      </w:pPr>
      <w:r>
        <w:rPr>
          <w:rFonts w:eastAsia="Univers 45 Light"/>
        </w:rPr>
        <w:t>New Disability Action Plan 2014-2018</w:t>
      </w:r>
    </w:p>
    <w:p w:rsidR="00E060A7" w:rsidRPr="00972D68" w:rsidRDefault="00E060A7" w:rsidP="009256DE">
      <w:r w:rsidRPr="00972D68">
        <w:t>The Ministerial Committee on Disability Issues approved the new Disability Action Plan 2014-2018 at its meeting on 8 April 2014. For the first time, a collaborative approach was used to develop the new plan that involved government agencies working clo</w:t>
      </w:r>
      <w:r>
        <w:t>sely with representative organiz</w:t>
      </w:r>
      <w:r w:rsidRPr="00972D68">
        <w:t>ations of disabled people (kn</w:t>
      </w:r>
      <w:r>
        <w:t>own as Disabled People’s Organiz</w:t>
      </w:r>
      <w:r w:rsidRPr="00972D68">
        <w:t>ations or DPOs) over a six month period. As a result, the new plan looks and feels very different to previous plans. The new plan was noted by Cabinet in May 2014.</w:t>
      </w:r>
      <w:r>
        <w:t xml:space="preserve"> </w:t>
      </w:r>
      <w:r w:rsidRPr="00972D68">
        <w:t>The new plan provides consistency in strategic priorities that Ministers expect to see progressed over the four year period. It is cent</w:t>
      </w:r>
      <w:r>
        <w:t>e</w:t>
      </w:r>
      <w:r w:rsidRPr="00972D68">
        <w:t>red on what disabled people say matters the most to them, with the vision of “All New Zealanders experience equal rights of citizenship”. It follows the example of Better Public Services by focusing on cross-sectoral collaboration to achieve four shared results, which require government agencies to work together with</w:t>
      </w:r>
      <w:r>
        <w:t xml:space="preserve"> DPOs, disability sector organiz</w:t>
      </w:r>
      <w:r w:rsidRPr="00972D68">
        <w:t>ations and other entities with relevant expertise</w:t>
      </w:r>
      <w:r>
        <w:t>.</w:t>
      </w:r>
    </w:p>
    <w:p w:rsidR="00E060A7" w:rsidRPr="0079272A" w:rsidRDefault="00E060A7" w:rsidP="009256DE">
      <w:pPr>
        <w:pStyle w:val="Heading4"/>
        <w:rPr>
          <w:rFonts w:eastAsia="Univers 45 Light"/>
        </w:rPr>
      </w:pPr>
      <w:r w:rsidRPr="0079272A">
        <w:rPr>
          <w:rFonts w:eastAsia="Univers 45 Light"/>
        </w:rPr>
        <w:t>Enabling Good Lives</w:t>
      </w:r>
    </w:p>
    <w:p w:rsidR="00E060A7" w:rsidRPr="008F7AFB" w:rsidRDefault="00E060A7" w:rsidP="009256DE">
      <w:pPr>
        <w:jc w:val="both"/>
      </w:pPr>
      <w:r w:rsidRPr="0079272A">
        <w:t>In 2011, the Minister for Disability Issues invited the Ministries of Social Development and Health to work with an independent working group of disability sector stakehol</w:t>
      </w:r>
      <w:r>
        <w:t xml:space="preserve">ders to develop an </w:t>
      </w:r>
      <w:r w:rsidRPr="0079272A">
        <w:t xml:space="preserve">approach to community participation and day services for disabled people. The process of meetings and discussions over several months was facilitated by the Office for Disability Issues. The report from the independent working group was completed in August 2011. In 2012, the Ministerial Committee on Disability Issues agreed to a vision and principles for long-term change for the disability support </w:t>
      </w:r>
      <w:r w:rsidRPr="0079272A">
        <w:lastRenderedPageBreak/>
        <w:t>system consistent with Enabling Good Lives. In July 2013, Cabinet agreed to a demonstration of the Enabling Good Lives approach in Christchurch.</w:t>
      </w:r>
      <w:r>
        <w:rPr>
          <w:rStyle w:val="FootnoteReference"/>
        </w:rPr>
        <w:footnoteReference w:id="288"/>
      </w:r>
    </w:p>
    <w:p w:rsidR="00E060A7" w:rsidRPr="008F7AFB" w:rsidRDefault="00E060A7" w:rsidP="009256DE">
      <w:pPr>
        <w:pStyle w:val="Heading4"/>
      </w:pPr>
      <w:r w:rsidRPr="008F7AFB">
        <w:t>Choice in Community Living</w:t>
      </w:r>
    </w:p>
    <w:p w:rsidR="00E060A7" w:rsidRPr="008F7AFB" w:rsidRDefault="00E060A7" w:rsidP="009256DE">
      <w:pPr>
        <w:jc w:val="both"/>
        <w:rPr>
          <w:color w:val="000000"/>
          <w:szCs w:val="20"/>
        </w:rPr>
      </w:pPr>
      <w:r w:rsidRPr="008F7AFB">
        <w:rPr>
          <w:rFonts w:cs="Arial"/>
          <w:color w:val="000000"/>
          <w:szCs w:val="20"/>
        </w:rPr>
        <w:t>Choice in Community Living is an alternative to residential services, and is about opening up opportunities for disabled people and their family to have more choice and control about their living circumstances - where they live, who they live with and how they are supported. The Ministry of Health is working on a project to demonstrate Choice in Community Living in the Auckland and Waikato regions. The demonstration is limited to 150 people and will run until October 2014.</w:t>
      </w:r>
      <w:r>
        <w:rPr>
          <w:rStyle w:val="FootnoteReference"/>
          <w:color w:val="000000"/>
          <w:szCs w:val="20"/>
        </w:rPr>
        <w:footnoteReference w:id="289"/>
      </w:r>
    </w:p>
    <w:p w:rsidR="00E060A7" w:rsidRPr="008F7AFB" w:rsidRDefault="00E060A7" w:rsidP="009256DE">
      <w:pPr>
        <w:pStyle w:val="Heading4"/>
      </w:pPr>
      <w:r w:rsidRPr="008F7AFB">
        <w:t>Child and Youth Disability Projects</w:t>
      </w:r>
    </w:p>
    <w:p w:rsidR="00E060A7" w:rsidRPr="008F7AFB" w:rsidRDefault="00E060A7" w:rsidP="009256DE">
      <w:pPr>
        <w:jc w:val="both"/>
        <w:rPr>
          <w:color w:val="000000"/>
          <w:szCs w:val="20"/>
        </w:rPr>
      </w:pPr>
      <w:r w:rsidRPr="008F7AFB">
        <w:rPr>
          <w:rFonts w:cs="Arial"/>
          <w:color w:val="000000"/>
          <w:szCs w:val="20"/>
        </w:rPr>
        <w:t xml:space="preserve">A recent service development includes a trial project in Auckland to give providers funding to establish "wrap around" services for families so that children and young people with significantly complex needs can be supported to remain in the community and a home environment with flexible packages of care. The Ministry is trialing this to provide a range of disability services through one provider so that the children, young people and their families and whanau receive </w:t>
      </w:r>
      <w:r w:rsidRPr="008F7AFB">
        <w:rPr>
          <w:color w:val="000000"/>
          <w:szCs w:val="20"/>
        </w:rPr>
        <w:t>proactive, comprehensive, individualised, consistent and streamlined disability supports aimed at improving family resilience, and keeping children in their homes and communities.</w:t>
      </w:r>
      <w:r>
        <w:rPr>
          <w:rStyle w:val="FootnoteReference"/>
          <w:color w:val="000000"/>
          <w:szCs w:val="20"/>
        </w:rPr>
        <w:footnoteReference w:id="290"/>
      </w:r>
    </w:p>
    <w:p w:rsidR="00E060A7" w:rsidRPr="008F7AFB" w:rsidRDefault="0055176D" w:rsidP="009256DE">
      <w:pPr>
        <w:pStyle w:val="Heading4"/>
      </w:pPr>
      <w:hyperlink r:id="rId24" w:history="1">
        <w:r w:rsidR="00E060A7" w:rsidRPr="008F7AFB">
          <w:t>Equipment and Modification Services: Evaluation of the Prioritisation Tool Pilot</w:t>
        </w:r>
      </w:hyperlink>
    </w:p>
    <w:p w:rsidR="00E060A7" w:rsidRPr="00222B73" w:rsidRDefault="00E060A7" w:rsidP="00E060A7">
      <w:pPr>
        <w:jc w:val="both"/>
        <w:rPr>
          <w:szCs w:val="20"/>
        </w:rPr>
      </w:pPr>
      <w:r w:rsidRPr="008F7AFB">
        <w:rPr>
          <w:color w:val="000000"/>
          <w:szCs w:val="20"/>
        </w:rPr>
        <w:t>The Prioritisation Tool Pilot tested an alternative approach to assessment for access to support based on prioritisation of the disabled person’s need, risk and ability to benefit from equipment or modifications.</w:t>
      </w:r>
      <w:r>
        <w:rPr>
          <w:rStyle w:val="FootnoteReference"/>
          <w:color w:val="000000"/>
          <w:szCs w:val="20"/>
        </w:rPr>
        <w:footnoteReference w:id="291"/>
      </w:r>
    </w:p>
    <w:p w:rsidR="00E060A7" w:rsidRPr="008A7570" w:rsidRDefault="00E060A7" w:rsidP="00E060A7">
      <w:pPr>
        <w:sectPr w:rsidR="00E060A7" w:rsidRPr="008A7570" w:rsidSect="005D44FF">
          <w:type w:val="continuous"/>
          <w:pgSz w:w="12240" w:h="15840" w:code="1"/>
          <w:pgMar w:top="1440" w:right="1440" w:bottom="1440" w:left="1440" w:header="720" w:footer="562" w:gutter="0"/>
          <w:cols w:space="720"/>
          <w:docGrid w:linePitch="360"/>
        </w:sectPr>
      </w:pPr>
    </w:p>
    <w:p w:rsidR="00893821" w:rsidRDefault="00893821" w:rsidP="00893821"/>
    <w:p w:rsidR="00E060A7" w:rsidRDefault="00E060A7" w:rsidP="00893821"/>
    <w:p w:rsidR="00893821" w:rsidRDefault="00893821" w:rsidP="009256DE">
      <w:pPr>
        <w:pStyle w:val="Heading1"/>
      </w:pPr>
      <w:bookmarkStart w:id="578" w:name="_Toc457553317"/>
      <w:r>
        <w:lastRenderedPageBreak/>
        <w:t>Contact Us</w:t>
      </w:r>
      <w:bookmarkEnd w:id="578"/>
    </w:p>
    <w:p w:rsidR="00893821" w:rsidRDefault="00893821" w:rsidP="009256DE">
      <w:pPr>
        <w:pStyle w:val="Heading2"/>
      </w:pPr>
      <w:bookmarkStart w:id="579" w:name="_Toc457553318"/>
      <w:r>
        <w:t>Mark MacDonald</w:t>
      </w:r>
      <w:bookmarkEnd w:id="579"/>
    </w:p>
    <w:p w:rsidR="00893821" w:rsidRDefault="00893821" w:rsidP="00893821">
      <w:r>
        <w:t>Partner</w:t>
      </w:r>
    </w:p>
    <w:p w:rsidR="00893821" w:rsidRPr="001E72F7" w:rsidRDefault="009256DE" w:rsidP="00893821">
      <w:r w:rsidRPr="001E72F7">
        <w:t xml:space="preserve">T: </w:t>
      </w:r>
      <w:r w:rsidR="00893821" w:rsidRPr="001E72F7">
        <w:t>416-777-8647</w:t>
      </w:r>
      <w:r w:rsidR="005D44FF" w:rsidRPr="001E72F7">
        <w:br/>
      </w:r>
      <w:r w:rsidR="00893821" w:rsidRPr="001E72F7">
        <w:t>E</w:t>
      </w:r>
      <w:r w:rsidRPr="001E72F7">
        <w:t xml:space="preserve">: </w:t>
      </w:r>
      <w:hyperlink r:id="rId25" w:history="1">
        <w:r w:rsidR="00A514EC" w:rsidRPr="001E72F7">
          <w:rPr>
            <w:rStyle w:val="Hyperlink"/>
            <w:rFonts w:asciiTheme="minorHAnsi" w:hAnsiTheme="minorHAnsi"/>
            <w:sz w:val="24"/>
          </w:rPr>
          <w:t>mailto:mmarkmacdonald@kpmg.ca</w:t>
        </w:r>
      </w:hyperlink>
      <w:r w:rsidR="00A514EC" w:rsidRPr="001E72F7">
        <w:t xml:space="preserve"> </w:t>
      </w:r>
    </w:p>
    <w:p w:rsidR="00893821" w:rsidRPr="001E72F7" w:rsidRDefault="00893821" w:rsidP="009256DE">
      <w:pPr>
        <w:pStyle w:val="Heading2"/>
        <w:rPr>
          <w:lang w:val="fr-CA"/>
        </w:rPr>
      </w:pPr>
      <w:bookmarkStart w:id="580" w:name="_Toc457553319"/>
      <w:r w:rsidRPr="001E72F7">
        <w:rPr>
          <w:lang w:val="fr-CA"/>
        </w:rPr>
        <w:t>Sarah Campbell</w:t>
      </w:r>
      <w:bookmarkEnd w:id="580"/>
    </w:p>
    <w:p w:rsidR="00893821" w:rsidRPr="001E72F7" w:rsidRDefault="00893821" w:rsidP="00893821">
      <w:pPr>
        <w:rPr>
          <w:lang w:val="fr-CA"/>
        </w:rPr>
      </w:pPr>
      <w:r w:rsidRPr="001E72F7">
        <w:rPr>
          <w:lang w:val="fr-CA"/>
        </w:rPr>
        <w:t>Manager</w:t>
      </w:r>
    </w:p>
    <w:p w:rsidR="00893821" w:rsidRPr="00A514EC" w:rsidRDefault="00893821" w:rsidP="00893821">
      <w:pPr>
        <w:rPr>
          <w:lang w:val="fr-CA"/>
        </w:rPr>
      </w:pPr>
      <w:r w:rsidRPr="00A514EC">
        <w:rPr>
          <w:lang w:val="fr-CA"/>
        </w:rPr>
        <w:t>T</w:t>
      </w:r>
      <w:r w:rsidR="009256DE" w:rsidRPr="00A514EC">
        <w:rPr>
          <w:lang w:val="fr-CA"/>
        </w:rPr>
        <w:t xml:space="preserve">: </w:t>
      </w:r>
      <w:r w:rsidRPr="00A514EC">
        <w:rPr>
          <w:lang w:val="fr-CA"/>
        </w:rPr>
        <w:t>416-777-3094</w:t>
      </w:r>
      <w:r w:rsidR="005D44FF">
        <w:rPr>
          <w:lang w:val="fr-CA"/>
        </w:rPr>
        <w:br/>
      </w:r>
      <w:r w:rsidRPr="00A514EC">
        <w:rPr>
          <w:lang w:val="fr-CA"/>
        </w:rPr>
        <w:t>E</w:t>
      </w:r>
      <w:r w:rsidR="009256DE" w:rsidRPr="00A514EC">
        <w:rPr>
          <w:lang w:val="fr-CA"/>
        </w:rPr>
        <w:t xml:space="preserve">: </w:t>
      </w:r>
      <w:hyperlink r:id="rId26" w:history="1">
        <w:r w:rsidR="00A514EC" w:rsidRPr="00A514EC">
          <w:rPr>
            <w:rStyle w:val="Hyperlink"/>
            <w:rFonts w:asciiTheme="minorHAnsi" w:hAnsiTheme="minorHAnsi"/>
            <w:sz w:val="24"/>
            <w:lang w:val="fr-CA"/>
          </w:rPr>
          <w:t>mailto:secampbell@kpmg.ca</w:t>
        </w:r>
      </w:hyperlink>
    </w:p>
    <w:p w:rsidR="00893821" w:rsidRDefault="00893821" w:rsidP="009256DE">
      <w:pPr>
        <w:pStyle w:val="Heading2"/>
      </w:pPr>
      <w:bookmarkStart w:id="581" w:name="_Toc457553320"/>
      <w:r>
        <w:t>Caitlin McClung</w:t>
      </w:r>
      <w:bookmarkEnd w:id="581"/>
    </w:p>
    <w:p w:rsidR="00893821" w:rsidRPr="00D04B3A" w:rsidRDefault="00893821" w:rsidP="00893821">
      <w:r w:rsidRPr="00D04B3A">
        <w:t>Manager</w:t>
      </w:r>
    </w:p>
    <w:p w:rsidR="00893821" w:rsidRPr="00D04B3A" w:rsidRDefault="00893821" w:rsidP="00893821">
      <w:r w:rsidRPr="00D04B3A">
        <w:t>T</w:t>
      </w:r>
      <w:r w:rsidR="009256DE" w:rsidRPr="00D04B3A">
        <w:t xml:space="preserve"> : </w:t>
      </w:r>
      <w:r w:rsidRPr="00D04B3A">
        <w:t>416-777-8413</w:t>
      </w:r>
      <w:r w:rsidR="005D44FF" w:rsidRPr="00D04B3A">
        <w:br/>
      </w:r>
      <w:r w:rsidRPr="00D04B3A">
        <w:t>E</w:t>
      </w:r>
      <w:r w:rsidR="00A514EC" w:rsidRPr="00D04B3A">
        <w:t xml:space="preserve"> : </w:t>
      </w:r>
      <w:hyperlink r:id="rId27" w:history="1">
        <w:r w:rsidR="00A514EC" w:rsidRPr="00D04B3A">
          <w:rPr>
            <w:rStyle w:val="Hyperlink"/>
            <w:rFonts w:asciiTheme="minorHAnsi" w:hAnsiTheme="minorHAnsi"/>
            <w:sz w:val="24"/>
          </w:rPr>
          <w:t>mailto:caitlinmcclung@kpmg.ca</w:t>
        </w:r>
      </w:hyperlink>
    </w:p>
    <w:p w:rsidR="00893821" w:rsidRDefault="00893821" w:rsidP="00A514EC">
      <w:pPr>
        <w:pStyle w:val="Heading2"/>
      </w:pPr>
      <w:bookmarkStart w:id="582" w:name="_Toc457553321"/>
      <w:r>
        <w:t>Katharine Campbell</w:t>
      </w:r>
      <w:bookmarkEnd w:id="582"/>
    </w:p>
    <w:p w:rsidR="00893821" w:rsidRDefault="00893821" w:rsidP="00893821">
      <w:r>
        <w:t>Consultant</w:t>
      </w:r>
    </w:p>
    <w:p w:rsidR="00893821" w:rsidRPr="00D04B3A" w:rsidRDefault="00893821" w:rsidP="00893821">
      <w:r w:rsidRPr="00D04B3A">
        <w:t>T</w:t>
      </w:r>
      <w:r w:rsidR="00A514EC" w:rsidRPr="00D04B3A">
        <w:t xml:space="preserve">: </w:t>
      </w:r>
      <w:r w:rsidRPr="00D04B3A">
        <w:t>416-777-8917</w:t>
      </w:r>
      <w:r w:rsidR="005D44FF" w:rsidRPr="00D04B3A">
        <w:br/>
      </w:r>
      <w:r w:rsidRPr="00D04B3A">
        <w:t>E</w:t>
      </w:r>
      <w:r w:rsidR="00A514EC" w:rsidRPr="00D04B3A">
        <w:t xml:space="preserve">: </w:t>
      </w:r>
      <w:hyperlink r:id="rId28" w:history="1">
        <w:r w:rsidR="00A514EC" w:rsidRPr="00D04B3A">
          <w:rPr>
            <w:rStyle w:val="Hyperlink"/>
            <w:rFonts w:asciiTheme="minorHAnsi" w:hAnsiTheme="minorHAnsi"/>
            <w:sz w:val="24"/>
          </w:rPr>
          <w:t>mailto:katharinecampbell@kpmg.ca</w:t>
        </w:r>
      </w:hyperlink>
    </w:p>
    <w:p w:rsidR="005D44FF" w:rsidRPr="00D04B3A" w:rsidRDefault="005D44FF" w:rsidP="00893821"/>
    <w:p w:rsidR="00893821" w:rsidRPr="00D04B3A" w:rsidRDefault="0055176D" w:rsidP="00893821">
      <w:hyperlink r:id="rId29" w:history="1">
        <w:r w:rsidR="00893821" w:rsidRPr="00D04B3A">
          <w:rPr>
            <w:rStyle w:val="Hyperlink"/>
            <w:rFonts w:asciiTheme="minorHAnsi" w:hAnsiTheme="minorHAnsi"/>
            <w:sz w:val="24"/>
          </w:rPr>
          <w:t>kpmg.ca</w:t>
        </w:r>
        <w:r w:rsidR="00A514EC" w:rsidRPr="00D04B3A">
          <w:rPr>
            <w:rStyle w:val="Hyperlink"/>
            <w:rFonts w:asciiTheme="minorHAnsi" w:hAnsiTheme="minorHAnsi"/>
            <w:sz w:val="24"/>
          </w:rPr>
          <w:t xml:space="preserve"> </w:t>
        </w:r>
      </w:hyperlink>
    </w:p>
    <w:p w:rsidR="00893821" w:rsidRPr="00D04B3A" w:rsidRDefault="00893821" w:rsidP="00893821"/>
    <w:p w:rsidR="00893821" w:rsidRDefault="00893821" w:rsidP="00893821">
      <w:r>
        <w:t xml:space="preserve">This report has been prepared by KPMG LLP (“KPMG”) for the internal use of MEDEI (“Client”) pursuant to the terms of our engagement agreement with Client dated March 16, 2015 (the “Engagement Agreement”). This report is being provided to Client on a confidential basis and may not be disclosed to any other person or entity without the express written consent of KPMG and Client. KPMG neither warrants nor represents that the information contained in this report is accurate, complete, sufficient or appropriate for use by any person or entity other than Client or for any purpose other than set out in the Engagement Agreement. This report may not be relied upon by any </w:t>
      </w:r>
      <w:r>
        <w:lastRenderedPageBreak/>
        <w:t>person or entity other than Client, and KPMG hereby expressly disclaims any and all responsibility or liability to any person or entity other than Client in connection with their use of this presentation.</w:t>
      </w:r>
    </w:p>
    <w:p w:rsidR="00893821" w:rsidRDefault="00893821" w:rsidP="00893821">
      <w:r>
        <w:t xml:space="preserve">© 2015 KPMG LLP, a Canadian limited liability partnership and a member firm of the KPMG network of independent member firms affiliated with KPMG International Cooperative (“KPMG International”), a Swiss entity. All rights reserved. </w:t>
      </w:r>
    </w:p>
    <w:p w:rsidR="00893821" w:rsidRPr="00A4603B" w:rsidRDefault="00893821" w:rsidP="00893821">
      <w:r>
        <w:t>The KPMG name, logo and “cutting through complexity” are registered trademarks or trademarks of KPMG International Cooperative (“KPMG International”).</w:t>
      </w:r>
    </w:p>
    <w:p w:rsidR="00273CC1" w:rsidRDefault="00273CC1"/>
    <w:sectPr w:rsidR="00273CC1" w:rsidSect="005D44FF">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369" w:rsidRDefault="00612369" w:rsidP="00893821">
      <w:pPr>
        <w:spacing w:after="0" w:line="240" w:lineRule="auto"/>
      </w:pPr>
      <w:r>
        <w:separator/>
      </w:r>
    </w:p>
  </w:endnote>
  <w:endnote w:type="continuationSeparator" w:id="0">
    <w:p w:rsidR="00612369" w:rsidRDefault="00612369" w:rsidP="00893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charset w:val="00"/>
    <w:family w:val="auto"/>
    <w:pitch w:val="variable"/>
    <w:sig w:usb0="80000023" w:usb1="00000000" w:usb2="00000000" w:usb3="00000000" w:csb0="00000001" w:csb1="00000000"/>
  </w:font>
  <w:font w:name="9999999">
    <w:altName w:val="Times New Roman"/>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w:altName w:val="Myriad"/>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LTSt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wiss 72 1 BT">
    <w:altName w:val="Swiss 72 1 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F7" w:rsidRDefault="001E72F7" w:rsidP="005A3CF1">
    <w:pPr>
      <w:pStyle w:val="Footer"/>
    </w:pPr>
    <w:r w:rsidRPr="00A03A20">
      <w:rPr>
        <w:noProof/>
        <w:lang w:val="en-CA" w:eastAsia="en-CA"/>
      </w:rPr>
      <w:drawing>
        <wp:inline distT="0" distB="0" distL="0" distR="0" wp14:anchorId="44CC2ED1" wp14:editId="682CE596">
          <wp:extent cx="560937" cy="230400"/>
          <wp:effectExtent l="0" t="0" r="0" b="0"/>
          <wp:docPr id="2" name="Picture 2" title="KPM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560937" cy="230400"/>
                  </a:xfrm>
                  <a:prstGeom prst="rect">
                    <a:avLst/>
                  </a:prstGeom>
                  <a:noFill/>
                  <a:ln w="9525">
                    <a:noFill/>
                    <a:miter lim="800000"/>
                    <a:headEnd/>
                    <a:tailEnd/>
                  </a:ln>
                </pic:spPr>
              </pic:pic>
            </a:graphicData>
          </a:graphic>
        </wp:inline>
      </w:drawing>
    </w:r>
    <w:r>
      <w:tab/>
    </w:r>
    <w:r w:rsidRPr="005A3CF1">
      <w:t>Accessibility Directorate of Ontario – Research Services</w:t>
    </w:r>
    <w:r>
      <w:tab/>
    </w:r>
  </w:p>
  <w:p w:rsidR="001E72F7" w:rsidRDefault="001E72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369" w:rsidRDefault="00612369" w:rsidP="00893821">
      <w:pPr>
        <w:spacing w:after="0" w:line="240" w:lineRule="auto"/>
      </w:pPr>
      <w:r>
        <w:separator/>
      </w:r>
    </w:p>
  </w:footnote>
  <w:footnote w:type="continuationSeparator" w:id="0">
    <w:p w:rsidR="00612369" w:rsidRDefault="00612369" w:rsidP="00893821">
      <w:pPr>
        <w:spacing w:after="0" w:line="240" w:lineRule="auto"/>
      </w:pPr>
      <w:r>
        <w:continuationSeparator/>
      </w:r>
    </w:p>
  </w:footnote>
  <w:footnote w:id="1">
    <w:p w:rsidR="001E72F7" w:rsidRPr="004F2B2B" w:rsidRDefault="001E72F7" w:rsidP="00893821">
      <w:pPr>
        <w:pStyle w:val="FootnoteText"/>
        <w:rPr>
          <w:lang w:val="en-US"/>
        </w:rPr>
      </w:pPr>
      <w:r>
        <w:rPr>
          <w:rStyle w:val="FootnoteReference"/>
        </w:rPr>
        <w:footnoteRef/>
      </w:r>
      <w:r>
        <w:t xml:space="preserve"> United Nations Convention on the Rights of Persons with Disabilities. </w:t>
      </w:r>
      <w:r w:rsidRPr="007E6B50">
        <w:t>http://www.un.org/disabilities/convention/conventionfull.shtml</w:t>
      </w:r>
    </w:p>
  </w:footnote>
  <w:footnote w:id="2">
    <w:p w:rsidR="001E72F7" w:rsidRPr="004F2B2B" w:rsidRDefault="001E72F7" w:rsidP="00893821">
      <w:pPr>
        <w:pStyle w:val="FootnoteText"/>
        <w:rPr>
          <w:lang w:val="en-US"/>
        </w:rPr>
      </w:pPr>
      <w:r>
        <w:rPr>
          <w:rStyle w:val="FootnoteReference"/>
        </w:rPr>
        <w:footnoteRef/>
      </w:r>
      <w:r>
        <w:t xml:space="preserve"> </w:t>
      </w:r>
      <w:r w:rsidRPr="004F2B2B">
        <w:t>Honey A, Emerson E, Llewellyn G, Kariuki M. 2010. Mental Health and Disability. In: JH Stone, M Blouin, editors. International Encyclopedia of Rehabilitation. Available online: http://cirrie.buffalo.edu/encyclopedia/en/article/305/</w:t>
      </w:r>
    </w:p>
  </w:footnote>
  <w:footnote w:id="3">
    <w:p w:rsidR="001E72F7" w:rsidRPr="00525604" w:rsidRDefault="001E72F7" w:rsidP="00893821">
      <w:pPr>
        <w:pStyle w:val="FootnoteText"/>
      </w:pPr>
      <w:r>
        <w:rPr>
          <w:rStyle w:val="FootnoteReference"/>
        </w:rPr>
        <w:footnoteRef/>
      </w:r>
      <w:r>
        <w:t xml:space="preserve"> Documents provided by the Accessibility Directorate of Ontario</w:t>
      </w:r>
    </w:p>
  </w:footnote>
  <w:footnote w:id="4">
    <w:p w:rsidR="001E72F7" w:rsidRPr="00525604" w:rsidRDefault="001E72F7" w:rsidP="00893821">
      <w:pPr>
        <w:pStyle w:val="FootnoteText"/>
      </w:pPr>
      <w:r>
        <w:rPr>
          <w:rStyle w:val="FootnoteReference"/>
        </w:rPr>
        <w:footnoteRef/>
      </w:r>
      <w:r>
        <w:t xml:space="preserve"> Ibid</w:t>
      </w:r>
    </w:p>
  </w:footnote>
  <w:footnote w:id="5">
    <w:p w:rsidR="001E72F7" w:rsidRPr="004B046E" w:rsidRDefault="001E72F7" w:rsidP="00893821">
      <w:pPr>
        <w:pStyle w:val="FootnoteText"/>
        <w:rPr>
          <w:lang w:val="en-US"/>
        </w:rPr>
      </w:pPr>
      <w:r>
        <w:rPr>
          <w:rStyle w:val="FootnoteReference"/>
        </w:rPr>
        <w:footnoteRef/>
      </w:r>
      <w:r>
        <w:t xml:space="preserve"> </w:t>
      </w:r>
      <w:r>
        <w:rPr>
          <w:lang w:val="en-US"/>
        </w:rPr>
        <w:t xml:space="preserve">Ontario Human Rights Code. </w:t>
      </w:r>
      <w:hyperlink r:id="rId1" w:history="1">
        <w:r w:rsidRPr="00C4746F">
          <w:rPr>
            <w:rStyle w:val="Hyperlink"/>
            <w:lang w:val="en-US"/>
          </w:rPr>
          <w:t>http://www.ohrc.on.ca/en/ontario-human-rights-code</w:t>
        </w:r>
      </w:hyperlink>
      <w:r>
        <w:rPr>
          <w:lang w:val="en-US"/>
        </w:rPr>
        <w:t xml:space="preserve"> </w:t>
      </w:r>
    </w:p>
  </w:footnote>
  <w:footnote w:id="6">
    <w:p w:rsidR="001E72F7" w:rsidRPr="004B046E" w:rsidRDefault="001E72F7" w:rsidP="00893821">
      <w:pPr>
        <w:pStyle w:val="FootnoteText"/>
      </w:pPr>
      <w:r>
        <w:rPr>
          <w:rStyle w:val="FootnoteReference"/>
        </w:rPr>
        <w:footnoteRef/>
      </w:r>
      <w:r>
        <w:t xml:space="preserve"> Excellent Care for All Act. </w:t>
      </w:r>
      <w:hyperlink r:id="rId2" w:history="1">
        <w:r w:rsidRPr="00C4746F">
          <w:rPr>
            <w:rStyle w:val="Hyperlink"/>
          </w:rPr>
          <w:t>http://www.health.gov.on.ca/en/pro/programs/ecfa/legislation/act.aspx</w:t>
        </w:r>
      </w:hyperlink>
      <w:r>
        <w:t xml:space="preserve"> </w:t>
      </w:r>
    </w:p>
  </w:footnote>
  <w:footnote w:id="7">
    <w:p w:rsidR="001E72F7" w:rsidRPr="00CE6C7D" w:rsidRDefault="001E72F7" w:rsidP="00893821">
      <w:pPr>
        <w:pStyle w:val="FootnoteText"/>
        <w:rPr>
          <w:lang w:val="en-US"/>
        </w:rPr>
      </w:pPr>
      <w:r>
        <w:rPr>
          <w:rStyle w:val="FootnoteReference"/>
        </w:rPr>
        <w:footnoteRef/>
      </w:r>
      <w:r>
        <w:t xml:space="preserve"> Ministry of Community and Social Services. </w:t>
      </w:r>
      <w:r w:rsidRPr="00CE6C7D">
        <w:t>http://www.mcss.gov.on.ca/en/mcss/publications/developmentalServices/servicesSupportsSocialInclusion.aspx</w:t>
      </w:r>
    </w:p>
  </w:footnote>
  <w:footnote w:id="8">
    <w:p w:rsidR="001E72F7" w:rsidRPr="00694A29" w:rsidRDefault="001E72F7" w:rsidP="00893821">
      <w:pPr>
        <w:pStyle w:val="FootnoteText"/>
        <w:rPr>
          <w:lang w:val="en-US"/>
        </w:rPr>
      </w:pPr>
      <w:r>
        <w:rPr>
          <w:rStyle w:val="FootnoteReference"/>
        </w:rPr>
        <w:footnoteRef/>
      </w:r>
      <w:r>
        <w:t xml:space="preserve"> Ontario Hospital Association. </w:t>
      </w:r>
      <w:r>
        <w:rPr>
          <w:lang w:val="en-US"/>
        </w:rPr>
        <w:t xml:space="preserve">A Practical Guide to Mental Health and the Law in Ontario. October 2012. </w:t>
      </w:r>
    </w:p>
  </w:footnote>
  <w:footnote w:id="9">
    <w:p w:rsidR="001E72F7" w:rsidRPr="00694A29" w:rsidRDefault="001E72F7" w:rsidP="00893821">
      <w:pPr>
        <w:pStyle w:val="FootnoteText"/>
        <w:rPr>
          <w:lang w:val="en-US"/>
        </w:rPr>
      </w:pPr>
      <w:r>
        <w:rPr>
          <w:rStyle w:val="FootnoteReference"/>
        </w:rPr>
        <w:footnoteRef/>
      </w:r>
      <w:r>
        <w:t xml:space="preserve"> Ontario Hospital Association. </w:t>
      </w:r>
      <w:r>
        <w:rPr>
          <w:lang w:val="en-US"/>
        </w:rPr>
        <w:t>A Practical Guide to Mental Health and the Law in Ontario. October 2012.</w:t>
      </w:r>
    </w:p>
  </w:footnote>
  <w:footnote w:id="10">
    <w:p w:rsidR="001E72F7" w:rsidRPr="004B215B" w:rsidRDefault="001E72F7" w:rsidP="00893821">
      <w:pPr>
        <w:pStyle w:val="FootnoteText"/>
        <w:rPr>
          <w:lang w:val="en-US"/>
        </w:rPr>
      </w:pPr>
      <w:r>
        <w:rPr>
          <w:rStyle w:val="FootnoteReference"/>
        </w:rPr>
        <w:footnoteRef/>
      </w:r>
      <w:r>
        <w:t xml:space="preserve"> </w:t>
      </w:r>
      <w:r>
        <w:rPr>
          <w:lang w:val="en-US"/>
        </w:rPr>
        <w:t xml:space="preserve">Ontario Human Rights Commission. </w:t>
      </w:r>
      <w:hyperlink r:id="rId3" w:history="1">
        <w:r w:rsidRPr="00C4746F">
          <w:rPr>
            <w:rStyle w:val="Hyperlink"/>
            <w:lang w:val="en-US"/>
          </w:rPr>
          <w:t>http://www.ohrc.on.ca/en</w:t>
        </w:r>
      </w:hyperlink>
      <w:r>
        <w:rPr>
          <w:lang w:val="en-US"/>
        </w:rPr>
        <w:t xml:space="preserve"> </w:t>
      </w:r>
    </w:p>
  </w:footnote>
  <w:footnote w:id="11">
    <w:p w:rsidR="001E72F7" w:rsidRPr="00E56776" w:rsidRDefault="001E72F7" w:rsidP="00893821">
      <w:pPr>
        <w:rPr>
          <w:u w:val="single"/>
        </w:rPr>
      </w:pPr>
      <w:r>
        <w:rPr>
          <w:rStyle w:val="FootnoteReference"/>
        </w:rPr>
        <w:footnoteRef/>
      </w:r>
      <w:r>
        <w:t xml:space="preserve"> </w:t>
      </w:r>
      <w:r>
        <w:rPr>
          <w:sz w:val="16"/>
          <w:szCs w:val="20"/>
        </w:rPr>
        <w:t xml:space="preserve">Ministry of Health and Long-Term Care. </w:t>
      </w:r>
    </w:p>
    <w:p w:rsidR="001E72F7" w:rsidRPr="002B4787" w:rsidRDefault="0055176D" w:rsidP="00893821">
      <w:pPr>
        <w:pStyle w:val="FootnoteText"/>
        <w:rPr>
          <w:lang w:val="en-US"/>
        </w:rPr>
      </w:pPr>
      <w:hyperlink r:id="rId4" w:history="1">
        <w:r w:rsidR="001E72F7" w:rsidRPr="00C4746F">
          <w:rPr>
            <w:rStyle w:val="Hyperlink"/>
          </w:rPr>
          <w:t>http://www.health.gov.on.ca/en/common/ministry/publications/reports/mental_health2011/mentalhealth_rep2011.pdf</w:t>
        </w:r>
      </w:hyperlink>
      <w:r w:rsidR="001E72F7">
        <w:t xml:space="preserve"> </w:t>
      </w:r>
    </w:p>
  </w:footnote>
  <w:footnote w:id="12">
    <w:p w:rsidR="001E72F7" w:rsidRPr="002B4787" w:rsidRDefault="001E72F7" w:rsidP="00893821">
      <w:pPr>
        <w:pStyle w:val="FootnoteText"/>
        <w:rPr>
          <w:lang w:val="en-US"/>
        </w:rPr>
      </w:pPr>
      <w:r>
        <w:rPr>
          <w:rStyle w:val="FootnoteReference"/>
        </w:rPr>
        <w:footnoteRef/>
      </w:r>
      <w:r>
        <w:t xml:space="preserve"> Ministry of Health and Long-Term Care. </w:t>
      </w:r>
      <w:hyperlink r:id="rId5" w:history="1">
        <w:r w:rsidRPr="00C4746F">
          <w:rPr>
            <w:rStyle w:val="Hyperlink"/>
          </w:rPr>
          <w:t>http://www.health.gov.on.ca/en/ms/ecfa/healthy_change/docs/rep_patientsfirst.pdf</w:t>
        </w:r>
      </w:hyperlink>
      <w:r>
        <w:t xml:space="preserve"> </w:t>
      </w:r>
    </w:p>
  </w:footnote>
  <w:footnote w:id="13">
    <w:p w:rsidR="001E72F7" w:rsidRPr="004F2B2B" w:rsidRDefault="001E72F7" w:rsidP="00893821">
      <w:pPr>
        <w:pStyle w:val="FootnoteText"/>
        <w:rPr>
          <w:lang w:val="fr-FR"/>
        </w:rPr>
      </w:pPr>
      <w:r>
        <w:rPr>
          <w:rStyle w:val="FootnoteReference"/>
        </w:rPr>
        <w:footnoteRef/>
      </w:r>
      <w:r>
        <w:t xml:space="preserve"> Law Commission of Ontario. The Law and Persons with Disabilities. </w:t>
      </w:r>
      <w:hyperlink r:id="rId6" w:history="1">
        <w:r w:rsidRPr="004F2B2B">
          <w:rPr>
            <w:rStyle w:val="Hyperlink"/>
            <w:lang w:val="fr-FR"/>
          </w:rPr>
          <w:t>http://www.lco-cdo.org/en/content/persons-disabilities</w:t>
        </w:r>
      </w:hyperlink>
      <w:r w:rsidRPr="004F2B2B">
        <w:rPr>
          <w:lang w:val="fr-FR"/>
        </w:rPr>
        <w:t xml:space="preserve"> </w:t>
      </w:r>
    </w:p>
  </w:footnote>
  <w:footnote w:id="14">
    <w:p w:rsidR="001E72F7" w:rsidRPr="007D0359" w:rsidRDefault="001E72F7" w:rsidP="00893821">
      <w:pPr>
        <w:pStyle w:val="FootnoteText"/>
      </w:pPr>
      <w:r>
        <w:rPr>
          <w:rStyle w:val="FootnoteReference"/>
        </w:rPr>
        <w:footnoteRef/>
      </w:r>
      <w:r w:rsidRPr="004A3B7A">
        <w:rPr>
          <w:lang w:val="fr-FR"/>
        </w:rPr>
        <w:t xml:space="preserve"> CNIB. </w:t>
      </w:r>
      <w:hyperlink r:id="rId7" w:history="1">
        <w:r w:rsidRPr="007D0359">
          <w:rPr>
            <w:rStyle w:val="Hyperlink"/>
          </w:rPr>
          <w:t>http://www.cnib.ca/en/news/pages/prescription-labels-fail-to-meet-guidelines,-increasing-risk-for-errors-taking-medications-.aspx</w:t>
        </w:r>
      </w:hyperlink>
      <w:r w:rsidRPr="007D0359">
        <w:t xml:space="preserve"> </w:t>
      </w:r>
    </w:p>
  </w:footnote>
  <w:footnote w:id="15">
    <w:p w:rsidR="001E72F7" w:rsidRPr="006F4246" w:rsidRDefault="001E72F7" w:rsidP="00893821">
      <w:pPr>
        <w:pStyle w:val="FootnoteText"/>
      </w:pPr>
      <w:r>
        <w:rPr>
          <w:rStyle w:val="FootnoteReference"/>
        </w:rPr>
        <w:footnoteRef/>
      </w:r>
      <w:r>
        <w:t xml:space="preserve"> For a list of companies providing these services in the GTA: </w:t>
      </w:r>
      <w:hyperlink r:id="rId8" w:history="1">
        <w:r w:rsidRPr="006F4246">
          <w:rPr>
            <w:rFonts w:asciiTheme="minorHAnsi" w:hAnsiTheme="minorHAnsi"/>
            <w:u w:val="single"/>
          </w:rPr>
          <w:t>http://www.cilt.ca/transportation_resources.aspx</w:t>
        </w:r>
      </w:hyperlink>
      <w:r>
        <w:rPr>
          <w:rFonts w:asciiTheme="minorHAnsi" w:hAnsiTheme="minorHAnsi"/>
        </w:rPr>
        <w:t>.</w:t>
      </w:r>
    </w:p>
  </w:footnote>
  <w:footnote w:id="16">
    <w:p w:rsidR="001E72F7" w:rsidRPr="00680F2B" w:rsidRDefault="001E72F7" w:rsidP="00893821">
      <w:pPr>
        <w:pStyle w:val="FootnoteText"/>
        <w:rPr>
          <w:lang w:val="en-US"/>
        </w:rPr>
      </w:pPr>
      <w:r>
        <w:rPr>
          <w:rStyle w:val="FootnoteReference"/>
        </w:rPr>
        <w:footnoteRef/>
      </w:r>
      <w:r>
        <w:t xml:space="preserve"> </w:t>
      </w:r>
      <w:r w:rsidRPr="00692A6F">
        <w:t>Institute of Medicine (US) Committee on Disability in America; Field MJ, Jette AM, editors. The Future of Disability in America. Washington (DC): National Academies Press (US); 2007. G, Transportation Patterns and Problems of People with Disabilities.</w:t>
      </w:r>
      <w:r>
        <w:t xml:space="preserve"> </w:t>
      </w:r>
      <w:r w:rsidRPr="00692A6F">
        <w:t xml:space="preserve">Available from: </w:t>
      </w:r>
      <w:hyperlink r:id="rId9" w:history="1">
        <w:r w:rsidRPr="00C4746F">
          <w:rPr>
            <w:rStyle w:val="Hyperlink"/>
          </w:rPr>
          <w:t>http://www.ncbi.nlm.nih.gov/books/NBK11420/</w:t>
        </w:r>
      </w:hyperlink>
      <w:r>
        <w:t xml:space="preserve">  </w:t>
      </w:r>
    </w:p>
  </w:footnote>
  <w:footnote w:id="17">
    <w:p w:rsidR="001E72F7" w:rsidRPr="00692A6F" w:rsidRDefault="001E72F7" w:rsidP="00893821">
      <w:pPr>
        <w:pStyle w:val="FootnoteText"/>
        <w:rPr>
          <w:lang w:val="en-US"/>
        </w:rPr>
      </w:pPr>
      <w:r>
        <w:rPr>
          <w:rStyle w:val="FootnoteReference"/>
        </w:rPr>
        <w:footnoteRef/>
      </w:r>
      <w:r>
        <w:t xml:space="preserve"> Medicaid Transportation Services. </w:t>
      </w:r>
      <w:hyperlink r:id="rId10" w:history="1">
        <w:r w:rsidRPr="00C4746F">
          <w:rPr>
            <w:rStyle w:val="Hyperlink"/>
          </w:rPr>
          <w:t>http://healthconsumer.org/cs026MedicaidTransport.pdf</w:t>
        </w:r>
      </w:hyperlink>
      <w:r>
        <w:t xml:space="preserve"> </w:t>
      </w:r>
    </w:p>
  </w:footnote>
  <w:footnote w:id="18">
    <w:p w:rsidR="001E72F7" w:rsidRPr="00954A6F" w:rsidRDefault="001E72F7" w:rsidP="00893821">
      <w:pPr>
        <w:rPr>
          <w:sz w:val="16"/>
          <w:szCs w:val="16"/>
        </w:rPr>
      </w:pPr>
      <w:r w:rsidRPr="00954A6F">
        <w:rPr>
          <w:rStyle w:val="FootnoteReference"/>
          <w:szCs w:val="16"/>
        </w:rPr>
        <w:footnoteRef/>
      </w:r>
      <w:r w:rsidRPr="00954A6F">
        <w:rPr>
          <w:sz w:val="16"/>
          <w:szCs w:val="16"/>
        </w:rPr>
        <w:t xml:space="preserve"> </w:t>
      </w:r>
      <w:r w:rsidRPr="00A05567">
        <w:rPr>
          <w:sz w:val="16"/>
          <w:szCs w:val="16"/>
        </w:rPr>
        <w:t>Transport for All</w:t>
      </w:r>
      <w:r>
        <w:rPr>
          <w:sz w:val="16"/>
          <w:szCs w:val="16"/>
        </w:rPr>
        <w:t>.</w:t>
      </w:r>
      <w:r w:rsidRPr="00A05567">
        <w:rPr>
          <w:sz w:val="16"/>
          <w:szCs w:val="16"/>
        </w:rPr>
        <w:t xml:space="preserve"> </w:t>
      </w:r>
      <w:r>
        <w:rPr>
          <w:sz w:val="16"/>
          <w:szCs w:val="16"/>
        </w:rPr>
        <w:t xml:space="preserve">Sick of Waiting: A Report on Patient Transport in London. October 2014. </w:t>
      </w:r>
      <w:hyperlink r:id="rId11" w:history="1">
        <w:r w:rsidRPr="00954A6F">
          <w:rPr>
            <w:rStyle w:val="Hyperlink"/>
          </w:rPr>
          <w:t>http://www.transportforall.org.uk/files/sickofwaitingreportaccessibleversion.doc</w:t>
        </w:r>
      </w:hyperlink>
      <w:r w:rsidRPr="00954A6F">
        <w:rPr>
          <w:sz w:val="16"/>
          <w:szCs w:val="16"/>
        </w:rPr>
        <w:t xml:space="preserve"> </w:t>
      </w:r>
    </w:p>
    <w:p w:rsidR="001E72F7" w:rsidRPr="008A4E1E" w:rsidRDefault="001E72F7" w:rsidP="00893821">
      <w:pPr>
        <w:pStyle w:val="FootnoteText"/>
        <w:rPr>
          <w:lang w:val="en-US"/>
        </w:rPr>
      </w:pPr>
    </w:p>
  </w:footnote>
  <w:footnote w:id="19">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i/>
          <w:iCs/>
          <w:lang w:val="en"/>
        </w:rPr>
        <w:t>World Report on Disability</w:t>
      </w:r>
      <w:r w:rsidRPr="00EE0570">
        <w:rPr>
          <w:rStyle w:val="citationtext"/>
          <w:rFonts w:asciiTheme="minorHAnsi" w:hAnsiTheme="minorHAnsi" w:cs="Arial"/>
          <w:lang w:val="en"/>
        </w:rPr>
        <w:t xml:space="preserve">. Rep. </w:t>
      </w:r>
      <w:r w:rsidRPr="00EE0570">
        <w:rPr>
          <w:rStyle w:val="citationtext"/>
          <w:rFonts w:asciiTheme="minorHAnsi" w:hAnsiTheme="minorHAnsi" w:cs="Arial"/>
          <w:i/>
          <w:iCs/>
          <w:lang w:val="en"/>
        </w:rPr>
        <w:t>WHO</w:t>
      </w:r>
      <w:r w:rsidRPr="00EE0570">
        <w:rPr>
          <w:rStyle w:val="citationtext"/>
          <w:rFonts w:asciiTheme="minorHAnsi" w:hAnsiTheme="minorHAnsi" w:cs="Arial"/>
          <w:lang w:val="en"/>
        </w:rPr>
        <w:t>.</w:t>
      </w:r>
    </w:p>
  </w:footnote>
  <w:footnote w:id="20">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i/>
          <w:iCs/>
          <w:lang w:val="en"/>
        </w:rPr>
        <w:t>World Report on Disability</w:t>
      </w:r>
      <w:r w:rsidRPr="00EE0570">
        <w:rPr>
          <w:rStyle w:val="citationtext"/>
          <w:rFonts w:asciiTheme="minorHAnsi" w:hAnsiTheme="minorHAnsi" w:cs="Arial"/>
          <w:lang w:val="en"/>
        </w:rPr>
        <w:t xml:space="preserve">. Rep. </w:t>
      </w:r>
      <w:r w:rsidRPr="00EE0570">
        <w:rPr>
          <w:rStyle w:val="citationtext"/>
          <w:rFonts w:asciiTheme="minorHAnsi" w:hAnsiTheme="minorHAnsi" w:cs="Arial"/>
          <w:i/>
          <w:iCs/>
          <w:lang w:val="en"/>
        </w:rPr>
        <w:t>WHO</w:t>
      </w:r>
      <w:r w:rsidRPr="00EE0570">
        <w:rPr>
          <w:rStyle w:val="citationtext"/>
          <w:rFonts w:asciiTheme="minorHAnsi" w:hAnsiTheme="minorHAnsi" w:cs="Arial"/>
          <w:lang w:val="en"/>
        </w:rPr>
        <w:t>.</w:t>
      </w:r>
    </w:p>
  </w:footnote>
  <w:footnote w:id="21">
    <w:p w:rsidR="001E72F7" w:rsidRPr="00EE0570" w:rsidRDefault="001E72F7" w:rsidP="00893821">
      <w:pPr>
        <w:pStyle w:val="FootnoteText"/>
        <w:rPr>
          <w:rFonts w:asciiTheme="minorHAnsi" w:hAnsiTheme="minorHAnsi"/>
          <w:lang w:val="en"/>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 xml:space="preserve">United Kingdom. </w:t>
      </w:r>
      <w:r w:rsidRPr="00EE0570">
        <w:rPr>
          <w:rStyle w:val="citationtext"/>
          <w:rFonts w:asciiTheme="minorHAnsi" w:hAnsiTheme="minorHAnsi" w:cs="Arial"/>
          <w:i/>
          <w:iCs/>
          <w:lang w:val="en"/>
        </w:rPr>
        <w:t>Healthcare for All: Report of the Independent Inquiry into Access to Healthcare for People with Learning Disabilities</w:t>
      </w:r>
      <w:r w:rsidRPr="00EE0570">
        <w:rPr>
          <w:rStyle w:val="citationtext"/>
          <w:rFonts w:asciiTheme="minorHAnsi" w:hAnsiTheme="minorHAnsi" w:cs="Arial"/>
          <w:lang w:val="en"/>
        </w:rPr>
        <w:t>.</w:t>
      </w:r>
    </w:p>
  </w:footnote>
  <w:footnote w:id="22">
    <w:p w:rsidR="001E72F7" w:rsidRDefault="001E72F7" w:rsidP="00893821">
      <w:pPr>
        <w:pStyle w:val="FootnoteText"/>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 xml:space="preserve">United Kingdom. </w:t>
      </w:r>
      <w:r w:rsidRPr="00EE0570">
        <w:rPr>
          <w:rStyle w:val="citationtext"/>
          <w:rFonts w:asciiTheme="minorHAnsi" w:hAnsiTheme="minorHAnsi" w:cs="Arial"/>
          <w:i/>
          <w:iCs/>
          <w:lang w:val="en"/>
        </w:rPr>
        <w:t>Healthcare for All: Report of the Independent Inquiry into Access to Healthcare for People with Learning Disabilities</w:t>
      </w:r>
      <w:r w:rsidRPr="00EE0570">
        <w:rPr>
          <w:rStyle w:val="citationtext"/>
          <w:rFonts w:asciiTheme="minorHAnsi" w:hAnsiTheme="minorHAnsi" w:cs="Arial"/>
          <w:lang w:val="en"/>
        </w:rPr>
        <w:t>.</w:t>
      </w:r>
    </w:p>
  </w:footnote>
  <w:footnote w:id="23">
    <w:p w:rsidR="001E72F7" w:rsidRPr="00AC67E0" w:rsidRDefault="001E72F7" w:rsidP="00893821">
      <w:pPr>
        <w:pStyle w:val="FootnoteText"/>
        <w:rPr>
          <w:rFonts w:asciiTheme="minorHAnsi" w:hAnsiTheme="minorHAnsi"/>
        </w:rPr>
      </w:pPr>
      <w:r w:rsidRPr="00AC67E0">
        <w:rPr>
          <w:rStyle w:val="FootnoteReference"/>
          <w:rFonts w:asciiTheme="minorHAnsi" w:hAnsiTheme="minorHAnsi"/>
        </w:rPr>
        <w:footnoteRef/>
      </w:r>
      <w:r w:rsidRPr="00AC67E0">
        <w:rPr>
          <w:rFonts w:asciiTheme="minorHAnsi" w:hAnsiTheme="minorHAnsi"/>
        </w:rPr>
        <w:t xml:space="preserve"> </w:t>
      </w:r>
      <w:r w:rsidRPr="00AC67E0">
        <w:rPr>
          <w:rStyle w:val="citationtext"/>
          <w:rFonts w:asciiTheme="minorHAnsi" w:hAnsiTheme="minorHAnsi" w:cs="Arial"/>
          <w:lang w:val="en"/>
        </w:rPr>
        <w:t xml:space="preserve">United Kingdom. </w:t>
      </w:r>
      <w:r w:rsidRPr="00AC67E0">
        <w:rPr>
          <w:rStyle w:val="citationtext"/>
          <w:rFonts w:asciiTheme="minorHAnsi" w:hAnsiTheme="minorHAnsi" w:cs="Arial"/>
          <w:i/>
          <w:iCs/>
          <w:lang w:val="en"/>
        </w:rPr>
        <w:t>Healthcare for All: Report of the Independent Inquiry into Access to Healthcare for People with Learning Disabilities</w:t>
      </w:r>
      <w:r w:rsidRPr="00AC67E0">
        <w:rPr>
          <w:rStyle w:val="citationtext"/>
          <w:rFonts w:asciiTheme="minorHAnsi" w:hAnsiTheme="minorHAnsi" w:cs="Arial"/>
          <w:lang w:val="en"/>
        </w:rPr>
        <w:t>.</w:t>
      </w:r>
    </w:p>
  </w:footnote>
  <w:footnote w:id="24">
    <w:p w:rsidR="001E72F7" w:rsidRPr="00AC67E0" w:rsidRDefault="001E72F7" w:rsidP="00893821">
      <w:pPr>
        <w:pStyle w:val="FootnoteText"/>
        <w:rPr>
          <w:rFonts w:asciiTheme="minorHAnsi" w:hAnsiTheme="minorHAnsi"/>
        </w:rPr>
      </w:pPr>
      <w:r w:rsidRPr="00AC67E0">
        <w:rPr>
          <w:rStyle w:val="FootnoteReference"/>
          <w:rFonts w:asciiTheme="minorHAnsi" w:hAnsiTheme="minorHAnsi"/>
        </w:rPr>
        <w:footnoteRef/>
      </w:r>
      <w:r w:rsidRPr="00AC67E0">
        <w:rPr>
          <w:rFonts w:asciiTheme="minorHAnsi" w:hAnsiTheme="minorHAnsi"/>
        </w:rPr>
        <w:t xml:space="preserve"> </w:t>
      </w:r>
      <w:r w:rsidRPr="00AC67E0">
        <w:rPr>
          <w:rStyle w:val="citationtext"/>
          <w:rFonts w:asciiTheme="minorHAnsi" w:hAnsiTheme="minorHAnsi" w:cs="Arial"/>
          <w:lang w:val="en"/>
        </w:rPr>
        <w:t xml:space="preserve">United Kingdom. </w:t>
      </w:r>
      <w:r w:rsidRPr="00AC67E0">
        <w:rPr>
          <w:rStyle w:val="citationtext"/>
          <w:rFonts w:asciiTheme="minorHAnsi" w:hAnsiTheme="minorHAnsi" w:cs="Arial"/>
          <w:i/>
          <w:iCs/>
          <w:lang w:val="en"/>
        </w:rPr>
        <w:t>Healthcare for All: Report of the Independent Inquiry into Access to Healthcare for People with Learning Disabilities</w:t>
      </w:r>
      <w:r w:rsidRPr="00AC67E0">
        <w:rPr>
          <w:rStyle w:val="citationtext"/>
          <w:rFonts w:asciiTheme="minorHAnsi" w:hAnsiTheme="minorHAnsi" w:cs="Arial"/>
          <w:lang w:val="en"/>
        </w:rPr>
        <w:t>.</w:t>
      </w:r>
    </w:p>
  </w:footnote>
  <w:footnote w:id="25">
    <w:p w:rsidR="001E72F7" w:rsidRPr="00AC67E0" w:rsidRDefault="001E72F7" w:rsidP="00893821">
      <w:pPr>
        <w:pStyle w:val="FootnoteText"/>
        <w:rPr>
          <w:rFonts w:asciiTheme="minorHAnsi" w:hAnsiTheme="minorHAnsi" w:cs="Arial"/>
        </w:rPr>
      </w:pPr>
      <w:r w:rsidRPr="00AC67E0">
        <w:rPr>
          <w:rStyle w:val="FootnoteReference"/>
          <w:rFonts w:asciiTheme="minorHAnsi" w:hAnsiTheme="minorHAnsi" w:cs="Arial"/>
        </w:rPr>
        <w:footnoteRef/>
      </w:r>
      <w:r w:rsidRPr="00AC67E0">
        <w:rPr>
          <w:rFonts w:asciiTheme="minorHAnsi" w:hAnsiTheme="minorHAnsi" w:cs="Arial"/>
        </w:rPr>
        <w:t xml:space="preserve"> </w:t>
      </w:r>
      <w:r w:rsidRPr="00AC67E0">
        <w:rPr>
          <w:rStyle w:val="citationtext"/>
          <w:rFonts w:asciiTheme="minorHAnsi" w:hAnsiTheme="minorHAnsi" w:cs="Arial"/>
          <w:lang w:val="en"/>
        </w:rPr>
        <w:t xml:space="preserve">"The World Health Organization's Report on Disability." </w:t>
      </w:r>
      <w:r w:rsidRPr="00AC67E0">
        <w:rPr>
          <w:rStyle w:val="citationtext"/>
          <w:rFonts w:asciiTheme="minorHAnsi" w:hAnsiTheme="minorHAnsi" w:cs="Arial"/>
          <w:i/>
          <w:iCs/>
          <w:lang w:val="en"/>
        </w:rPr>
        <w:t>Disabled World</w:t>
      </w:r>
      <w:r w:rsidRPr="00AC67E0">
        <w:rPr>
          <w:rStyle w:val="citationtext"/>
          <w:rFonts w:asciiTheme="minorHAnsi" w:hAnsiTheme="minorHAnsi" w:cs="Arial"/>
          <w:lang w:val="en"/>
        </w:rPr>
        <w:t>.</w:t>
      </w:r>
    </w:p>
  </w:footnote>
  <w:footnote w:id="26">
    <w:p w:rsidR="001E72F7" w:rsidRDefault="001E72F7" w:rsidP="00893821">
      <w:pPr>
        <w:pStyle w:val="FootnoteText"/>
      </w:pPr>
      <w:r w:rsidRPr="00AC67E0">
        <w:rPr>
          <w:rStyle w:val="FootnoteReference"/>
          <w:rFonts w:asciiTheme="minorHAnsi" w:hAnsiTheme="minorHAnsi"/>
        </w:rPr>
        <w:footnoteRef/>
      </w:r>
      <w:r w:rsidRPr="00AC67E0">
        <w:rPr>
          <w:rFonts w:asciiTheme="minorHAnsi" w:hAnsiTheme="minorHAnsi"/>
        </w:rPr>
        <w:t xml:space="preserve"> </w:t>
      </w:r>
      <w:r w:rsidRPr="00AC67E0">
        <w:rPr>
          <w:rStyle w:val="citationtext"/>
          <w:rFonts w:asciiTheme="minorHAnsi" w:hAnsiTheme="minorHAnsi" w:cs="Arial"/>
          <w:lang w:val="en"/>
        </w:rPr>
        <w:t xml:space="preserve">Zarocostas, John. "World's One Billion People with Disabilities Face Widespread Barriers to Healthcare." </w:t>
      </w:r>
      <w:r w:rsidRPr="00AC67E0">
        <w:rPr>
          <w:rStyle w:val="citationtext"/>
          <w:rFonts w:asciiTheme="minorHAnsi" w:hAnsiTheme="minorHAnsi" w:cs="Arial"/>
          <w:i/>
          <w:iCs/>
          <w:lang w:val="en"/>
        </w:rPr>
        <w:t>British Medical Journal</w:t>
      </w:r>
    </w:p>
  </w:footnote>
  <w:footnote w:id="27">
    <w:p w:rsidR="001E72F7" w:rsidRPr="00B265F4" w:rsidRDefault="001E72F7" w:rsidP="00893821">
      <w:pPr>
        <w:pStyle w:val="FootnoteText"/>
        <w:rPr>
          <w:rFonts w:asciiTheme="minorHAnsi" w:hAnsiTheme="minorHAnsi"/>
        </w:rPr>
      </w:pPr>
      <w:r w:rsidRPr="00B265F4">
        <w:rPr>
          <w:rStyle w:val="FootnoteReference"/>
          <w:rFonts w:asciiTheme="minorHAnsi" w:hAnsiTheme="minorHAnsi"/>
        </w:rPr>
        <w:footnoteRef/>
      </w:r>
      <w:r w:rsidRPr="00B265F4">
        <w:rPr>
          <w:rFonts w:asciiTheme="minorHAnsi" w:hAnsiTheme="minorHAnsi"/>
        </w:rPr>
        <w:t xml:space="preserve"> </w:t>
      </w:r>
      <w:r w:rsidRPr="00B265F4">
        <w:rPr>
          <w:rStyle w:val="citationtext"/>
          <w:rFonts w:asciiTheme="minorHAnsi" w:hAnsiTheme="minorHAnsi" w:cs="Arial"/>
          <w:lang w:val="en"/>
        </w:rPr>
        <w:t xml:space="preserve">United Kingdom. </w:t>
      </w:r>
      <w:r w:rsidRPr="00B265F4">
        <w:rPr>
          <w:rStyle w:val="citationtext"/>
          <w:rFonts w:asciiTheme="minorHAnsi" w:hAnsiTheme="minorHAnsi" w:cs="Arial"/>
          <w:i/>
          <w:iCs/>
          <w:lang w:val="en"/>
        </w:rPr>
        <w:t>Healthcare for All: Report of the Independent Inquiry into Access to Healthcare for People with Learning Disabilities</w:t>
      </w:r>
      <w:r w:rsidRPr="00B265F4">
        <w:rPr>
          <w:rStyle w:val="citationtext"/>
          <w:rFonts w:asciiTheme="minorHAnsi" w:hAnsiTheme="minorHAnsi" w:cs="Arial"/>
          <w:lang w:val="en"/>
        </w:rPr>
        <w:t>.</w:t>
      </w:r>
    </w:p>
  </w:footnote>
  <w:footnote w:id="28">
    <w:p w:rsidR="001E72F7" w:rsidRPr="00B265F4" w:rsidRDefault="001E72F7" w:rsidP="00893821">
      <w:pPr>
        <w:pStyle w:val="FootnoteText"/>
        <w:rPr>
          <w:rFonts w:asciiTheme="minorHAnsi" w:hAnsiTheme="minorHAnsi"/>
        </w:rPr>
      </w:pPr>
      <w:r w:rsidRPr="00B265F4">
        <w:rPr>
          <w:rStyle w:val="FootnoteReference"/>
          <w:rFonts w:asciiTheme="minorHAnsi" w:hAnsiTheme="minorHAnsi"/>
        </w:rPr>
        <w:footnoteRef/>
      </w:r>
      <w:r w:rsidRPr="00B265F4">
        <w:rPr>
          <w:rFonts w:asciiTheme="minorHAnsi" w:hAnsiTheme="minorHAnsi"/>
        </w:rPr>
        <w:t xml:space="preserve"> </w:t>
      </w:r>
      <w:r w:rsidRPr="00B265F4">
        <w:rPr>
          <w:rStyle w:val="citationtext"/>
          <w:rFonts w:asciiTheme="minorHAnsi" w:hAnsiTheme="minorHAnsi" w:cs="Arial"/>
          <w:lang w:val="en"/>
        </w:rPr>
        <w:t xml:space="preserve">United Kingdom. </w:t>
      </w:r>
      <w:r w:rsidRPr="00B265F4">
        <w:rPr>
          <w:rStyle w:val="citationtext"/>
          <w:rFonts w:asciiTheme="minorHAnsi" w:hAnsiTheme="minorHAnsi" w:cs="Arial"/>
          <w:i/>
          <w:iCs/>
          <w:lang w:val="en"/>
        </w:rPr>
        <w:t>Healthcare for All: Report of the Independent Inquiry into Access to Healthcare for People with Learning Disabilities</w:t>
      </w:r>
      <w:r w:rsidRPr="00B265F4">
        <w:rPr>
          <w:rStyle w:val="citationtext"/>
          <w:rFonts w:asciiTheme="minorHAnsi" w:hAnsiTheme="minorHAnsi" w:cs="Arial"/>
          <w:lang w:val="en"/>
        </w:rPr>
        <w:t>.</w:t>
      </w:r>
    </w:p>
  </w:footnote>
  <w:footnote w:id="29">
    <w:p w:rsidR="001E72F7" w:rsidRPr="00B265F4" w:rsidRDefault="001E72F7" w:rsidP="00893821">
      <w:pPr>
        <w:pStyle w:val="FootnoteText"/>
        <w:rPr>
          <w:rFonts w:asciiTheme="minorHAnsi" w:hAnsiTheme="minorHAnsi"/>
        </w:rPr>
      </w:pPr>
      <w:r w:rsidRPr="00B265F4">
        <w:rPr>
          <w:rStyle w:val="FootnoteReference"/>
          <w:rFonts w:asciiTheme="minorHAnsi" w:hAnsiTheme="minorHAnsi"/>
        </w:rPr>
        <w:footnoteRef/>
      </w:r>
      <w:r w:rsidRPr="00B265F4">
        <w:rPr>
          <w:rFonts w:asciiTheme="minorHAnsi" w:hAnsiTheme="minorHAnsi"/>
        </w:rPr>
        <w:t xml:space="preserve"> </w:t>
      </w:r>
      <w:r w:rsidRPr="00B265F4">
        <w:rPr>
          <w:rStyle w:val="citationtext"/>
          <w:rFonts w:asciiTheme="minorHAnsi" w:hAnsiTheme="minorHAnsi" w:cs="Arial"/>
          <w:lang w:val="en"/>
        </w:rPr>
        <w:t xml:space="preserve">United Kingdom. </w:t>
      </w:r>
      <w:r w:rsidRPr="00B265F4">
        <w:rPr>
          <w:rStyle w:val="citationtext"/>
          <w:rFonts w:asciiTheme="minorHAnsi" w:hAnsiTheme="minorHAnsi" w:cs="Arial"/>
          <w:i/>
          <w:iCs/>
          <w:lang w:val="en"/>
        </w:rPr>
        <w:t>Healthcare for All: Report of the Independent Inquiry into Access to Healthcare for People with Learning Disabilities</w:t>
      </w:r>
      <w:r w:rsidRPr="00B265F4">
        <w:rPr>
          <w:rStyle w:val="citationtext"/>
          <w:rFonts w:asciiTheme="minorHAnsi" w:hAnsiTheme="minorHAnsi" w:cs="Arial"/>
          <w:lang w:val="en"/>
        </w:rPr>
        <w:t>.</w:t>
      </w:r>
    </w:p>
  </w:footnote>
  <w:footnote w:id="30">
    <w:p w:rsidR="001E72F7" w:rsidRPr="00B265F4" w:rsidRDefault="001E72F7" w:rsidP="00893821">
      <w:pPr>
        <w:pStyle w:val="FootnoteText"/>
        <w:rPr>
          <w:rFonts w:asciiTheme="minorHAnsi" w:hAnsiTheme="minorHAnsi"/>
        </w:rPr>
      </w:pPr>
      <w:r w:rsidRPr="00B265F4">
        <w:rPr>
          <w:rStyle w:val="FootnoteReference"/>
          <w:rFonts w:asciiTheme="minorHAnsi" w:hAnsiTheme="minorHAnsi"/>
        </w:rPr>
        <w:footnoteRef/>
      </w:r>
      <w:r w:rsidRPr="00B265F4">
        <w:rPr>
          <w:rFonts w:asciiTheme="minorHAnsi" w:hAnsiTheme="minorHAnsi"/>
        </w:rPr>
        <w:t xml:space="preserve"> </w:t>
      </w:r>
      <w:r w:rsidRPr="00B265F4">
        <w:rPr>
          <w:rStyle w:val="citationtext"/>
          <w:rFonts w:asciiTheme="minorHAnsi" w:hAnsiTheme="minorHAnsi" w:cs="Arial"/>
          <w:lang w:val="en"/>
        </w:rPr>
        <w:t xml:space="preserve">United Kingdom. </w:t>
      </w:r>
      <w:r w:rsidRPr="00B265F4">
        <w:rPr>
          <w:rStyle w:val="citationtext"/>
          <w:rFonts w:asciiTheme="minorHAnsi" w:hAnsiTheme="minorHAnsi" w:cs="Arial"/>
          <w:i/>
          <w:iCs/>
          <w:lang w:val="en"/>
        </w:rPr>
        <w:t>Healthcare for All: Report of the Independent Inquiry into Access to Healthcare for People with Learning Disabilities</w:t>
      </w:r>
      <w:r w:rsidRPr="00B265F4">
        <w:rPr>
          <w:rStyle w:val="citationtext"/>
          <w:rFonts w:asciiTheme="minorHAnsi" w:hAnsiTheme="minorHAnsi" w:cs="Arial"/>
          <w:lang w:val="en"/>
        </w:rPr>
        <w:t>.</w:t>
      </w:r>
    </w:p>
  </w:footnote>
  <w:footnote w:id="31">
    <w:p w:rsidR="001E72F7" w:rsidRPr="00EE0570" w:rsidRDefault="001E72F7" w:rsidP="00893821">
      <w:pPr>
        <w:pStyle w:val="FootnoteText"/>
        <w:rPr>
          <w:rFonts w:asciiTheme="minorHAnsi" w:hAnsiTheme="minorHAnsi"/>
        </w:rPr>
      </w:pPr>
      <w:r w:rsidRPr="00B265F4">
        <w:rPr>
          <w:rStyle w:val="FootnoteReference"/>
          <w:rFonts w:asciiTheme="minorHAnsi" w:hAnsiTheme="minorHAnsi"/>
        </w:rPr>
        <w:footnoteRef/>
      </w:r>
      <w:r w:rsidRPr="00B265F4">
        <w:rPr>
          <w:rFonts w:asciiTheme="minorHAnsi" w:hAnsiTheme="minorHAnsi"/>
        </w:rPr>
        <w:t xml:space="preserve"> </w:t>
      </w:r>
      <w:r w:rsidRPr="00B265F4">
        <w:rPr>
          <w:rStyle w:val="citationtext"/>
          <w:rFonts w:asciiTheme="minorHAnsi" w:hAnsiTheme="minorHAnsi" w:cs="Arial"/>
          <w:lang w:val="en"/>
        </w:rPr>
        <w:t xml:space="preserve">United Kingdom. </w:t>
      </w:r>
      <w:r w:rsidRPr="00B265F4">
        <w:rPr>
          <w:rStyle w:val="citationtext"/>
          <w:rFonts w:asciiTheme="minorHAnsi" w:hAnsiTheme="minorHAnsi" w:cs="Arial"/>
          <w:i/>
          <w:iCs/>
          <w:lang w:val="en"/>
        </w:rPr>
        <w:t>Healthcare for All: Report of the Independent Inquiry into Access to Healthcare for People with Learning Disabilities</w:t>
      </w:r>
      <w:r w:rsidRPr="00B265F4">
        <w:rPr>
          <w:rStyle w:val="citationtext"/>
          <w:rFonts w:asciiTheme="minorHAnsi" w:hAnsiTheme="minorHAnsi" w:cs="Arial"/>
          <w:lang w:val="en"/>
        </w:rPr>
        <w:t>.</w:t>
      </w:r>
    </w:p>
  </w:footnote>
  <w:footnote w:id="32">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i/>
          <w:iCs/>
          <w:lang w:val="en"/>
        </w:rPr>
        <w:t>A Simple Cure</w:t>
      </w:r>
      <w:r w:rsidRPr="00EE0570">
        <w:rPr>
          <w:rStyle w:val="citationtext"/>
          <w:rFonts w:asciiTheme="minorHAnsi" w:hAnsiTheme="minorHAnsi" w:cs="Arial"/>
          <w:lang w:val="en"/>
        </w:rPr>
        <w:t>. Action on Hearing Loss.</w:t>
      </w:r>
    </w:p>
  </w:footnote>
  <w:footnote w:id="33">
    <w:p w:rsidR="001E72F7" w:rsidRDefault="001E72F7" w:rsidP="00893821">
      <w:pPr>
        <w:pStyle w:val="FootnoteText"/>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i/>
          <w:iCs/>
          <w:lang w:val="en"/>
        </w:rPr>
        <w:t>World Report on Disability</w:t>
      </w:r>
      <w:r w:rsidRPr="00EE0570">
        <w:rPr>
          <w:rStyle w:val="citationtext"/>
          <w:rFonts w:asciiTheme="minorHAnsi" w:hAnsiTheme="minorHAnsi" w:cs="Arial"/>
          <w:lang w:val="en"/>
        </w:rPr>
        <w:t xml:space="preserve">. Rep. </w:t>
      </w:r>
      <w:r w:rsidRPr="00EE0570">
        <w:rPr>
          <w:rStyle w:val="citationtext"/>
          <w:rFonts w:asciiTheme="minorHAnsi" w:hAnsiTheme="minorHAnsi" w:cs="Arial"/>
          <w:i/>
          <w:iCs/>
          <w:lang w:val="en"/>
        </w:rPr>
        <w:t>WHO</w:t>
      </w:r>
      <w:r w:rsidRPr="00EE0570">
        <w:rPr>
          <w:rStyle w:val="citationtext"/>
          <w:rFonts w:asciiTheme="minorHAnsi" w:hAnsiTheme="minorHAnsi" w:cs="Arial"/>
          <w:lang w:val="en"/>
        </w:rPr>
        <w:t>.</w:t>
      </w:r>
    </w:p>
  </w:footnote>
  <w:footnote w:id="34">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Sibley, Eleanor. "Towards an Inclusive Health Service: A Report into the Availability of Health Information for Blind and Partially Sighted People."</w:t>
      </w:r>
    </w:p>
  </w:footnote>
  <w:footnote w:id="35">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Sibley, Eleanor. "Towards an Inclusive Health Service: A Report into the Availability of Health Information for Blind and Partially Sighted People."</w:t>
      </w:r>
    </w:p>
  </w:footnote>
  <w:footnote w:id="36">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 xml:space="preserve">United Kingdom. </w:t>
      </w:r>
      <w:r w:rsidRPr="00EE0570">
        <w:rPr>
          <w:rStyle w:val="citationtext"/>
          <w:rFonts w:asciiTheme="minorHAnsi" w:hAnsiTheme="minorHAnsi" w:cs="Arial"/>
          <w:i/>
          <w:iCs/>
          <w:lang w:val="en"/>
        </w:rPr>
        <w:t>Healthcare for All: Report of the Independent Inquiry into Access to Healthcare for People with Learning Disabilities</w:t>
      </w:r>
      <w:r w:rsidRPr="00EE0570">
        <w:rPr>
          <w:rStyle w:val="citationtext"/>
          <w:rFonts w:asciiTheme="minorHAnsi" w:hAnsiTheme="minorHAnsi" w:cs="Arial"/>
          <w:lang w:val="en"/>
        </w:rPr>
        <w:t>.</w:t>
      </w:r>
    </w:p>
  </w:footnote>
  <w:footnote w:id="37">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 xml:space="preserve">Council for Healthcare Regulatory Excellence. </w:t>
      </w:r>
      <w:r w:rsidRPr="00EE0570">
        <w:rPr>
          <w:rStyle w:val="citationtext"/>
          <w:rFonts w:asciiTheme="minorHAnsi" w:hAnsiTheme="minorHAnsi" w:cs="Arial"/>
          <w:i/>
          <w:iCs/>
          <w:lang w:val="en"/>
        </w:rPr>
        <w:t>Healthcare for People with Disabilities</w:t>
      </w:r>
      <w:r w:rsidRPr="00EE0570">
        <w:rPr>
          <w:rStyle w:val="citationtext"/>
          <w:rFonts w:asciiTheme="minorHAnsi" w:hAnsiTheme="minorHAnsi" w:cs="Arial"/>
          <w:lang w:val="en"/>
        </w:rPr>
        <w:t>.</w:t>
      </w:r>
    </w:p>
  </w:footnote>
  <w:footnote w:id="38">
    <w:p w:rsidR="001E72F7" w:rsidRPr="00EE0570" w:rsidRDefault="001E72F7" w:rsidP="00893821">
      <w:pPr>
        <w:pStyle w:val="FootnoteText"/>
        <w:rPr>
          <w:rFonts w:asciiTheme="minorHAnsi" w:hAnsiTheme="minorHAnsi"/>
        </w:rPr>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i/>
          <w:iCs/>
          <w:lang w:val="en"/>
        </w:rPr>
        <w:t>A Simple Cure</w:t>
      </w:r>
      <w:r w:rsidRPr="00EE0570">
        <w:rPr>
          <w:rStyle w:val="citationtext"/>
          <w:rFonts w:asciiTheme="minorHAnsi" w:hAnsiTheme="minorHAnsi" w:cs="Arial"/>
          <w:lang w:val="en"/>
        </w:rPr>
        <w:t>. Action on Hearing Loss.</w:t>
      </w:r>
    </w:p>
  </w:footnote>
  <w:footnote w:id="39">
    <w:p w:rsidR="001E72F7" w:rsidRDefault="001E72F7" w:rsidP="00893821">
      <w:pPr>
        <w:pStyle w:val="FootnoteText"/>
      </w:pPr>
      <w:r w:rsidRPr="00EE0570">
        <w:rPr>
          <w:rStyle w:val="FootnoteReference"/>
          <w:rFonts w:asciiTheme="minorHAnsi" w:hAnsiTheme="minorHAnsi"/>
        </w:rPr>
        <w:footnoteRef/>
      </w:r>
      <w:r w:rsidRPr="00EE0570">
        <w:rPr>
          <w:rFonts w:asciiTheme="minorHAnsi" w:hAnsiTheme="minorHAnsi"/>
        </w:rPr>
        <w:t xml:space="preserve"> </w:t>
      </w:r>
      <w:r w:rsidRPr="00EE0570">
        <w:rPr>
          <w:rStyle w:val="citationtext"/>
          <w:rFonts w:asciiTheme="minorHAnsi" w:hAnsiTheme="minorHAnsi" w:cs="Arial"/>
          <w:lang w:val="en"/>
        </w:rPr>
        <w:t>Sibley, Eleanor. "Towards an Inclusive Health Service: A Report into the Availability of Health Information for Blind and Partially Sighted People."</w:t>
      </w:r>
    </w:p>
  </w:footnote>
  <w:footnote w:id="40">
    <w:p w:rsidR="001E72F7" w:rsidRPr="00001F3D" w:rsidRDefault="001E72F7" w:rsidP="00893821">
      <w:pPr>
        <w:pStyle w:val="FootnoteText"/>
        <w:rPr>
          <w:rFonts w:asciiTheme="minorHAnsi" w:hAnsiTheme="minorHAnsi"/>
        </w:rPr>
      </w:pPr>
      <w:r w:rsidRPr="00001F3D">
        <w:rPr>
          <w:rStyle w:val="FootnoteReference"/>
          <w:rFonts w:asciiTheme="minorHAnsi" w:hAnsiTheme="minorHAnsi"/>
        </w:rPr>
        <w:footnoteRef/>
      </w:r>
      <w:r w:rsidRPr="00001F3D">
        <w:rPr>
          <w:rFonts w:asciiTheme="minorHAnsi" w:hAnsiTheme="minorHAnsi"/>
        </w:rPr>
        <w:t xml:space="preserve"> </w:t>
      </w:r>
      <w:r w:rsidRPr="00001F3D">
        <w:rPr>
          <w:rStyle w:val="citationtext"/>
          <w:rFonts w:asciiTheme="minorHAnsi" w:hAnsiTheme="minorHAnsi" w:cs="Arial"/>
          <w:lang w:val="en"/>
        </w:rPr>
        <w:t>Sibley, Eleanor. "Towards an Inclusive Health Service: A Report into the Availability of Health Information for Blind and Partially Sighted People."</w:t>
      </w:r>
    </w:p>
  </w:footnote>
  <w:footnote w:id="41">
    <w:p w:rsidR="001E72F7" w:rsidRPr="00001F3D" w:rsidRDefault="001E72F7" w:rsidP="00893821">
      <w:pPr>
        <w:pStyle w:val="FootnoteText"/>
        <w:rPr>
          <w:rFonts w:asciiTheme="minorHAnsi" w:hAnsiTheme="minorHAnsi"/>
        </w:rPr>
      </w:pPr>
      <w:r w:rsidRPr="00001F3D">
        <w:rPr>
          <w:rStyle w:val="FootnoteReference"/>
          <w:rFonts w:asciiTheme="minorHAnsi" w:hAnsiTheme="minorHAnsi"/>
        </w:rPr>
        <w:footnoteRef/>
      </w:r>
      <w:r w:rsidRPr="00001F3D">
        <w:rPr>
          <w:rFonts w:asciiTheme="minorHAnsi" w:hAnsiTheme="minorHAnsi"/>
        </w:rPr>
        <w:t xml:space="preserve"> </w:t>
      </w:r>
      <w:r w:rsidRPr="00001F3D">
        <w:rPr>
          <w:rStyle w:val="citationtext"/>
          <w:rFonts w:asciiTheme="minorHAnsi" w:hAnsiTheme="minorHAnsi" w:cs="Arial"/>
          <w:i/>
          <w:iCs/>
          <w:lang w:val="en"/>
        </w:rPr>
        <w:t>A Simple Cure</w:t>
      </w:r>
      <w:r w:rsidRPr="00001F3D">
        <w:rPr>
          <w:rStyle w:val="citationtext"/>
          <w:rFonts w:asciiTheme="minorHAnsi" w:hAnsiTheme="minorHAnsi" w:cs="Arial"/>
          <w:lang w:val="en"/>
        </w:rPr>
        <w:t>. Action on Hearing Loss.</w:t>
      </w:r>
    </w:p>
  </w:footnote>
  <w:footnote w:id="42">
    <w:p w:rsidR="001E72F7" w:rsidRPr="00001F3D" w:rsidRDefault="001E72F7" w:rsidP="00893821">
      <w:pPr>
        <w:pStyle w:val="FootnoteText"/>
        <w:rPr>
          <w:rFonts w:asciiTheme="minorHAnsi" w:hAnsiTheme="minorHAnsi"/>
        </w:rPr>
      </w:pPr>
      <w:r w:rsidRPr="00001F3D">
        <w:rPr>
          <w:rStyle w:val="FootnoteReference"/>
          <w:rFonts w:asciiTheme="minorHAnsi" w:hAnsiTheme="minorHAnsi"/>
        </w:rPr>
        <w:footnoteRef/>
      </w:r>
      <w:r w:rsidRPr="00001F3D">
        <w:rPr>
          <w:rFonts w:asciiTheme="minorHAnsi" w:hAnsiTheme="minorHAnsi"/>
        </w:rPr>
        <w:t xml:space="preserve"> </w:t>
      </w:r>
      <w:r w:rsidRPr="00001F3D">
        <w:rPr>
          <w:rStyle w:val="citationtext"/>
          <w:rFonts w:asciiTheme="minorHAnsi" w:hAnsiTheme="minorHAnsi" w:cs="Arial"/>
          <w:lang w:val="en"/>
        </w:rPr>
        <w:t>Frey, Georgia C. "Physical Activity of Youth with Intellectual Disability: Review and Research Agenda."</w:t>
      </w:r>
    </w:p>
  </w:footnote>
  <w:footnote w:id="43">
    <w:p w:rsidR="001E72F7" w:rsidRPr="00001F3D" w:rsidRDefault="001E72F7" w:rsidP="00893821">
      <w:pPr>
        <w:pStyle w:val="FootnoteText"/>
        <w:rPr>
          <w:rFonts w:asciiTheme="minorHAnsi" w:hAnsiTheme="minorHAnsi"/>
        </w:rPr>
      </w:pPr>
      <w:r w:rsidRPr="00001F3D">
        <w:rPr>
          <w:rStyle w:val="FootnoteReference"/>
          <w:rFonts w:asciiTheme="minorHAnsi" w:hAnsiTheme="minorHAnsi"/>
        </w:rPr>
        <w:footnoteRef/>
      </w:r>
      <w:r w:rsidRPr="00001F3D">
        <w:rPr>
          <w:rFonts w:asciiTheme="minorHAnsi" w:hAnsiTheme="minorHAnsi"/>
        </w:rPr>
        <w:t xml:space="preserve"> </w:t>
      </w:r>
      <w:r w:rsidRPr="00001F3D">
        <w:rPr>
          <w:rStyle w:val="citationtext"/>
          <w:rFonts w:asciiTheme="minorHAnsi" w:hAnsiTheme="minorHAnsi" w:cs="Arial"/>
          <w:lang w:val="en"/>
        </w:rPr>
        <w:t>Frey, Georgia C. "Physical Activity of Youth with Intellectual Disability: Review and Research Agenda."</w:t>
      </w:r>
    </w:p>
  </w:footnote>
  <w:footnote w:id="44">
    <w:p w:rsidR="001E72F7" w:rsidRPr="00001F3D" w:rsidRDefault="001E72F7" w:rsidP="00893821">
      <w:pPr>
        <w:pStyle w:val="FootnoteText"/>
        <w:rPr>
          <w:rFonts w:asciiTheme="minorHAnsi" w:hAnsiTheme="minorHAnsi"/>
        </w:rPr>
      </w:pPr>
      <w:r w:rsidRPr="00001F3D">
        <w:rPr>
          <w:rStyle w:val="FootnoteReference"/>
          <w:rFonts w:asciiTheme="minorHAnsi" w:hAnsiTheme="minorHAnsi"/>
        </w:rPr>
        <w:footnoteRef/>
      </w:r>
      <w:r w:rsidRPr="00001F3D">
        <w:rPr>
          <w:rFonts w:asciiTheme="minorHAnsi" w:hAnsiTheme="minorHAnsi"/>
        </w:rPr>
        <w:t xml:space="preserve"> </w:t>
      </w:r>
      <w:r w:rsidRPr="00001F3D">
        <w:rPr>
          <w:rStyle w:val="citationtext"/>
          <w:rFonts w:asciiTheme="minorHAnsi" w:hAnsiTheme="minorHAnsi" w:cs="Arial"/>
          <w:lang w:val="en"/>
        </w:rPr>
        <w:t>Heller, Tamar, Kelly Hsieh, and James H. Rimmer. "Attitudinal and Psychosocial Outcomes of a Fitness and Health Education Program on Adults With Down Syndrome."</w:t>
      </w:r>
    </w:p>
  </w:footnote>
  <w:footnote w:id="45">
    <w:p w:rsidR="001E72F7" w:rsidRDefault="001E72F7" w:rsidP="00893821">
      <w:pPr>
        <w:pStyle w:val="FootnoteText"/>
      </w:pPr>
      <w:r w:rsidRPr="00001F3D">
        <w:rPr>
          <w:rStyle w:val="FootnoteReference"/>
          <w:rFonts w:asciiTheme="minorHAnsi" w:hAnsiTheme="minorHAnsi"/>
        </w:rPr>
        <w:footnoteRef/>
      </w:r>
      <w:r w:rsidRPr="00001F3D">
        <w:rPr>
          <w:rFonts w:asciiTheme="minorHAnsi" w:hAnsiTheme="minorHAnsi"/>
        </w:rPr>
        <w:t xml:space="preserve"> </w:t>
      </w:r>
      <w:r w:rsidRPr="00001F3D">
        <w:rPr>
          <w:rStyle w:val="citationtext"/>
          <w:rFonts w:asciiTheme="minorHAnsi" w:hAnsiTheme="minorHAnsi" w:cs="Arial"/>
          <w:lang w:val="en"/>
        </w:rPr>
        <w:t>Heller, Tamar, Kelly Hsieh, and James H. Rimmer. "Attitudinal and Psychosocial Outcomes of a Fitness and Health Education Program on Adults With Down Syndrome."</w:t>
      </w:r>
    </w:p>
  </w:footnote>
  <w:footnote w:id="46">
    <w:p w:rsidR="001E72F7" w:rsidRPr="00196043" w:rsidRDefault="001E72F7" w:rsidP="00893821">
      <w:pPr>
        <w:pStyle w:val="FootnoteText"/>
        <w:rPr>
          <w:rFonts w:asciiTheme="minorHAnsi" w:hAnsiTheme="minorHAnsi"/>
        </w:rPr>
      </w:pPr>
      <w:r w:rsidRPr="00196043">
        <w:rPr>
          <w:rStyle w:val="FootnoteReference"/>
          <w:rFonts w:asciiTheme="minorHAnsi" w:hAnsiTheme="minorHAnsi"/>
        </w:rPr>
        <w:footnoteRef/>
      </w:r>
      <w:r w:rsidRPr="00196043">
        <w:rPr>
          <w:rFonts w:asciiTheme="minorHAnsi" w:hAnsiTheme="minorHAnsi"/>
        </w:rPr>
        <w:t xml:space="preserve"> </w:t>
      </w:r>
      <w:r w:rsidRPr="00196043">
        <w:rPr>
          <w:rStyle w:val="citationtext"/>
          <w:rFonts w:asciiTheme="minorHAnsi" w:hAnsiTheme="minorHAnsi" w:cs="Arial"/>
          <w:lang w:val="en"/>
        </w:rPr>
        <w:t>Heller, Tamar, Kelly Hsieh, and James H. Rimmer. "Attitudinal and Psychosocial Outcomes of a Fitness and Health Education Program on Adults With Down Syndrome."</w:t>
      </w:r>
    </w:p>
  </w:footnote>
  <w:footnote w:id="47">
    <w:p w:rsidR="001E72F7" w:rsidRDefault="001E72F7" w:rsidP="00893821">
      <w:pPr>
        <w:pStyle w:val="FootnoteText"/>
      </w:pPr>
      <w:r w:rsidRPr="00196043">
        <w:rPr>
          <w:rStyle w:val="FootnoteReference"/>
          <w:rFonts w:asciiTheme="minorHAnsi" w:hAnsiTheme="minorHAnsi"/>
        </w:rPr>
        <w:footnoteRef/>
      </w:r>
      <w:r w:rsidRPr="00196043">
        <w:rPr>
          <w:rFonts w:asciiTheme="minorHAnsi" w:hAnsiTheme="minorHAnsi"/>
        </w:rPr>
        <w:t xml:space="preserve"> </w:t>
      </w:r>
      <w:r w:rsidRPr="00196043">
        <w:rPr>
          <w:rStyle w:val="citationtext"/>
          <w:rFonts w:asciiTheme="minorHAnsi" w:hAnsiTheme="minorHAnsi" w:cs="Arial"/>
          <w:lang w:val="en"/>
        </w:rPr>
        <w:t>Heller, Tamar, Kelly Hsieh, and James H. Rimmer. "Attitudinal and Psychosocial Outcomes of a Fitness and Health Education Program on Adults With Down Syndrome."</w:t>
      </w:r>
    </w:p>
  </w:footnote>
  <w:footnote w:id="48">
    <w:p w:rsidR="001E72F7" w:rsidRPr="00C87C87" w:rsidRDefault="001E72F7" w:rsidP="00893821">
      <w:pPr>
        <w:pStyle w:val="FootnoteText"/>
      </w:pPr>
      <w:r>
        <w:rPr>
          <w:rStyle w:val="FootnoteReference"/>
        </w:rPr>
        <w:footnoteRef/>
      </w:r>
      <w:r>
        <w:t xml:space="preserve"> Ministry of Health and Long-Term Care. About the Ministry. </w:t>
      </w:r>
      <w:hyperlink r:id="rId12" w:history="1">
        <w:r w:rsidRPr="009523F1">
          <w:rPr>
            <w:rStyle w:val="Hyperlink"/>
          </w:rPr>
          <w:t>http://www.health.gov.on.ca/en/common/ministry/default.aspx</w:t>
        </w:r>
      </w:hyperlink>
      <w:r>
        <w:t xml:space="preserve"> </w:t>
      </w:r>
    </w:p>
  </w:footnote>
  <w:footnote w:id="49">
    <w:p w:rsidR="001E72F7" w:rsidRPr="00C87C87" w:rsidRDefault="001E72F7" w:rsidP="00893821">
      <w:pPr>
        <w:pStyle w:val="FootnoteText"/>
      </w:pPr>
      <w:r>
        <w:rPr>
          <w:rStyle w:val="FootnoteReference"/>
        </w:rPr>
        <w:footnoteRef/>
      </w:r>
      <w:r>
        <w:t xml:space="preserve"> Government of Ontario. People with disabilities. </w:t>
      </w:r>
      <w:hyperlink r:id="rId13" w:history="1">
        <w:r w:rsidRPr="009523F1">
          <w:rPr>
            <w:rStyle w:val="Hyperlink"/>
          </w:rPr>
          <w:t>http://www.ontario.ca/home-and-community/people-disabilities</w:t>
        </w:r>
      </w:hyperlink>
      <w:r>
        <w:t xml:space="preserve"> </w:t>
      </w:r>
    </w:p>
  </w:footnote>
  <w:footnote w:id="50">
    <w:p w:rsidR="001E72F7" w:rsidRPr="006D102E" w:rsidRDefault="001E72F7" w:rsidP="00893821">
      <w:pPr>
        <w:pStyle w:val="FootnoteText"/>
      </w:pPr>
      <w:r>
        <w:rPr>
          <w:rStyle w:val="FootnoteReference"/>
        </w:rPr>
        <w:footnoteRef/>
      </w:r>
      <w:r>
        <w:t xml:space="preserve"> </w:t>
      </w:r>
      <w:hyperlink r:id="rId14" w:history="1">
        <w:r w:rsidRPr="00CE2003">
          <w:rPr>
            <w:rStyle w:val="Hyperlink"/>
          </w:rPr>
          <w:t>http://www.ohrc.on.ca/en/policy-preventing-discrimination-based-mental-health-disabilities-and-addictions/16-consent-and-capacity</w:t>
        </w:r>
      </w:hyperlink>
      <w:r>
        <w:t xml:space="preserve"> </w:t>
      </w:r>
    </w:p>
  </w:footnote>
  <w:footnote w:id="51">
    <w:p w:rsidR="001E72F7" w:rsidRPr="00A769EE" w:rsidRDefault="001E72F7" w:rsidP="00893821">
      <w:pPr>
        <w:pStyle w:val="FootnoteText"/>
      </w:pPr>
      <w:r>
        <w:rPr>
          <w:rStyle w:val="FootnoteReference"/>
        </w:rPr>
        <w:footnoteRef/>
      </w:r>
      <w:r>
        <w:t xml:space="preserve"> </w:t>
      </w:r>
      <w:hyperlink r:id="rId15" w:history="1">
        <w:r w:rsidRPr="00CE2003">
          <w:rPr>
            <w:rStyle w:val="Hyperlink"/>
          </w:rPr>
          <w:t>http://www.dsa.org.au/Documents/CP15%20Standard%204%28NSW Cwlth%29%20Privacy,%20Dignity%20and%20Confidentiality.pdf</w:t>
        </w:r>
      </w:hyperlink>
      <w:r>
        <w:t xml:space="preserve"> </w:t>
      </w:r>
    </w:p>
  </w:footnote>
  <w:footnote w:id="52">
    <w:p w:rsidR="001E72F7" w:rsidRPr="00FF11A3" w:rsidRDefault="001E72F7" w:rsidP="00893821">
      <w:pPr>
        <w:pStyle w:val="FootnoteText"/>
      </w:pPr>
      <w:r>
        <w:rPr>
          <w:rStyle w:val="FootnoteReference"/>
        </w:rPr>
        <w:footnoteRef/>
      </w:r>
      <w:r>
        <w:t xml:space="preserve"> </w:t>
      </w:r>
      <w:hyperlink r:id="rId16" w:anchor="Health%20Status" w:history="1">
        <w:r w:rsidRPr="00CE2003">
          <w:rPr>
            <w:rStyle w:val="Hyperlink"/>
          </w:rPr>
          <w:t>http://www.ncd.gov/publications/2009/Sept302009#Health%20Status</w:t>
        </w:r>
      </w:hyperlink>
      <w:r>
        <w:t xml:space="preserve"> </w:t>
      </w:r>
    </w:p>
  </w:footnote>
  <w:footnote w:id="53">
    <w:p w:rsidR="001E72F7" w:rsidRPr="00132D68" w:rsidRDefault="001E72F7" w:rsidP="00893821">
      <w:pPr>
        <w:pStyle w:val="FootnoteText"/>
      </w:pPr>
      <w:r>
        <w:rPr>
          <w:rStyle w:val="FootnoteReference"/>
        </w:rPr>
        <w:footnoteRef/>
      </w:r>
      <w:r>
        <w:t xml:space="preserve"> </w:t>
      </w:r>
      <w:hyperlink r:id="rId17" w:anchor="Health%20Status" w:history="1">
        <w:r w:rsidRPr="00E90492">
          <w:rPr>
            <w:color w:val="8E258D"/>
            <w:u w:val="single"/>
          </w:rPr>
          <w:t>http://www.ncd.gov/publications/2009/Sept302009#Health%20Status</w:t>
        </w:r>
      </w:hyperlink>
    </w:p>
  </w:footnote>
  <w:footnote w:id="54">
    <w:p w:rsidR="001E72F7" w:rsidRPr="007C7F48" w:rsidRDefault="001E72F7" w:rsidP="00893821">
      <w:pPr>
        <w:rPr>
          <w:iCs/>
          <w:sz w:val="16"/>
          <w:szCs w:val="16"/>
        </w:rPr>
      </w:pPr>
      <w:r w:rsidRPr="007C7F48">
        <w:rPr>
          <w:rStyle w:val="FootnoteReference"/>
          <w:szCs w:val="16"/>
        </w:rPr>
        <w:footnoteRef/>
      </w:r>
      <w:r w:rsidRPr="007C7F48">
        <w:rPr>
          <w:sz w:val="16"/>
          <w:szCs w:val="16"/>
        </w:rPr>
        <w:t xml:space="preserve"> Steinstra, Deborah and Gucciardi Enza. “Disabilities.”  </w:t>
      </w:r>
      <w:r w:rsidRPr="007C7F48">
        <w:rPr>
          <w:i/>
          <w:sz w:val="16"/>
          <w:szCs w:val="16"/>
        </w:rPr>
        <w:t>Ontario Women’s Health Status Report.</w:t>
      </w:r>
      <w:r w:rsidRPr="007C7F48">
        <w:rPr>
          <w:iCs/>
          <w:sz w:val="16"/>
          <w:szCs w:val="16"/>
        </w:rPr>
        <w:t xml:space="preserve"> Ontario: Ontario Women’s Health Council, 2002. 146 - 161.</w:t>
      </w:r>
    </w:p>
  </w:footnote>
  <w:footnote w:id="55">
    <w:p w:rsidR="001E72F7" w:rsidRPr="00DF57A9" w:rsidRDefault="001E72F7" w:rsidP="00893821">
      <w:pPr>
        <w:pStyle w:val="FootnoteText"/>
        <w:rPr>
          <w:color w:val="8E258D"/>
          <w:u w:val="single"/>
        </w:rPr>
      </w:pPr>
      <w:r>
        <w:rPr>
          <w:rStyle w:val="FootnoteReference"/>
        </w:rPr>
        <w:footnoteRef/>
      </w:r>
      <w:r>
        <w:t xml:space="preserve"> </w:t>
      </w:r>
      <w:hyperlink r:id="rId18" w:anchor="Health%20Statusn" w:history="1">
        <w:r w:rsidRPr="00CE2003">
          <w:rPr>
            <w:rStyle w:val="Hyperlink"/>
          </w:rPr>
          <w:t>http://www.ncd.gov/publications/2009/Sept302009#Health%20Status</w:t>
        </w:r>
      </w:hyperlink>
      <w:r>
        <w:t xml:space="preserve"> and </w:t>
      </w:r>
      <w:hyperlink r:id="rId19" w:history="1">
        <w:r w:rsidRPr="00CE2003">
          <w:rPr>
            <w:rStyle w:val="Hyperlink"/>
          </w:rPr>
          <w:t>http://dredf.org/wp-content/uploads/2012/10/it-takes-more-than-ramps.pdf</w:t>
        </w:r>
      </w:hyperlink>
      <w:r>
        <w:t xml:space="preserve"> </w:t>
      </w:r>
    </w:p>
  </w:footnote>
  <w:footnote w:id="56">
    <w:p w:rsidR="001E72F7" w:rsidRPr="00D5634C" w:rsidRDefault="001E72F7" w:rsidP="00893821">
      <w:pPr>
        <w:pStyle w:val="FootnoteText"/>
      </w:pPr>
      <w:r>
        <w:rPr>
          <w:rStyle w:val="FootnoteReference"/>
        </w:rPr>
        <w:footnoteRef/>
      </w:r>
      <w:r>
        <w:t xml:space="preserve"> National Disability Authority. </w:t>
      </w:r>
      <w:r w:rsidRPr="00D5634C">
        <w:t>Review of literature and guidelines on accessibility in healthcare that underpin the National Guidelines on Accessible Primary, Community and Hospital Services</w:t>
      </w:r>
      <w:r>
        <w:t>. July 2012.</w:t>
      </w:r>
    </w:p>
  </w:footnote>
  <w:footnote w:id="57">
    <w:p w:rsidR="001E72F7" w:rsidRPr="005E74F9" w:rsidRDefault="001E72F7" w:rsidP="00893821">
      <w:pPr>
        <w:pStyle w:val="FootnoteText"/>
      </w:pPr>
      <w:r>
        <w:rPr>
          <w:rStyle w:val="FootnoteReference"/>
        </w:rPr>
        <w:footnoteRef/>
      </w:r>
      <w:r>
        <w:t xml:space="preserve"> NHS Wales. All Wales Standards for Accessible Communication and Information for People with Sensory Loss. July 2013.</w:t>
      </w:r>
    </w:p>
  </w:footnote>
  <w:footnote w:id="58">
    <w:p w:rsidR="001E72F7" w:rsidRPr="00A05567" w:rsidRDefault="001E72F7" w:rsidP="00893821">
      <w:pPr>
        <w:pStyle w:val="FootnoteText"/>
        <w:rPr>
          <w:lang w:val="en-US"/>
        </w:rPr>
      </w:pPr>
      <w:r>
        <w:rPr>
          <w:rStyle w:val="FootnoteReference"/>
        </w:rPr>
        <w:footnoteRef/>
      </w:r>
      <w:r>
        <w:t xml:space="preserve"> </w:t>
      </w:r>
      <w:r w:rsidRPr="00A05567">
        <w:rPr>
          <w:szCs w:val="16"/>
        </w:rPr>
        <w:t>Transport for All</w:t>
      </w:r>
      <w:r>
        <w:rPr>
          <w:szCs w:val="16"/>
        </w:rPr>
        <w:t>.</w:t>
      </w:r>
      <w:r w:rsidRPr="00A05567">
        <w:rPr>
          <w:szCs w:val="16"/>
        </w:rPr>
        <w:t xml:space="preserve"> </w:t>
      </w:r>
      <w:r>
        <w:rPr>
          <w:szCs w:val="16"/>
        </w:rPr>
        <w:t xml:space="preserve">Sick of Waiting: A Report on Patient Transport in London. October 2014. </w:t>
      </w:r>
      <w:hyperlink r:id="rId20" w:history="1">
        <w:r w:rsidRPr="00954A6F">
          <w:rPr>
            <w:rStyle w:val="Hyperlink"/>
          </w:rPr>
          <w:t>http://www.transportforall.org.uk/files/sickofwaitingreportaccessibleversion.doc</w:t>
        </w:r>
      </w:hyperlink>
    </w:p>
  </w:footnote>
  <w:footnote w:id="59">
    <w:p w:rsidR="001E72F7" w:rsidRPr="00692A6F" w:rsidRDefault="001E72F7" w:rsidP="00893821">
      <w:pPr>
        <w:pStyle w:val="FootnoteText"/>
        <w:rPr>
          <w:lang w:val="en-US"/>
        </w:rPr>
      </w:pPr>
      <w:r>
        <w:rPr>
          <w:rStyle w:val="FootnoteReference"/>
        </w:rPr>
        <w:footnoteRef/>
      </w:r>
      <w:r>
        <w:t xml:space="preserve"> Medicaid Transportation Services. </w:t>
      </w:r>
      <w:hyperlink r:id="rId21" w:history="1">
        <w:r w:rsidRPr="00C4746F">
          <w:rPr>
            <w:rStyle w:val="Hyperlink"/>
          </w:rPr>
          <w:t>http://healthconsumer.org/cs026MedicaidTransport.pdf</w:t>
        </w:r>
      </w:hyperlink>
      <w:r>
        <w:t xml:space="preserve"> </w:t>
      </w:r>
    </w:p>
  </w:footnote>
  <w:footnote w:id="60">
    <w:p w:rsidR="001E72F7" w:rsidRPr="00692A6F" w:rsidRDefault="001E72F7" w:rsidP="00893821">
      <w:pPr>
        <w:pStyle w:val="FootnoteText"/>
        <w:rPr>
          <w:lang w:val="en-US"/>
        </w:rPr>
      </w:pPr>
      <w:r>
        <w:rPr>
          <w:rStyle w:val="FootnoteReference"/>
        </w:rPr>
        <w:footnoteRef/>
      </w:r>
      <w:r>
        <w:t xml:space="preserve"> Medicaid Transportation Services. </w:t>
      </w:r>
      <w:hyperlink r:id="rId22" w:history="1">
        <w:r w:rsidRPr="00C4746F">
          <w:rPr>
            <w:rStyle w:val="Hyperlink"/>
          </w:rPr>
          <w:t>http://healthconsumer.org/cs026MedicaidTransport.pdf</w:t>
        </w:r>
      </w:hyperlink>
      <w:r>
        <w:t xml:space="preserve"> </w:t>
      </w:r>
    </w:p>
  </w:footnote>
  <w:footnote w:id="61">
    <w:p w:rsidR="001E72F7" w:rsidRPr="00692A6F" w:rsidRDefault="001E72F7" w:rsidP="00893821">
      <w:pPr>
        <w:pStyle w:val="FootnoteText"/>
        <w:rPr>
          <w:lang w:val="en-US"/>
        </w:rPr>
      </w:pPr>
      <w:r>
        <w:rPr>
          <w:rStyle w:val="FootnoteReference"/>
        </w:rPr>
        <w:footnoteRef/>
      </w:r>
      <w:r>
        <w:t xml:space="preserve"> Medicaid Transportation Services. </w:t>
      </w:r>
      <w:hyperlink r:id="rId23" w:history="1">
        <w:r w:rsidRPr="00C4746F">
          <w:rPr>
            <w:rStyle w:val="Hyperlink"/>
          </w:rPr>
          <w:t>http://healthconsumer.org/cs026MedicaidTransport.pdf</w:t>
        </w:r>
      </w:hyperlink>
      <w:r>
        <w:t xml:space="preserve"> </w:t>
      </w:r>
    </w:p>
  </w:footnote>
  <w:footnote w:id="62">
    <w:p w:rsidR="001E72F7" w:rsidRPr="00C4240F" w:rsidRDefault="001E72F7" w:rsidP="00893821">
      <w:pPr>
        <w:pStyle w:val="FootnoteText"/>
      </w:pPr>
      <w:r>
        <w:rPr>
          <w:rStyle w:val="FootnoteReference"/>
        </w:rPr>
        <w:footnoteRef/>
      </w:r>
      <w:r>
        <w:t xml:space="preserve"> United States Access Board. </w:t>
      </w:r>
      <w:hyperlink r:id="rId24" w:anchor="best" w:history="1">
        <w:r w:rsidRPr="00C4746F">
          <w:rPr>
            <w:rStyle w:val="Hyperlink"/>
          </w:rPr>
          <w:t>http://www.access-board.gov/guidelines-and-standards/health-care/about-prescription-drug-container-labels/working-group-recommendations#best</w:t>
        </w:r>
      </w:hyperlink>
      <w:r>
        <w:t xml:space="preserve"> </w:t>
      </w:r>
    </w:p>
  </w:footnote>
  <w:footnote w:id="63">
    <w:p w:rsidR="001E72F7" w:rsidRPr="00220729" w:rsidRDefault="001E72F7" w:rsidP="00893821">
      <w:pPr>
        <w:pStyle w:val="FootnoteText"/>
        <w:rPr>
          <w:lang w:val="en-US"/>
        </w:rPr>
      </w:pPr>
      <w:r>
        <w:rPr>
          <w:rStyle w:val="FootnoteReference"/>
        </w:rPr>
        <w:footnoteRef/>
      </w:r>
      <w:r>
        <w:t xml:space="preserve"> </w:t>
      </w:r>
      <w:hyperlink r:id="rId25" w:history="1">
        <w:r w:rsidRPr="00055417">
          <w:rPr>
            <w:rStyle w:val="Hyperlink"/>
          </w:rPr>
          <w:t>http://www.ccdonline.ca/en/international/un/canada/crpd-first-report</w:t>
        </w:r>
      </w:hyperlink>
      <w:r>
        <w:t xml:space="preserve"> </w:t>
      </w:r>
    </w:p>
  </w:footnote>
  <w:footnote w:id="64">
    <w:p w:rsidR="001E72F7" w:rsidRPr="009B75D6" w:rsidRDefault="001E72F7" w:rsidP="00893821">
      <w:pPr>
        <w:pStyle w:val="FootnoteText"/>
      </w:pPr>
      <w:r>
        <w:rPr>
          <w:rStyle w:val="FootnoteReference"/>
        </w:rPr>
        <w:footnoteRef/>
      </w:r>
      <w:r>
        <w:t xml:space="preserve"> </w:t>
      </w:r>
      <w:hyperlink r:id="rId26" w:anchor="sec-part1" w:history="1">
        <w:r w:rsidRPr="009B75D6">
          <w:rPr>
            <w:color w:val="8E258D"/>
            <w:u w:val="single"/>
            <w:lang w:val="en-US"/>
          </w:rPr>
          <w:t>http://www.ccdonline.ca/en/international/un/canada/crpd-first-report#sec-part1</w:t>
        </w:r>
      </w:hyperlink>
    </w:p>
  </w:footnote>
  <w:footnote w:id="65">
    <w:p w:rsidR="001E72F7" w:rsidRPr="006C5C5B" w:rsidRDefault="001E72F7" w:rsidP="00893821">
      <w:pPr>
        <w:pStyle w:val="FootnoteText"/>
        <w:rPr>
          <w:szCs w:val="16"/>
          <w:lang w:val="en-US"/>
        </w:rPr>
      </w:pPr>
      <w:r w:rsidRPr="006C5C5B">
        <w:rPr>
          <w:rStyle w:val="FootnoteReference"/>
          <w:szCs w:val="16"/>
        </w:rPr>
        <w:footnoteRef/>
      </w:r>
      <w:r w:rsidRPr="006C5C5B">
        <w:rPr>
          <w:szCs w:val="16"/>
        </w:rPr>
        <w:t xml:space="preserve"> </w:t>
      </w:r>
      <w:hyperlink r:id="rId27" w:history="1">
        <w:r w:rsidRPr="009523F1">
          <w:rPr>
            <w:rStyle w:val="Hyperlink"/>
          </w:rPr>
          <w:t>http://www.google.co.in/url?sa=t&amp;rct=j&amp;q=&amp;esrc=s&amp;source=web&amp;cd=2&amp;ved=0CCUQFjAB&amp;url=http%3A%2F%2Ftb internet.ohchr.org%2FTreaties%2FCRPD%2FShared%2520Documents%2FCAN%2FCRPD_C_CAN_1_6941_E.doc&amp;ei=LWceVZzEKdeLuASS9oHoBg&amp;usg=AFQjCNFJEAVIGyOMQ741H54NsbP2dB-mxA&amp;bvm=bv.89947451,d.c2E&amp;cad=rja</w:t>
        </w:r>
      </w:hyperlink>
      <w:r w:rsidRPr="006C5C5B">
        <w:rPr>
          <w:rStyle w:val="Hyperlink"/>
        </w:rPr>
        <w:t xml:space="preserve"> </w:t>
      </w:r>
    </w:p>
  </w:footnote>
  <w:footnote w:id="66">
    <w:p w:rsidR="001E72F7" w:rsidRPr="006C5C5B" w:rsidRDefault="001E72F7" w:rsidP="00893821">
      <w:pPr>
        <w:pStyle w:val="FootnoteText"/>
        <w:rPr>
          <w:szCs w:val="16"/>
          <w:lang w:val="en-US"/>
        </w:rPr>
      </w:pPr>
      <w:r w:rsidRPr="006C5C5B">
        <w:rPr>
          <w:rStyle w:val="FootnoteReference"/>
          <w:szCs w:val="16"/>
        </w:rPr>
        <w:footnoteRef/>
      </w:r>
      <w:hyperlink r:id="rId28" w:history="1">
        <w:r w:rsidRPr="006C5C5B">
          <w:rPr>
            <w:rStyle w:val="Hyperlink"/>
          </w:rPr>
          <w:t>http://www.taxdetective.ca/articles/article/1482041/20629.htm</w:t>
        </w:r>
      </w:hyperlink>
      <w:r w:rsidRPr="006C5C5B">
        <w:rPr>
          <w:szCs w:val="16"/>
        </w:rPr>
        <w:t xml:space="preserve">, </w:t>
      </w:r>
      <w:hyperlink r:id="rId29" w:history="1">
        <w:r w:rsidRPr="006C5C5B">
          <w:rPr>
            <w:rStyle w:val="Hyperlink"/>
          </w:rPr>
          <w:t>http://www.taxtips.ca/filing/eligiblemedicalexpenses.htm</w:t>
        </w:r>
      </w:hyperlink>
      <w:r w:rsidRPr="006C5C5B">
        <w:rPr>
          <w:szCs w:val="16"/>
        </w:rPr>
        <w:t xml:space="preserve"> </w:t>
      </w:r>
    </w:p>
  </w:footnote>
  <w:footnote w:id="67">
    <w:p w:rsidR="001E72F7" w:rsidRPr="00DD7740" w:rsidRDefault="001E72F7" w:rsidP="00893821">
      <w:pPr>
        <w:pStyle w:val="FootnoteText"/>
        <w:rPr>
          <w:lang w:val="en-US"/>
        </w:rPr>
      </w:pPr>
      <w:r w:rsidRPr="006C5C5B">
        <w:rPr>
          <w:rStyle w:val="FootnoteReference"/>
          <w:szCs w:val="16"/>
        </w:rPr>
        <w:footnoteRef/>
      </w:r>
      <w:hyperlink r:id="rId30" w:history="1">
        <w:r w:rsidRPr="006C5C5B">
          <w:rPr>
            <w:rStyle w:val="Hyperlink"/>
          </w:rPr>
          <w:t>http://www.safetyauthority.ca/sites/default/files/elevating_devices_safety_regulation_-_notification_of_amendment_ib-ed_2013-02_.pdf</w:t>
        </w:r>
      </w:hyperlink>
      <w:r w:rsidRPr="006C5C5B">
        <w:rPr>
          <w:szCs w:val="16"/>
        </w:rPr>
        <w:t xml:space="preserve">, and </w:t>
      </w:r>
      <w:hyperlink r:id="rId31" w:history="1">
        <w:r w:rsidRPr="006C5C5B">
          <w:rPr>
            <w:rStyle w:val="Hyperlink"/>
          </w:rPr>
          <w:t>http://blog.disabilityalliancebc.org/?p=1585</w:t>
        </w:r>
      </w:hyperlink>
    </w:p>
  </w:footnote>
  <w:footnote w:id="68">
    <w:p w:rsidR="001E72F7" w:rsidRPr="00753EF3" w:rsidRDefault="001E72F7" w:rsidP="00893821">
      <w:pPr>
        <w:pStyle w:val="FootnoteText"/>
        <w:rPr>
          <w:lang w:val="en-US"/>
        </w:rPr>
      </w:pPr>
      <w:r>
        <w:rPr>
          <w:rStyle w:val="FootnoteReference"/>
        </w:rPr>
        <w:footnoteRef/>
      </w:r>
      <w:r>
        <w:t xml:space="preserve"> </w:t>
      </w:r>
      <w:hyperlink r:id="rId32" w:history="1">
        <w:r w:rsidRPr="00055417">
          <w:rPr>
            <w:rStyle w:val="Hyperlink"/>
          </w:rPr>
          <w:t>http://www.hc-sc.gc.ca/hcs-sss/medi-assur/cha-lcs/index-eng.php</w:t>
        </w:r>
      </w:hyperlink>
      <w:r>
        <w:t xml:space="preserve"> </w:t>
      </w:r>
    </w:p>
  </w:footnote>
  <w:footnote w:id="69">
    <w:p w:rsidR="001E72F7" w:rsidRPr="003703CF" w:rsidRDefault="001E72F7" w:rsidP="00893821">
      <w:pPr>
        <w:pStyle w:val="FootnoteText"/>
        <w:rPr>
          <w:lang w:val="en-US"/>
        </w:rPr>
      </w:pPr>
      <w:r>
        <w:rPr>
          <w:rStyle w:val="FootnoteReference"/>
        </w:rPr>
        <w:footnoteRef/>
      </w:r>
      <w:r>
        <w:t xml:space="preserve"> </w:t>
      </w:r>
      <w:hyperlink r:id="rId33" w:history="1">
        <w:r w:rsidRPr="00EC1A8F">
          <w:rPr>
            <w:rStyle w:val="Hyperlink"/>
          </w:rPr>
          <w:t>http://www.disabled-world.com/medical/healthcare/canada-medicare/</w:t>
        </w:r>
      </w:hyperlink>
    </w:p>
  </w:footnote>
  <w:footnote w:id="70">
    <w:p w:rsidR="001E72F7" w:rsidRPr="003703CF" w:rsidRDefault="001E72F7" w:rsidP="00893821">
      <w:pPr>
        <w:pStyle w:val="FootnoteText"/>
        <w:rPr>
          <w:lang w:val="en-US"/>
        </w:rPr>
      </w:pPr>
      <w:r>
        <w:rPr>
          <w:rStyle w:val="FootnoteReference"/>
        </w:rPr>
        <w:footnoteRef/>
      </w:r>
      <w:r>
        <w:t xml:space="preserve"> </w:t>
      </w:r>
      <w:hyperlink r:id="rId34" w:history="1">
        <w:r w:rsidRPr="00025D42">
          <w:rPr>
            <w:rStyle w:val="Hyperlink"/>
          </w:rPr>
          <w:t>http://www.hc-sc.gc.ca/hcs-sss/hhr-rhs/strateg/index-eng.php</w:t>
        </w:r>
      </w:hyperlink>
    </w:p>
  </w:footnote>
  <w:footnote w:id="71">
    <w:p w:rsidR="001E72F7" w:rsidRPr="003703CF" w:rsidRDefault="001E72F7" w:rsidP="00893821">
      <w:pPr>
        <w:pStyle w:val="FootnoteText"/>
        <w:rPr>
          <w:lang w:val="en-US"/>
        </w:rPr>
      </w:pPr>
      <w:r>
        <w:rPr>
          <w:rStyle w:val="FootnoteReference"/>
        </w:rPr>
        <w:footnoteRef/>
      </w:r>
      <w:r>
        <w:t xml:space="preserve"> </w:t>
      </w:r>
      <w:hyperlink r:id="rId35" w:history="1">
        <w:r w:rsidRPr="00025D42">
          <w:rPr>
            <w:rStyle w:val="Hyperlink"/>
          </w:rPr>
          <w:t>http://www.hc-sc.gc.ca/hcs-sss/finance/hcpcp-pcpss/index-eng.php</w:t>
        </w:r>
      </w:hyperlink>
    </w:p>
  </w:footnote>
  <w:footnote w:id="72">
    <w:p w:rsidR="001E72F7" w:rsidRPr="003E353E" w:rsidRDefault="001E72F7" w:rsidP="00893821">
      <w:pPr>
        <w:pStyle w:val="FootnoteText"/>
        <w:rPr>
          <w:szCs w:val="16"/>
          <w:lang w:val="en-US"/>
        </w:rPr>
      </w:pPr>
      <w:r w:rsidRPr="003E353E">
        <w:rPr>
          <w:rStyle w:val="FootnoteReference"/>
          <w:szCs w:val="16"/>
        </w:rPr>
        <w:footnoteRef/>
      </w:r>
      <w:r w:rsidRPr="003E353E">
        <w:rPr>
          <w:szCs w:val="16"/>
        </w:rPr>
        <w:t xml:space="preserve"> </w:t>
      </w:r>
      <w:hyperlink r:id="rId36" w:history="1">
        <w:r w:rsidRPr="003E353E">
          <w:rPr>
            <w:rStyle w:val="Hyperlink"/>
          </w:rPr>
          <w:t>http://www.veterans.gc.ca/eng/services/after-injury/disability-benefits</w:t>
        </w:r>
      </w:hyperlink>
      <w:r w:rsidRPr="003E353E">
        <w:rPr>
          <w:rStyle w:val="Hyperlink"/>
        </w:rPr>
        <w:t xml:space="preserve"> </w:t>
      </w:r>
    </w:p>
  </w:footnote>
  <w:footnote w:id="73">
    <w:p w:rsidR="001E72F7" w:rsidRPr="007A070D" w:rsidRDefault="001E72F7" w:rsidP="00893821">
      <w:pPr>
        <w:pStyle w:val="FootnoteText"/>
        <w:rPr>
          <w:lang w:val="en-US"/>
        </w:rPr>
      </w:pPr>
      <w:r w:rsidRPr="007A070D">
        <w:rPr>
          <w:rStyle w:val="FootnoteReference"/>
          <w:sz w:val="12"/>
        </w:rPr>
        <w:footnoteRef/>
      </w:r>
      <w:r w:rsidRPr="007A070D">
        <w:rPr>
          <w:sz w:val="12"/>
        </w:rPr>
        <w:t xml:space="preserve"> </w:t>
      </w:r>
      <w:hyperlink r:id="rId37" w:history="1">
        <w:r w:rsidRPr="007A070D">
          <w:rPr>
            <w:rStyle w:val="Hyperlink"/>
            <w:lang w:val="en-US"/>
          </w:rPr>
          <w:t>http://www.cmhc-schl.gc.ca/odpub/pdf/60967.pdf?fr=1421178129190</w:t>
        </w:r>
      </w:hyperlink>
      <w:r w:rsidRPr="007A070D">
        <w:rPr>
          <w:rStyle w:val="Hyperlink"/>
          <w:lang w:val="en-US"/>
        </w:rPr>
        <w:t xml:space="preserve"> </w:t>
      </w:r>
    </w:p>
  </w:footnote>
  <w:footnote w:id="74">
    <w:p w:rsidR="001E72F7" w:rsidRPr="003E353E" w:rsidRDefault="001E72F7" w:rsidP="00893821">
      <w:pPr>
        <w:pStyle w:val="FootnoteText"/>
        <w:rPr>
          <w:szCs w:val="16"/>
          <w:u w:val="single"/>
        </w:rPr>
      </w:pPr>
      <w:r w:rsidRPr="003E353E">
        <w:rPr>
          <w:rStyle w:val="FootnoteReference"/>
          <w:szCs w:val="16"/>
        </w:rPr>
        <w:footnoteRef/>
      </w:r>
      <w:r w:rsidRPr="003E353E">
        <w:rPr>
          <w:szCs w:val="16"/>
        </w:rPr>
        <w:t xml:space="preserve"> </w:t>
      </w:r>
      <w:hyperlink r:id="rId38" w:history="1">
        <w:r w:rsidRPr="00D90D2B">
          <w:rPr>
            <w:rStyle w:val="Hyperlink"/>
          </w:rPr>
          <w:t>https://secure.cambrianc.on.ca/acadnet/User_content%5CAccessibility%5CAccessibility%20Planning%20Working %20Group%5 CCSA%20Barrier%20Free%20Design.pdf</w:t>
        </w:r>
      </w:hyperlink>
    </w:p>
  </w:footnote>
  <w:footnote w:id="75">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39" w:history="1">
        <w:r w:rsidRPr="003E353E">
          <w:rPr>
            <w:rStyle w:val="Hyperlink"/>
          </w:rPr>
          <w:t>http://www.torstamp.com/References/REF-115.pdf</w:t>
        </w:r>
      </w:hyperlink>
      <w:r w:rsidRPr="003E353E">
        <w:rPr>
          <w:szCs w:val="16"/>
        </w:rPr>
        <w:t xml:space="preserve"> </w:t>
      </w:r>
    </w:p>
  </w:footnote>
  <w:footnote w:id="76">
    <w:p w:rsidR="001E72F7" w:rsidRPr="003477D9" w:rsidRDefault="001E72F7" w:rsidP="00893821">
      <w:pPr>
        <w:pStyle w:val="FootnoteText"/>
        <w:rPr>
          <w:lang w:val="en-US"/>
        </w:rPr>
      </w:pPr>
      <w:r>
        <w:rPr>
          <w:rStyle w:val="FootnoteReference"/>
        </w:rPr>
        <w:footnoteRef/>
      </w:r>
      <w:r>
        <w:t xml:space="preserve"> </w:t>
      </w:r>
      <w:hyperlink r:id="rId40" w:history="1">
        <w:r w:rsidRPr="009A4ABE">
          <w:rPr>
            <w:rStyle w:val="Hyperlink"/>
          </w:rPr>
          <w:t>http://www.aadnc-aandc.gc.ca/eng/1100100035250/1100100035251</w:t>
        </w:r>
      </w:hyperlink>
      <w:r>
        <w:t xml:space="preserve"> </w:t>
      </w:r>
    </w:p>
  </w:footnote>
  <w:footnote w:id="77">
    <w:p w:rsidR="001E72F7" w:rsidRPr="005450E8" w:rsidRDefault="001E72F7" w:rsidP="00893821">
      <w:pPr>
        <w:pStyle w:val="FootnoteText"/>
        <w:rPr>
          <w:lang w:val="en-US"/>
        </w:rPr>
      </w:pPr>
      <w:r>
        <w:rPr>
          <w:rStyle w:val="FootnoteReference"/>
        </w:rPr>
        <w:footnoteRef/>
      </w:r>
      <w:r>
        <w:t xml:space="preserve"> </w:t>
      </w:r>
      <w:hyperlink r:id="rId41" w:history="1">
        <w:r w:rsidRPr="005450E8">
          <w:rPr>
            <w:rStyle w:val="Hyperlink"/>
          </w:rPr>
          <w:t>http://www.housing.gov.bc.ca/pub/building_access_handbook_2007.pdf</w:t>
        </w:r>
      </w:hyperlink>
    </w:p>
  </w:footnote>
  <w:footnote w:id="78">
    <w:p w:rsidR="001E72F7" w:rsidRPr="00F439C3" w:rsidRDefault="001E72F7" w:rsidP="00893821">
      <w:pPr>
        <w:pStyle w:val="FootnoteText"/>
        <w:rPr>
          <w:lang w:val="en-US"/>
        </w:rPr>
      </w:pPr>
      <w:r>
        <w:rPr>
          <w:rStyle w:val="FootnoteReference"/>
        </w:rPr>
        <w:footnoteRef/>
      </w:r>
      <w:r>
        <w:t xml:space="preserve"> </w:t>
      </w:r>
      <w:hyperlink r:id="rId42" w:history="1">
        <w:r w:rsidRPr="00055417">
          <w:rPr>
            <w:rStyle w:val="Hyperlink"/>
          </w:rPr>
          <w:t>http://www.ccdonline.ca/en/international/un/canada/crpd-first-report</w:t>
        </w:r>
      </w:hyperlink>
      <w:r>
        <w:t xml:space="preserve"> </w:t>
      </w:r>
    </w:p>
  </w:footnote>
  <w:footnote w:id="79">
    <w:p w:rsidR="001E72F7" w:rsidRPr="00F439C3" w:rsidRDefault="001E72F7" w:rsidP="00893821">
      <w:pPr>
        <w:pStyle w:val="FootnoteText"/>
        <w:rPr>
          <w:lang w:val="en-US"/>
        </w:rPr>
      </w:pPr>
      <w:r>
        <w:rPr>
          <w:rStyle w:val="FootnoteReference"/>
        </w:rPr>
        <w:footnoteRef/>
      </w:r>
      <w:r>
        <w:t xml:space="preserve"> </w:t>
      </w:r>
      <w:hyperlink r:id="rId43" w:history="1">
        <w:r w:rsidRPr="00F439C3">
          <w:rPr>
            <w:rStyle w:val="Hyperlink"/>
          </w:rPr>
          <w:t>http://blog.disabilityalliancebc.org/?p=2456</w:t>
        </w:r>
      </w:hyperlink>
      <w:r w:rsidRPr="00F439C3">
        <w:rPr>
          <w:rStyle w:val="Hyperlink"/>
        </w:rPr>
        <w:t xml:space="preserve"> </w:t>
      </w:r>
    </w:p>
  </w:footnote>
  <w:footnote w:id="80">
    <w:p w:rsidR="001E72F7" w:rsidRPr="00F439C3" w:rsidRDefault="001E72F7" w:rsidP="00893821">
      <w:pPr>
        <w:pStyle w:val="FootnoteText"/>
        <w:rPr>
          <w:lang w:val="en-US"/>
        </w:rPr>
      </w:pPr>
      <w:r>
        <w:rPr>
          <w:rStyle w:val="FootnoteReference"/>
        </w:rPr>
        <w:footnoteRef/>
      </w:r>
      <w:r>
        <w:t xml:space="preserve"> </w:t>
      </w:r>
      <w:r w:rsidRPr="003E353E">
        <w:rPr>
          <w:color w:val="8E258D"/>
          <w:u w:val="single"/>
          <w:lang w:val="en-US"/>
        </w:rPr>
        <w:t>http://www2.gov.bc.ca/gov/topic.page?id=BB78DA14808F4A1398243C308C1D25F1</w:t>
      </w:r>
      <w:r w:rsidRPr="003E353E">
        <w:rPr>
          <w:lang w:val="en-US"/>
        </w:rPr>
        <w:t xml:space="preserve"> </w:t>
      </w:r>
      <w:r>
        <w:rPr>
          <w:lang w:val="en-US"/>
        </w:rPr>
        <w:t xml:space="preserve">, </w:t>
      </w:r>
      <w:hyperlink r:id="rId44" w:history="1">
        <w:r w:rsidRPr="00055417">
          <w:rPr>
            <w:rStyle w:val="Hyperlink"/>
          </w:rPr>
          <w:t>http://www2.gov.bc.ca/gov/DownloadAsset?assetId=4E4879D2986E4E8CB3F6F757F59978D5&amp;filename=accessibility2024_update_web.pdf</w:t>
        </w:r>
      </w:hyperlink>
      <w:r>
        <w:t xml:space="preserve"> </w:t>
      </w:r>
    </w:p>
  </w:footnote>
  <w:footnote w:id="81">
    <w:p w:rsidR="001E72F7" w:rsidRPr="00F86A99" w:rsidRDefault="001E72F7" w:rsidP="00893821">
      <w:pPr>
        <w:rPr>
          <w:sz w:val="16"/>
          <w:szCs w:val="16"/>
        </w:rPr>
      </w:pPr>
      <w:r w:rsidRPr="00F86A99">
        <w:rPr>
          <w:rStyle w:val="FootnoteReference"/>
          <w:szCs w:val="16"/>
        </w:rPr>
        <w:footnoteRef/>
      </w:r>
      <w:r w:rsidRPr="00F86A99">
        <w:rPr>
          <w:sz w:val="16"/>
          <w:szCs w:val="16"/>
        </w:rPr>
        <w:t xml:space="preserve"> </w:t>
      </w:r>
      <w:hyperlink r:id="rId45" w:history="1">
        <w:r w:rsidRPr="00F86A99">
          <w:rPr>
            <w:color w:val="8E258D"/>
            <w:sz w:val="16"/>
            <w:szCs w:val="16"/>
            <w:u w:val="single"/>
          </w:rPr>
          <w:t>http://www2.gov.bc.ca/gov/topic.page?id=BB78DA14808F4A1398243C308C1D25F1</w:t>
        </w:r>
      </w:hyperlink>
      <w:r w:rsidRPr="00F86A99">
        <w:rPr>
          <w:sz w:val="16"/>
          <w:szCs w:val="16"/>
        </w:rPr>
        <w:t xml:space="preserve"> </w:t>
      </w:r>
    </w:p>
  </w:footnote>
  <w:footnote w:id="82">
    <w:p w:rsidR="001E72F7" w:rsidRPr="001C723B" w:rsidRDefault="001E72F7" w:rsidP="00893821">
      <w:pPr>
        <w:pStyle w:val="FootnoteText"/>
        <w:rPr>
          <w:lang w:val="en-US"/>
        </w:rPr>
      </w:pPr>
      <w:r>
        <w:rPr>
          <w:rStyle w:val="FootnoteReference"/>
        </w:rPr>
        <w:footnoteRef/>
      </w:r>
      <w:r>
        <w:t xml:space="preserve"> </w:t>
      </w:r>
      <w:hyperlink r:id="rId46" w:history="1">
        <w:r w:rsidRPr="00D90064">
          <w:rPr>
            <w:rStyle w:val="Hyperlink"/>
          </w:rPr>
          <w:t>http://www.disabilityalliancebc.org/programs/wdi/default.htm</w:t>
        </w:r>
      </w:hyperlink>
      <w:r>
        <w:t xml:space="preserve"> </w:t>
      </w:r>
    </w:p>
  </w:footnote>
  <w:footnote w:id="83">
    <w:p w:rsidR="001E72F7" w:rsidRPr="00EC6D4E" w:rsidRDefault="001E72F7" w:rsidP="00893821">
      <w:pPr>
        <w:pStyle w:val="FootnoteText"/>
        <w:rPr>
          <w:lang w:val="en-US"/>
        </w:rPr>
      </w:pPr>
      <w:r>
        <w:rPr>
          <w:rStyle w:val="FootnoteReference"/>
        </w:rPr>
        <w:footnoteRef/>
      </w:r>
      <w:r>
        <w:t xml:space="preserve"> </w:t>
      </w:r>
      <w:hyperlink r:id="rId47" w:history="1">
        <w:r w:rsidRPr="009A4ABE">
          <w:rPr>
            <w:rStyle w:val="Hyperlink"/>
          </w:rPr>
          <w:t>http://www2.gov.bc.ca/gov/DownloadAsset?assetId=FD9A1A889D21419EAD1F819534CDC4A2&amp;filename=palliative-patientinfo.pdf</w:t>
        </w:r>
      </w:hyperlink>
      <w:r>
        <w:t xml:space="preserve"> </w:t>
      </w:r>
    </w:p>
  </w:footnote>
  <w:footnote w:id="84">
    <w:p w:rsidR="001E72F7" w:rsidRPr="003703CF" w:rsidRDefault="001E72F7" w:rsidP="00893821">
      <w:pPr>
        <w:pStyle w:val="FootnoteText"/>
        <w:rPr>
          <w:lang w:val="en-US"/>
        </w:rPr>
      </w:pPr>
      <w:r>
        <w:rPr>
          <w:rStyle w:val="FootnoteReference"/>
        </w:rPr>
        <w:footnoteRef/>
      </w:r>
      <w:r>
        <w:t xml:space="preserve"> </w:t>
      </w:r>
      <w:r w:rsidRPr="001476F8">
        <w:rPr>
          <w:rStyle w:val="Hyperlink"/>
        </w:rPr>
        <w:t>http://www.gov.bc.ca/meia/online_resource/health_supplements_and_programs/</w:t>
      </w:r>
    </w:p>
  </w:footnote>
  <w:footnote w:id="85">
    <w:p w:rsidR="001E72F7" w:rsidRPr="00165CC9" w:rsidRDefault="001E72F7" w:rsidP="00893821">
      <w:pPr>
        <w:pStyle w:val="FootnoteText"/>
        <w:rPr>
          <w:lang w:val="en-US"/>
        </w:rPr>
      </w:pPr>
      <w:r>
        <w:rPr>
          <w:rStyle w:val="FootnoteReference"/>
        </w:rPr>
        <w:footnoteRef/>
      </w:r>
      <w:r>
        <w:t xml:space="preserve"> </w:t>
      </w:r>
      <w:hyperlink r:id="rId48" w:history="1">
        <w:r w:rsidRPr="009A4ABE">
          <w:rPr>
            <w:rStyle w:val="Hyperlink"/>
          </w:rPr>
          <w:t>http://www.bchousing.org/Initiatives/Creating/ILBC</w:t>
        </w:r>
      </w:hyperlink>
      <w:r>
        <w:t xml:space="preserve"> </w:t>
      </w:r>
    </w:p>
  </w:footnote>
  <w:footnote w:id="86">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49" w:history="1">
        <w:r w:rsidRPr="003E353E">
          <w:rPr>
            <w:rStyle w:val="Hyperlink"/>
          </w:rPr>
          <w:t>http://www.personalsupports.bc.ca/psp/organization/provincial_programs.page?keyword=Provincial+Programs~</w:t>
        </w:r>
      </w:hyperlink>
    </w:p>
  </w:footnote>
  <w:footnote w:id="87">
    <w:p w:rsidR="001E72F7" w:rsidRPr="00737EA6" w:rsidRDefault="001E72F7" w:rsidP="00893821">
      <w:pPr>
        <w:pStyle w:val="FootnoteText"/>
        <w:rPr>
          <w:szCs w:val="16"/>
        </w:rPr>
      </w:pPr>
      <w:r w:rsidRPr="00737EA6">
        <w:rPr>
          <w:rStyle w:val="FootnoteReference"/>
          <w:szCs w:val="16"/>
        </w:rPr>
        <w:footnoteRef/>
      </w:r>
      <w:r w:rsidRPr="00737EA6">
        <w:rPr>
          <w:szCs w:val="16"/>
        </w:rPr>
        <w:t xml:space="preserve"> </w:t>
      </w:r>
      <w:hyperlink r:id="rId50" w:history="1">
        <w:r w:rsidRPr="00737EA6">
          <w:rPr>
            <w:rStyle w:val="Hyperlink"/>
          </w:rPr>
          <w:t>http://www.personalsupports.bc.ca/psp/organization/provincial_programs.page?keyword=Provincial+Programs~</w:t>
        </w:r>
      </w:hyperlink>
    </w:p>
  </w:footnote>
  <w:footnote w:id="88">
    <w:p w:rsidR="001E72F7" w:rsidRPr="00737EA6" w:rsidRDefault="001E72F7" w:rsidP="00893821">
      <w:pPr>
        <w:pStyle w:val="FootnoteText"/>
        <w:rPr>
          <w:szCs w:val="16"/>
        </w:rPr>
      </w:pPr>
      <w:r w:rsidRPr="00737EA6">
        <w:rPr>
          <w:rStyle w:val="FootnoteReference"/>
          <w:szCs w:val="16"/>
        </w:rPr>
        <w:footnoteRef/>
      </w:r>
      <w:r w:rsidRPr="00737EA6">
        <w:rPr>
          <w:szCs w:val="16"/>
        </w:rPr>
        <w:t xml:space="preserve"> </w:t>
      </w:r>
      <w:hyperlink r:id="rId51" w:history="1">
        <w:r w:rsidRPr="00737EA6">
          <w:rPr>
            <w:rStyle w:val="Hyperlink"/>
          </w:rPr>
          <w:t>http://www.personalsupports.bc.ca/psp/organization/provincial_programs.page?keyword=Provincial+Programs~</w:t>
        </w:r>
      </w:hyperlink>
    </w:p>
  </w:footnote>
  <w:footnote w:id="89">
    <w:p w:rsidR="001E72F7" w:rsidRPr="00737EA6" w:rsidRDefault="001E72F7" w:rsidP="00893821">
      <w:pPr>
        <w:pStyle w:val="FootnoteText"/>
        <w:rPr>
          <w:szCs w:val="16"/>
        </w:rPr>
      </w:pPr>
      <w:r w:rsidRPr="00737EA6">
        <w:rPr>
          <w:rStyle w:val="FootnoteReference"/>
          <w:szCs w:val="16"/>
        </w:rPr>
        <w:footnoteRef/>
      </w:r>
      <w:r w:rsidRPr="00737EA6">
        <w:rPr>
          <w:szCs w:val="16"/>
        </w:rPr>
        <w:t xml:space="preserve"> </w:t>
      </w:r>
      <w:hyperlink r:id="rId52" w:history="1">
        <w:r w:rsidRPr="00737EA6">
          <w:rPr>
            <w:rStyle w:val="Hyperlink"/>
          </w:rPr>
          <w:t>http://www.personalsupports.bc.ca/psp/organization/provincial_programs.page?keyword=Provincial+Programs~</w:t>
        </w:r>
      </w:hyperlink>
    </w:p>
  </w:footnote>
  <w:footnote w:id="90">
    <w:p w:rsidR="001E72F7" w:rsidRPr="00737EA6" w:rsidRDefault="001E72F7" w:rsidP="00893821">
      <w:pPr>
        <w:pStyle w:val="FootnoteText"/>
        <w:rPr>
          <w:szCs w:val="16"/>
        </w:rPr>
      </w:pPr>
      <w:r w:rsidRPr="00737EA6">
        <w:rPr>
          <w:rStyle w:val="FootnoteReference"/>
          <w:szCs w:val="16"/>
        </w:rPr>
        <w:footnoteRef/>
      </w:r>
      <w:r w:rsidRPr="00737EA6">
        <w:rPr>
          <w:szCs w:val="16"/>
        </w:rPr>
        <w:t xml:space="preserve"> </w:t>
      </w:r>
      <w:hyperlink r:id="rId53" w:history="1">
        <w:r w:rsidRPr="00737EA6">
          <w:rPr>
            <w:rStyle w:val="Hyperlink"/>
          </w:rPr>
          <w:t>http://www.personalsupports.bc.ca/psp/organization/provincial_programs.page?keyword=Provincial+Programs~</w:t>
        </w:r>
      </w:hyperlink>
    </w:p>
  </w:footnote>
  <w:footnote w:id="91">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54" w:history="1">
        <w:r w:rsidRPr="003E353E">
          <w:rPr>
            <w:rStyle w:val="Hyperlink"/>
          </w:rPr>
          <w:t>http://www.personalsupports.bc.ca/psp/organization/provincial_programs.page?keyword=Provincial+Programs~</w:t>
        </w:r>
      </w:hyperlink>
    </w:p>
  </w:footnote>
  <w:footnote w:id="92">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55" w:history="1">
        <w:r w:rsidRPr="003E353E">
          <w:rPr>
            <w:rStyle w:val="Hyperlink"/>
          </w:rPr>
          <w:t>http://www.gov.bc.ca/meia/online_resource/health_supplements_and_programs/memobility/index.html</w:t>
        </w:r>
      </w:hyperlink>
    </w:p>
  </w:footnote>
  <w:footnote w:id="93">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56" w:history="1">
        <w:r w:rsidRPr="003E353E">
          <w:rPr>
            <w:rStyle w:val="Hyperlink"/>
          </w:rPr>
          <w:t>http://www.gov.bc.ca/meia/online_resource/health_supplements_and_programs/memobility/index.html</w:t>
        </w:r>
      </w:hyperlink>
    </w:p>
  </w:footnote>
  <w:footnote w:id="94">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57" w:history="1">
        <w:r w:rsidRPr="003E353E">
          <w:rPr>
            <w:rStyle w:val="Hyperlink"/>
          </w:rPr>
          <w:t>http://www.gov.bc.ca/meia/online_resource/health_supplements_and_programs/memobility/index.html</w:t>
        </w:r>
      </w:hyperlink>
    </w:p>
  </w:footnote>
  <w:footnote w:id="95">
    <w:p w:rsidR="001E72F7" w:rsidRPr="003E353E" w:rsidRDefault="001E72F7" w:rsidP="00893821">
      <w:pPr>
        <w:pStyle w:val="FootnoteText"/>
        <w:rPr>
          <w:szCs w:val="16"/>
        </w:rPr>
      </w:pPr>
      <w:r w:rsidRPr="003E353E">
        <w:rPr>
          <w:rStyle w:val="FootnoteReference"/>
          <w:szCs w:val="16"/>
        </w:rPr>
        <w:footnoteRef/>
      </w:r>
      <w:r w:rsidRPr="003E353E">
        <w:rPr>
          <w:szCs w:val="16"/>
        </w:rPr>
        <w:t xml:space="preserve"> </w:t>
      </w:r>
      <w:hyperlink r:id="rId58" w:history="1">
        <w:r w:rsidRPr="003E353E">
          <w:rPr>
            <w:rStyle w:val="Hyperlink"/>
          </w:rPr>
          <w:t>http://www.gov.bc.ca/meia/online_resource/health_supplements_and_programs/memobility/index.html</w:t>
        </w:r>
      </w:hyperlink>
    </w:p>
  </w:footnote>
  <w:footnote w:id="96">
    <w:p w:rsidR="001E72F7" w:rsidRDefault="001E72F7" w:rsidP="00893821">
      <w:pPr>
        <w:pStyle w:val="FootnoteText"/>
      </w:pPr>
      <w:r w:rsidRPr="003E353E">
        <w:rPr>
          <w:rStyle w:val="FootnoteReference"/>
          <w:szCs w:val="16"/>
        </w:rPr>
        <w:footnoteRef/>
      </w:r>
      <w:r w:rsidRPr="003E353E">
        <w:rPr>
          <w:szCs w:val="16"/>
        </w:rPr>
        <w:t xml:space="preserve"> </w:t>
      </w:r>
      <w:hyperlink r:id="rId59" w:history="1">
        <w:r w:rsidRPr="003E353E">
          <w:rPr>
            <w:rStyle w:val="Hyperlink"/>
          </w:rPr>
          <w:t>http://www.mcf.gov.bc.ca/foster/pdf/health_supports_cic.pdf</w:t>
        </w:r>
      </w:hyperlink>
    </w:p>
  </w:footnote>
  <w:footnote w:id="97">
    <w:p w:rsidR="001E72F7" w:rsidRPr="00342828" w:rsidRDefault="001E72F7" w:rsidP="00893821">
      <w:pPr>
        <w:pStyle w:val="FootnoteText"/>
        <w:rPr>
          <w:szCs w:val="16"/>
        </w:rPr>
      </w:pPr>
      <w:r w:rsidRPr="00342828">
        <w:rPr>
          <w:rStyle w:val="FootnoteReference"/>
          <w:szCs w:val="16"/>
        </w:rPr>
        <w:footnoteRef/>
      </w:r>
      <w:r w:rsidRPr="00342828">
        <w:rPr>
          <w:szCs w:val="16"/>
        </w:rPr>
        <w:t xml:space="preserve"> </w:t>
      </w:r>
      <w:hyperlink r:id="rId60" w:history="1">
        <w:r w:rsidRPr="00342828">
          <w:rPr>
            <w:rStyle w:val="Hyperlink"/>
          </w:rPr>
          <w:t>http://www.mcf.gov.bc.ca/foster/pdf/health_supports_cic.pdf</w:t>
        </w:r>
      </w:hyperlink>
    </w:p>
  </w:footnote>
  <w:footnote w:id="98">
    <w:p w:rsidR="001E72F7" w:rsidRPr="00342828" w:rsidRDefault="001E72F7" w:rsidP="00893821">
      <w:pPr>
        <w:jc w:val="both"/>
        <w:rPr>
          <w:sz w:val="16"/>
          <w:szCs w:val="16"/>
          <w:lang w:val="fr-FR"/>
        </w:rPr>
      </w:pPr>
      <w:r w:rsidRPr="00342828">
        <w:rPr>
          <w:rStyle w:val="FootnoteReference"/>
          <w:szCs w:val="16"/>
        </w:rPr>
        <w:footnoteRef/>
      </w:r>
      <w:r w:rsidRPr="00342828">
        <w:rPr>
          <w:sz w:val="16"/>
          <w:szCs w:val="16"/>
          <w:lang w:val="fr-FR"/>
        </w:rPr>
        <w:t xml:space="preserve"> Office des personnes handicapées du Québec, </w:t>
      </w:r>
      <w:hyperlink r:id="rId61" w:history="1">
        <w:r w:rsidRPr="00342828">
          <w:rPr>
            <w:color w:val="8E258D"/>
            <w:sz w:val="16"/>
            <w:szCs w:val="16"/>
            <w:u w:val="single"/>
            <w:lang w:val="fr-FR"/>
          </w:rPr>
          <w:t>https://www.ophq.gouv.qc.ca/accessibilite.html</w:t>
        </w:r>
      </w:hyperlink>
      <w:r w:rsidRPr="00342828">
        <w:rPr>
          <w:sz w:val="16"/>
          <w:szCs w:val="16"/>
          <w:lang w:val="fr-FR"/>
        </w:rPr>
        <w:t xml:space="preserve"> </w:t>
      </w:r>
    </w:p>
  </w:footnote>
  <w:footnote w:id="99">
    <w:p w:rsidR="001E72F7" w:rsidRPr="00680021" w:rsidRDefault="001E72F7" w:rsidP="00893821">
      <w:pPr>
        <w:pStyle w:val="FootnoteText"/>
        <w:rPr>
          <w:szCs w:val="16"/>
          <w:lang w:val="fr-FR"/>
        </w:rPr>
      </w:pPr>
      <w:r w:rsidRPr="00342828">
        <w:rPr>
          <w:rStyle w:val="FootnoteReference"/>
          <w:szCs w:val="16"/>
        </w:rPr>
        <w:footnoteRef/>
      </w:r>
      <w:r w:rsidRPr="00342828">
        <w:rPr>
          <w:szCs w:val="16"/>
          <w:lang w:val="fr-FR"/>
        </w:rPr>
        <w:t xml:space="preserve"> </w:t>
      </w:r>
      <w:hyperlink r:id="rId62" w:anchor="sec-quebec" w:history="1">
        <w:r w:rsidRPr="00342828">
          <w:rPr>
            <w:color w:val="8E258D"/>
            <w:szCs w:val="16"/>
            <w:u w:val="single"/>
            <w:lang w:val="fr-FR"/>
          </w:rPr>
          <w:t>http://www.ccdonline.ca/en/international/un/canada/crpd-first-report#sec-quebec</w:t>
        </w:r>
      </w:hyperlink>
    </w:p>
  </w:footnote>
  <w:footnote w:id="100">
    <w:p w:rsidR="001E72F7" w:rsidRPr="00680021" w:rsidRDefault="001E72F7" w:rsidP="00893821">
      <w:pPr>
        <w:pStyle w:val="FootnoteText"/>
        <w:rPr>
          <w:szCs w:val="16"/>
          <w:lang w:val="fr-FR"/>
        </w:rPr>
      </w:pPr>
      <w:r w:rsidRPr="00342828">
        <w:rPr>
          <w:rStyle w:val="FootnoteReference"/>
          <w:szCs w:val="16"/>
        </w:rPr>
        <w:footnoteRef/>
      </w:r>
      <w:r w:rsidRPr="00680021">
        <w:rPr>
          <w:szCs w:val="16"/>
          <w:lang w:val="fr-FR"/>
        </w:rPr>
        <w:t xml:space="preserve"> </w:t>
      </w:r>
      <w:hyperlink r:id="rId63" w:history="1">
        <w:r w:rsidRPr="00680021">
          <w:rPr>
            <w:color w:val="8E258D"/>
            <w:szCs w:val="16"/>
            <w:u w:val="single"/>
            <w:lang w:val="fr-FR"/>
          </w:rPr>
          <w:t>http://www.canlii.org/en/qc/laws/stat/rsq-c-e-20.1/latest/</w:t>
        </w:r>
      </w:hyperlink>
      <w:r w:rsidRPr="00680021">
        <w:rPr>
          <w:szCs w:val="16"/>
          <w:lang w:val="fr-FR"/>
        </w:rPr>
        <w:t>,</w:t>
      </w:r>
    </w:p>
  </w:footnote>
  <w:footnote w:id="101">
    <w:p w:rsidR="001E72F7" w:rsidRPr="001031B6" w:rsidRDefault="001E72F7" w:rsidP="00893821">
      <w:pPr>
        <w:jc w:val="both"/>
        <w:rPr>
          <w:sz w:val="16"/>
          <w:szCs w:val="16"/>
          <w:lang w:val="fr-FR"/>
        </w:rPr>
      </w:pPr>
      <w:r w:rsidRPr="00342828">
        <w:rPr>
          <w:rStyle w:val="FootnoteReference"/>
          <w:szCs w:val="16"/>
        </w:rPr>
        <w:footnoteRef/>
      </w:r>
      <w:r w:rsidRPr="00680021">
        <w:rPr>
          <w:sz w:val="16"/>
          <w:szCs w:val="16"/>
          <w:lang w:val="fr-FR"/>
        </w:rPr>
        <w:t xml:space="preserve"> </w:t>
      </w:r>
      <w:hyperlink r:id="rId64" w:history="1">
        <w:r w:rsidRPr="00680021">
          <w:rPr>
            <w:color w:val="8E258D"/>
            <w:sz w:val="16"/>
            <w:szCs w:val="16"/>
            <w:u w:val="single"/>
            <w:lang w:val="fr-FR"/>
          </w:rPr>
          <w:t>http://www2.publicationsduquebec.gouv.qc.ca/dynamicSearch/telecharge.php?type=2&amp;file=/E_20_1/E20_1_A.HTM</w:t>
        </w:r>
      </w:hyperlink>
      <w:r w:rsidRPr="00680021">
        <w:rPr>
          <w:sz w:val="16"/>
          <w:szCs w:val="16"/>
          <w:lang w:val="fr-FR"/>
        </w:rPr>
        <w:t xml:space="preserve"> </w:t>
      </w:r>
    </w:p>
  </w:footnote>
  <w:footnote w:id="102">
    <w:p w:rsidR="001E72F7" w:rsidRPr="00680021" w:rsidRDefault="001E72F7" w:rsidP="00893821">
      <w:pPr>
        <w:pStyle w:val="FootnoteText"/>
        <w:rPr>
          <w:szCs w:val="16"/>
          <w:lang w:val="fr-FR"/>
        </w:rPr>
      </w:pPr>
      <w:r w:rsidRPr="00342828">
        <w:rPr>
          <w:rStyle w:val="FootnoteReference"/>
          <w:szCs w:val="16"/>
        </w:rPr>
        <w:footnoteRef/>
      </w:r>
      <w:r w:rsidRPr="00680021">
        <w:rPr>
          <w:szCs w:val="16"/>
          <w:lang w:val="fr-FR"/>
        </w:rPr>
        <w:t xml:space="preserve"> </w:t>
      </w:r>
      <w:hyperlink r:id="rId65" w:history="1">
        <w:r w:rsidRPr="00680021">
          <w:rPr>
            <w:color w:val="8E258D"/>
            <w:szCs w:val="16"/>
            <w:u w:val="single"/>
            <w:lang w:val="fr-FR"/>
          </w:rPr>
          <w:t>http://www.fadq.qc.ca/en/accessibility/action_plan_for_handicaped_persons.html</w:t>
        </w:r>
      </w:hyperlink>
    </w:p>
  </w:footnote>
  <w:footnote w:id="103">
    <w:p w:rsidR="001E72F7" w:rsidRPr="00680021" w:rsidRDefault="001E72F7" w:rsidP="00893821">
      <w:pPr>
        <w:pStyle w:val="FootnoteText"/>
        <w:rPr>
          <w:szCs w:val="16"/>
          <w:lang w:val="fr-FR"/>
        </w:rPr>
      </w:pPr>
      <w:r w:rsidRPr="00342828">
        <w:rPr>
          <w:rStyle w:val="FootnoteReference"/>
          <w:szCs w:val="16"/>
        </w:rPr>
        <w:footnoteRef/>
      </w:r>
      <w:r w:rsidRPr="00680021">
        <w:rPr>
          <w:szCs w:val="16"/>
          <w:lang w:val="fr-FR"/>
        </w:rPr>
        <w:t xml:space="preserve"> </w:t>
      </w:r>
      <w:hyperlink r:id="rId66" w:history="1">
        <w:r w:rsidRPr="00680021">
          <w:rPr>
            <w:rStyle w:val="Hyperlink"/>
            <w:lang w:val="fr-FR"/>
          </w:rPr>
          <w:t>https://www.rbq.gouv.qc.ca/en/building/technical-information/access-to-buildings-by-persons-with-disabilities.html</w:t>
        </w:r>
      </w:hyperlink>
      <w:r w:rsidRPr="00680021">
        <w:rPr>
          <w:szCs w:val="16"/>
          <w:lang w:val="fr-FR"/>
        </w:rPr>
        <w:t xml:space="preserve"> </w:t>
      </w:r>
    </w:p>
  </w:footnote>
  <w:footnote w:id="104">
    <w:p w:rsidR="001E72F7" w:rsidRPr="00342828" w:rsidRDefault="001E72F7" w:rsidP="00893821">
      <w:pPr>
        <w:pStyle w:val="FootnoteText"/>
        <w:spacing w:after="0"/>
        <w:rPr>
          <w:szCs w:val="16"/>
          <w:lang w:val="en-US"/>
        </w:rPr>
      </w:pPr>
      <w:r w:rsidRPr="00342828">
        <w:rPr>
          <w:rStyle w:val="FootnoteReference"/>
          <w:szCs w:val="16"/>
        </w:rPr>
        <w:footnoteRef/>
      </w:r>
      <w:r w:rsidRPr="00342828">
        <w:rPr>
          <w:szCs w:val="16"/>
        </w:rPr>
        <w:t xml:space="preserve"> </w:t>
      </w:r>
      <w:hyperlink r:id="rId67" w:history="1">
        <w:r w:rsidRPr="00342828">
          <w:rPr>
            <w:rStyle w:val="Hyperlink"/>
          </w:rPr>
          <w:t>https://www.rbq.gouv.qc.ca/en/citizen/disabled-person/the-rbq-and-the-disabled-persons.html</w:t>
        </w:r>
      </w:hyperlink>
      <w:r w:rsidRPr="00342828">
        <w:rPr>
          <w:szCs w:val="16"/>
        </w:rPr>
        <w:t xml:space="preserve">, </w:t>
      </w:r>
      <w:hyperlink r:id="rId68" w:history="1">
        <w:r w:rsidRPr="00342828">
          <w:rPr>
            <w:rStyle w:val="Hyperlink"/>
          </w:rPr>
          <w:t>https://www.rbq.gouv.qc.ca/en/owner-or-operator/quality-and-safety-requirements/access-to-buildings-by-persons-with-disabilities.html</w:t>
        </w:r>
      </w:hyperlink>
      <w:r w:rsidRPr="00342828">
        <w:rPr>
          <w:szCs w:val="16"/>
        </w:rPr>
        <w:t xml:space="preserve">, and </w:t>
      </w:r>
      <w:hyperlink r:id="rId69" w:history="1">
        <w:r w:rsidRPr="00342828">
          <w:rPr>
            <w:rStyle w:val="Hyperlink"/>
          </w:rPr>
          <w:t>http://www.societelogique.org/contenu?page=infotech/reglementation&amp;langue=en</w:t>
        </w:r>
      </w:hyperlink>
    </w:p>
  </w:footnote>
  <w:footnote w:id="105">
    <w:p w:rsidR="001E72F7" w:rsidRPr="00342828" w:rsidRDefault="001E72F7" w:rsidP="00893821">
      <w:r w:rsidRPr="00342828">
        <w:rPr>
          <w:rStyle w:val="FootnoteReference"/>
          <w:szCs w:val="16"/>
        </w:rPr>
        <w:footnoteRef/>
      </w:r>
      <w:r w:rsidRPr="00342828">
        <w:rPr>
          <w:sz w:val="16"/>
          <w:szCs w:val="16"/>
        </w:rPr>
        <w:t xml:space="preserve"> </w:t>
      </w:r>
      <w:hyperlink r:id="rId70" w:history="1">
        <w:r w:rsidRPr="00342828">
          <w:rPr>
            <w:color w:val="8E258D"/>
            <w:sz w:val="16"/>
            <w:szCs w:val="16"/>
            <w:u w:val="single"/>
          </w:rPr>
          <w:t>https://www.rbq.gouv.qc.ca/en/building/technical-information/building-chapter-from-the-safety-code/compliance-with-the-applicable-standards-according-to-the-year-of-construction.html</w:t>
        </w:r>
      </w:hyperlink>
      <w:r>
        <w:t xml:space="preserve"> </w:t>
      </w:r>
    </w:p>
  </w:footnote>
  <w:footnote w:id="106">
    <w:p w:rsidR="001E72F7" w:rsidRPr="00DA3A35" w:rsidRDefault="001E72F7" w:rsidP="00893821">
      <w:pPr>
        <w:pStyle w:val="FootnoteText"/>
        <w:rPr>
          <w:lang w:val="en-US"/>
        </w:rPr>
      </w:pPr>
      <w:r>
        <w:rPr>
          <w:rStyle w:val="FootnoteReference"/>
        </w:rPr>
        <w:footnoteRef/>
      </w:r>
      <w:r>
        <w:t xml:space="preserve"> </w:t>
      </w:r>
      <w:hyperlink r:id="rId71" w:history="1">
        <w:r w:rsidRPr="009A4ABE">
          <w:rPr>
            <w:rStyle w:val="Hyperlink"/>
          </w:rPr>
          <w:t>http://www.ramq.gouv.qc.ca/en/citizens/aid-programs/hearing-aids/Pages/hearing-aids.aspx</w:t>
        </w:r>
      </w:hyperlink>
      <w:r>
        <w:t xml:space="preserve"> </w:t>
      </w:r>
    </w:p>
  </w:footnote>
  <w:footnote w:id="107">
    <w:p w:rsidR="001E72F7" w:rsidRPr="00DA3A35" w:rsidRDefault="001E72F7" w:rsidP="00893821">
      <w:pPr>
        <w:pStyle w:val="FootnoteText"/>
        <w:rPr>
          <w:lang w:val="en-US"/>
        </w:rPr>
      </w:pPr>
      <w:r>
        <w:rPr>
          <w:rStyle w:val="FootnoteReference"/>
        </w:rPr>
        <w:footnoteRef/>
      </w:r>
      <w:r>
        <w:t xml:space="preserve"> </w:t>
      </w:r>
      <w:hyperlink r:id="rId72" w:history="1">
        <w:r w:rsidRPr="009A4ABE">
          <w:rPr>
            <w:rStyle w:val="Hyperlink"/>
          </w:rPr>
          <w:t>http://www.ramq.gouv.qc.ca/en/citizens/aid-programs/visual-aids/Pages/visual-aids.aspx</w:t>
        </w:r>
      </w:hyperlink>
      <w:r>
        <w:t xml:space="preserve"> </w:t>
      </w:r>
    </w:p>
  </w:footnote>
  <w:footnote w:id="108">
    <w:p w:rsidR="001E72F7" w:rsidRPr="00DA3A35" w:rsidRDefault="001E72F7" w:rsidP="00893821">
      <w:pPr>
        <w:pStyle w:val="FootnoteText"/>
        <w:rPr>
          <w:lang w:val="en-US"/>
        </w:rPr>
      </w:pPr>
      <w:r>
        <w:rPr>
          <w:rStyle w:val="FootnoteReference"/>
        </w:rPr>
        <w:footnoteRef/>
      </w:r>
      <w:r>
        <w:t xml:space="preserve"> </w:t>
      </w:r>
      <w:hyperlink r:id="rId73" w:history="1">
        <w:r w:rsidRPr="009A4ABE">
          <w:rPr>
            <w:rStyle w:val="Hyperlink"/>
          </w:rPr>
          <w:t>http://www.ramq.gouv.qc.ca/en/citizens/aid-programs/ocular-prostheses/Pages/ocular-prostheses.aspx</w:t>
        </w:r>
      </w:hyperlink>
      <w:r>
        <w:t xml:space="preserve"> </w:t>
      </w:r>
    </w:p>
  </w:footnote>
  <w:footnote w:id="109">
    <w:p w:rsidR="001E72F7" w:rsidRPr="009730D8" w:rsidRDefault="001E72F7" w:rsidP="00893821">
      <w:pPr>
        <w:pStyle w:val="FootnoteText"/>
        <w:spacing w:after="0"/>
        <w:rPr>
          <w:lang w:val="en-US"/>
        </w:rPr>
      </w:pPr>
      <w:r>
        <w:rPr>
          <w:rStyle w:val="FootnoteReference"/>
        </w:rPr>
        <w:footnoteRef/>
      </w:r>
      <w:r>
        <w:t xml:space="preserve"> </w:t>
      </w:r>
      <w:hyperlink r:id="rId74" w:history="1">
        <w:r w:rsidRPr="009A4ABE">
          <w:rPr>
            <w:rStyle w:val="Hyperlink"/>
          </w:rPr>
          <w:t>http://www.ramq.gouv.qc.ca/en/citizens/aid-programs/Pages/external-breastforms.aspx</w:t>
        </w:r>
      </w:hyperlink>
      <w:r>
        <w:t xml:space="preserve"> </w:t>
      </w:r>
    </w:p>
  </w:footnote>
  <w:footnote w:id="110">
    <w:p w:rsidR="001E72F7" w:rsidRPr="004C37F8" w:rsidRDefault="001E72F7" w:rsidP="00893821">
      <w:pPr>
        <w:pStyle w:val="FootnoteText"/>
        <w:spacing w:after="0"/>
        <w:rPr>
          <w:lang w:val="en-US"/>
        </w:rPr>
      </w:pPr>
      <w:r>
        <w:rPr>
          <w:rStyle w:val="FootnoteReference"/>
        </w:rPr>
        <w:footnoteRef/>
      </w:r>
      <w:r>
        <w:t xml:space="preserve"> </w:t>
      </w:r>
      <w:hyperlink r:id="rId75" w:history="1">
        <w:r w:rsidRPr="009A4ABE">
          <w:rPr>
            <w:rStyle w:val="Hyperlink"/>
          </w:rPr>
          <w:t>http://www.ramq.gouv.qc.ca/en/citizens/aid-programs/devices-compensate-physical-deficiency/Pages/devices-compensate-physical-deficiency.aspx</w:t>
        </w:r>
      </w:hyperlink>
      <w:r>
        <w:t xml:space="preserve"> </w:t>
      </w:r>
    </w:p>
  </w:footnote>
  <w:footnote w:id="111">
    <w:p w:rsidR="001E72F7" w:rsidRPr="00342828" w:rsidRDefault="001E72F7" w:rsidP="00893821">
      <w:pPr>
        <w:jc w:val="both"/>
        <w:rPr>
          <w:sz w:val="16"/>
          <w:szCs w:val="16"/>
        </w:rPr>
      </w:pPr>
      <w:r w:rsidRPr="00342828">
        <w:rPr>
          <w:rStyle w:val="FootnoteReference"/>
          <w:szCs w:val="16"/>
        </w:rPr>
        <w:footnoteRef/>
      </w:r>
      <w:r w:rsidRPr="00342828">
        <w:rPr>
          <w:sz w:val="16"/>
          <w:szCs w:val="16"/>
        </w:rPr>
        <w:t xml:space="preserve"> </w:t>
      </w:r>
      <w:hyperlink r:id="rId76" w:history="1">
        <w:r w:rsidRPr="00342828">
          <w:rPr>
            <w:color w:val="8E258D"/>
            <w:sz w:val="16"/>
            <w:szCs w:val="16"/>
            <w:u w:val="single"/>
          </w:rPr>
          <w:t>http://www.municipalaffairs.alberta.ca/codes_and_permits_accessibility.cfm</w:t>
        </w:r>
      </w:hyperlink>
      <w:r w:rsidRPr="00342828">
        <w:rPr>
          <w:sz w:val="16"/>
          <w:szCs w:val="16"/>
        </w:rPr>
        <w:t xml:space="preserve"> </w:t>
      </w:r>
    </w:p>
  </w:footnote>
  <w:footnote w:id="112">
    <w:p w:rsidR="001E72F7" w:rsidRPr="003703CF" w:rsidRDefault="001E72F7" w:rsidP="00893821">
      <w:pPr>
        <w:pStyle w:val="FootnoteText"/>
        <w:rPr>
          <w:lang w:val="en-US"/>
        </w:rPr>
      </w:pPr>
      <w:r>
        <w:rPr>
          <w:rStyle w:val="FootnoteReference"/>
        </w:rPr>
        <w:footnoteRef/>
      </w:r>
      <w:r>
        <w:t xml:space="preserve"> </w:t>
      </w:r>
      <w:hyperlink r:id="rId77" w:history="1">
        <w:r w:rsidRPr="00636BE0">
          <w:rPr>
            <w:rStyle w:val="Hyperlink"/>
          </w:rPr>
          <w:t>http://humanservices.alberta.ca/disability-services/service-dogs-faq.html</w:t>
        </w:r>
      </w:hyperlink>
    </w:p>
  </w:footnote>
  <w:footnote w:id="113">
    <w:p w:rsidR="001E72F7" w:rsidRPr="004727F2" w:rsidRDefault="001E72F7" w:rsidP="00893821">
      <w:pPr>
        <w:pStyle w:val="FootnoteText"/>
        <w:rPr>
          <w:lang w:val="en-US"/>
        </w:rPr>
      </w:pPr>
      <w:r>
        <w:rPr>
          <w:rStyle w:val="FootnoteReference"/>
        </w:rPr>
        <w:footnoteRef/>
      </w:r>
      <w:r>
        <w:t xml:space="preserve"> </w:t>
      </w:r>
      <w:hyperlink r:id="rId78" w:history="1">
        <w:r w:rsidRPr="004727F2">
          <w:rPr>
            <w:rStyle w:val="Hyperlink"/>
          </w:rPr>
          <w:t>http://humanservices.alberta.ca/department/premiers-council-ads-recommendations.html</w:t>
        </w:r>
      </w:hyperlink>
    </w:p>
  </w:footnote>
  <w:footnote w:id="114">
    <w:p w:rsidR="001E72F7" w:rsidRPr="003703CF" w:rsidRDefault="001E72F7" w:rsidP="00893821">
      <w:pPr>
        <w:pStyle w:val="FootnoteText"/>
        <w:rPr>
          <w:lang w:val="en-US"/>
        </w:rPr>
      </w:pPr>
      <w:r>
        <w:rPr>
          <w:rStyle w:val="FootnoteReference"/>
        </w:rPr>
        <w:footnoteRef/>
      </w:r>
      <w:r>
        <w:t xml:space="preserve"> </w:t>
      </w:r>
      <w:hyperlink r:id="rId79" w:history="1">
        <w:r w:rsidRPr="001C5D79">
          <w:rPr>
            <w:rStyle w:val="Hyperlink"/>
          </w:rPr>
          <w:t>http://healthcouncilcanada.ca/n3w11n3/progress2013/JurisdictionalProfiles2013_EN.pdf</w:t>
        </w:r>
      </w:hyperlink>
    </w:p>
  </w:footnote>
  <w:footnote w:id="115">
    <w:p w:rsidR="001E72F7" w:rsidRPr="003703CF" w:rsidRDefault="001E72F7" w:rsidP="00893821">
      <w:pPr>
        <w:pStyle w:val="FootnoteText"/>
        <w:rPr>
          <w:lang w:val="en-US"/>
        </w:rPr>
      </w:pPr>
      <w:r>
        <w:rPr>
          <w:rStyle w:val="FootnoteReference"/>
        </w:rPr>
        <w:footnoteRef/>
      </w:r>
      <w:r>
        <w:t xml:space="preserve"> </w:t>
      </w:r>
      <w:hyperlink r:id="rId80" w:history="1">
        <w:r w:rsidRPr="00111BF5">
          <w:rPr>
            <w:rStyle w:val="Hyperlink"/>
          </w:rPr>
          <w:t>http://www.albertahealthservices.ca/5767.asp</w:t>
        </w:r>
      </w:hyperlink>
    </w:p>
  </w:footnote>
  <w:footnote w:id="116">
    <w:p w:rsidR="001E72F7" w:rsidRPr="003703CF" w:rsidRDefault="001E72F7" w:rsidP="00893821">
      <w:pPr>
        <w:pStyle w:val="FootnoteText"/>
        <w:rPr>
          <w:lang w:val="en-US"/>
        </w:rPr>
      </w:pPr>
      <w:r>
        <w:rPr>
          <w:rStyle w:val="FootnoteReference"/>
        </w:rPr>
        <w:footnoteRef/>
      </w:r>
      <w:r>
        <w:t xml:space="preserve"> </w:t>
      </w:r>
      <w:hyperlink r:id="rId81" w:history="1">
        <w:r w:rsidRPr="00D245BB">
          <w:rPr>
            <w:rStyle w:val="Hyperlink"/>
          </w:rPr>
          <w:t>http://www.health.alberta.ca/services/benefits-supplementary.html</w:t>
        </w:r>
      </w:hyperlink>
    </w:p>
  </w:footnote>
  <w:footnote w:id="117">
    <w:p w:rsidR="001E72F7" w:rsidRPr="003830AB" w:rsidRDefault="001E72F7" w:rsidP="00893821">
      <w:pPr>
        <w:pStyle w:val="FootnoteText"/>
        <w:rPr>
          <w:lang w:val="en-US"/>
        </w:rPr>
      </w:pPr>
      <w:r>
        <w:rPr>
          <w:rStyle w:val="FootnoteReference"/>
        </w:rPr>
        <w:footnoteRef/>
      </w:r>
      <w:r>
        <w:t xml:space="preserve"> </w:t>
      </w:r>
      <w:hyperlink r:id="rId82" w:history="1">
        <w:r w:rsidRPr="009A4ABE">
          <w:rPr>
            <w:rStyle w:val="Hyperlink"/>
          </w:rPr>
          <w:t>http://humanservices.alberta.ca/foster-kinship-care/15438.html</w:t>
        </w:r>
      </w:hyperlink>
      <w:r>
        <w:t xml:space="preserve"> </w:t>
      </w:r>
    </w:p>
  </w:footnote>
  <w:footnote w:id="118">
    <w:p w:rsidR="001E72F7" w:rsidRPr="004757C8" w:rsidRDefault="001E72F7" w:rsidP="00893821">
      <w:pPr>
        <w:pStyle w:val="FootnoteText"/>
        <w:rPr>
          <w:lang w:val="en-US"/>
        </w:rPr>
      </w:pPr>
      <w:r>
        <w:rPr>
          <w:rStyle w:val="FootnoteReference"/>
        </w:rPr>
        <w:footnoteRef/>
      </w:r>
      <w:hyperlink r:id="rId83" w:history="1">
        <w:r w:rsidRPr="004757C8">
          <w:rPr>
            <w:rStyle w:val="Hyperlink"/>
          </w:rPr>
          <w:t>http://www.qp.gov.sk.ca/documents/English/Statutes/Statutes/U1-2.pdf</w:t>
        </w:r>
      </w:hyperlink>
      <w:r w:rsidRPr="004757C8">
        <w:rPr>
          <w:sz w:val="12"/>
        </w:rPr>
        <w:t xml:space="preserve">, </w:t>
      </w:r>
      <w:hyperlink r:id="rId84" w:history="1">
        <w:r w:rsidRPr="004757C8">
          <w:rPr>
            <w:rStyle w:val="Hyperlink"/>
          </w:rPr>
          <w:t>http://www.qp.gov.sk.ca/documents/English/Regulations/Regulations/U1-2R5.pdf</w:t>
        </w:r>
      </w:hyperlink>
      <w:r w:rsidRPr="004757C8">
        <w:rPr>
          <w:sz w:val="12"/>
        </w:rPr>
        <w:t xml:space="preserve">, and </w:t>
      </w:r>
      <w:hyperlink r:id="rId85" w:anchor="building-and-accessibility-standards" w:history="1">
        <w:r w:rsidRPr="004757C8">
          <w:rPr>
            <w:rStyle w:val="Hyperlink"/>
          </w:rPr>
          <w:t>https://www.saskatchewan.ca/live/public-safety-protection-and-emergency-services/building-standards-and-licensing#building-and-accessibility-standards</w:t>
        </w:r>
      </w:hyperlink>
      <w:r>
        <w:rPr>
          <w:sz w:val="12"/>
        </w:rPr>
        <w:t xml:space="preserve"> </w:t>
      </w:r>
    </w:p>
  </w:footnote>
  <w:footnote w:id="119">
    <w:p w:rsidR="001E72F7" w:rsidRPr="00407820" w:rsidRDefault="001E72F7" w:rsidP="00893821">
      <w:pPr>
        <w:rPr>
          <w:lang w:val="en-US"/>
        </w:rPr>
      </w:pPr>
      <w:r w:rsidRPr="00407820">
        <w:rPr>
          <w:rStyle w:val="FootnoteReference"/>
        </w:rPr>
        <w:footnoteRef/>
      </w:r>
      <w:r w:rsidRPr="00407820">
        <w:t xml:space="preserve"> </w:t>
      </w:r>
      <w:hyperlink r:id="rId86" w:history="1">
        <w:r w:rsidRPr="00407820">
          <w:rPr>
            <w:rStyle w:val="Hyperlink"/>
          </w:rPr>
          <w:t>http://saskatchewanhumanrights.ca/+pub/documents/accessability/Building_Standards_%20Code.pdf</w:t>
        </w:r>
      </w:hyperlink>
      <w:r w:rsidRPr="00407820">
        <w:rPr>
          <w:sz w:val="16"/>
        </w:rPr>
        <w:t xml:space="preserve"> </w:t>
      </w:r>
    </w:p>
  </w:footnote>
  <w:footnote w:id="120">
    <w:p w:rsidR="001E72F7" w:rsidRPr="00605053" w:rsidRDefault="001E72F7" w:rsidP="00893821">
      <w:pPr>
        <w:pStyle w:val="FootnoteText"/>
      </w:pPr>
      <w:r w:rsidRPr="00407820">
        <w:rPr>
          <w:rStyle w:val="FootnoteReference"/>
        </w:rPr>
        <w:footnoteRef/>
      </w:r>
      <w:r w:rsidRPr="00407820">
        <w:t xml:space="preserve"> Saskatchewan Disability Strategy. </w:t>
      </w:r>
      <w:hyperlink r:id="rId87" w:history="1">
        <w:r w:rsidRPr="00407820">
          <w:rPr>
            <w:rStyle w:val="Hyperlink"/>
          </w:rPr>
          <w:t>https://www.saskatchewan.ca/government/have-your-say/saskatchewan-disability-strategy</w:t>
        </w:r>
      </w:hyperlink>
      <w:r>
        <w:t xml:space="preserve"> </w:t>
      </w:r>
    </w:p>
  </w:footnote>
  <w:footnote w:id="121">
    <w:p w:rsidR="001E72F7" w:rsidRPr="003703CF" w:rsidRDefault="001E72F7" w:rsidP="00893821">
      <w:pPr>
        <w:pStyle w:val="FootnoteText"/>
        <w:rPr>
          <w:lang w:val="en-US"/>
        </w:rPr>
      </w:pPr>
      <w:r>
        <w:rPr>
          <w:rStyle w:val="FootnoteReference"/>
        </w:rPr>
        <w:footnoteRef/>
      </w:r>
      <w:r>
        <w:t xml:space="preserve"> </w:t>
      </w:r>
      <w:hyperlink r:id="rId88" w:history="1">
        <w:r w:rsidRPr="00E37F5F">
          <w:rPr>
            <w:rStyle w:val="Hyperlink"/>
          </w:rPr>
          <w:t>http://www.socialservices.gov.sk.ca/live/health-and-healthy-living/manage-your-health-needs/support-programs-and-services/sail#program-objectives</w:t>
        </w:r>
      </w:hyperlink>
    </w:p>
  </w:footnote>
  <w:footnote w:id="122">
    <w:p w:rsidR="001E72F7" w:rsidRPr="0019703F" w:rsidRDefault="001E72F7" w:rsidP="00893821">
      <w:pPr>
        <w:pStyle w:val="FootnoteText"/>
        <w:rPr>
          <w:lang w:val="en-US"/>
        </w:rPr>
      </w:pPr>
      <w:r>
        <w:rPr>
          <w:rStyle w:val="FootnoteReference"/>
        </w:rPr>
        <w:footnoteRef/>
      </w:r>
      <w:r>
        <w:t xml:space="preserve"> </w:t>
      </w:r>
      <w:hyperlink r:id="rId89" w:history="1">
        <w:r w:rsidRPr="00055417">
          <w:rPr>
            <w:rStyle w:val="Hyperlink"/>
          </w:rPr>
          <w:t>http://www.ccdonline.ca/en/international/un/canada/crpd-first-report</w:t>
        </w:r>
      </w:hyperlink>
      <w:r>
        <w:t xml:space="preserve"> </w:t>
      </w:r>
    </w:p>
  </w:footnote>
  <w:footnote w:id="123">
    <w:p w:rsidR="001E72F7" w:rsidRPr="0019703F" w:rsidRDefault="001E72F7" w:rsidP="00893821">
      <w:pPr>
        <w:pStyle w:val="FootnoteText"/>
        <w:rPr>
          <w:lang w:val="en-US"/>
        </w:rPr>
      </w:pPr>
      <w:r>
        <w:rPr>
          <w:rStyle w:val="FootnoteReference"/>
        </w:rPr>
        <w:footnoteRef/>
      </w:r>
      <w:r>
        <w:t xml:space="preserve"> </w:t>
      </w:r>
      <w:hyperlink r:id="rId90" w:history="1">
        <w:r w:rsidRPr="0019703F">
          <w:rPr>
            <w:rStyle w:val="Hyperlink"/>
          </w:rPr>
          <w:t>http://www.gov.mb.ca/dio/pdf/introducing_accessibility_for_manitobans_act.pdf</w:t>
        </w:r>
      </w:hyperlink>
      <w:r w:rsidRPr="0019703F">
        <w:rPr>
          <w:rStyle w:val="Hyperlink"/>
        </w:rPr>
        <w:t xml:space="preserve"> </w:t>
      </w:r>
    </w:p>
  </w:footnote>
  <w:footnote w:id="124">
    <w:p w:rsidR="001E72F7" w:rsidRPr="003A5BBF" w:rsidRDefault="001E72F7" w:rsidP="00893821">
      <w:pPr>
        <w:pStyle w:val="FootnoteText"/>
        <w:rPr>
          <w:lang w:val="en-US"/>
        </w:rPr>
      </w:pPr>
      <w:r>
        <w:rPr>
          <w:rStyle w:val="FootnoteReference"/>
        </w:rPr>
        <w:footnoteRef/>
      </w:r>
      <w:r>
        <w:t xml:space="preserve"> </w:t>
      </w:r>
      <w:hyperlink r:id="rId91" w:history="1">
        <w:r w:rsidRPr="003A5BBF">
          <w:rPr>
            <w:rStyle w:val="Hyperlink"/>
          </w:rPr>
          <w:t>http://www.gov.mb.ca/dio/access/</w:t>
        </w:r>
      </w:hyperlink>
    </w:p>
  </w:footnote>
  <w:footnote w:id="125">
    <w:p w:rsidR="001E72F7" w:rsidRPr="003A5BBF" w:rsidRDefault="001E72F7" w:rsidP="00893821">
      <w:pPr>
        <w:pStyle w:val="FootnoteText"/>
        <w:rPr>
          <w:lang w:val="en-US"/>
        </w:rPr>
      </w:pPr>
      <w:r>
        <w:rPr>
          <w:rStyle w:val="FootnoteReference"/>
        </w:rPr>
        <w:footnoteRef/>
      </w:r>
      <w:r>
        <w:t xml:space="preserve"> </w:t>
      </w:r>
      <w:hyperlink r:id="rId92" w:history="1">
        <w:r w:rsidRPr="003A5BBF">
          <w:rPr>
            <w:rStyle w:val="Hyperlink"/>
          </w:rPr>
          <w:t>http://www.gov.mb.ca/dio/maaw.html</w:t>
        </w:r>
      </w:hyperlink>
      <w:r>
        <w:rPr>
          <w:rStyle w:val="Hyperlink"/>
        </w:rPr>
        <w:t xml:space="preserve"> </w:t>
      </w:r>
    </w:p>
  </w:footnote>
  <w:footnote w:id="126">
    <w:p w:rsidR="001E72F7" w:rsidRPr="003703CF" w:rsidRDefault="001E72F7" w:rsidP="00893821">
      <w:pPr>
        <w:pStyle w:val="FootnoteText"/>
        <w:rPr>
          <w:lang w:val="en-US"/>
        </w:rPr>
      </w:pPr>
      <w:r>
        <w:rPr>
          <w:rStyle w:val="FootnoteReference"/>
        </w:rPr>
        <w:footnoteRef/>
      </w:r>
      <w:r>
        <w:t xml:space="preserve"> </w:t>
      </w:r>
      <w:hyperlink r:id="rId93" w:history="1">
        <w:r w:rsidRPr="00BE733D">
          <w:rPr>
            <w:rStyle w:val="Hyperlink"/>
          </w:rPr>
          <w:t>http://residents.gov.mb.ca/reference.html?d=details&amp;program_id=6741</w:t>
        </w:r>
      </w:hyperlink>
    </w:p>
  </w:footnote>
  <w:footnote w:id="127">
    <w:p w:rsidR="001E72F7" w:rsidRPr="003703CF" w:rsidRDefault="001E72F7" w:rsidP="00893821">
      <w:pPr>
        <w:pStyle w:val="FootnoteText"/>
        <w:rPr>
          <w:lang w:val="en-US"/>
        </w:rPr>
      </w:pPr>
      <w:r>
        <w:rPr>
          <w:rStyle w:val="FootnoteReference"/>
        </w:rPr>
        <w:footnoteRef/>
      </w:r>
      <w:r>
        <w:t xml:space="preserve"> </w:t>
      </w:r>
      <w:hyperlink r:id="rId94" w:history="1">
        <w:r w:rsidRPr="00BE733D">
          <w:rPr>
            <w:rStyle w:val="Hyperlink"/>
          </w:rPr>
          <w:t>http://residents.gov.mb.ca/reference.html?d=details&amp;program_id=82</w:t>
        </w:r>
      </w:hyperlink>
    </w:p>
  </w:footnote>
  <w:footnote w:id="128">
    <w:p w:rsidR="001E72F7" w:rsidRPr="00C85F4A" w:rsidRDefault="001E72F7" w:rsidP="00893821">
      <w:pPr>
        <w:pStyle w:val="FootnoteText"/>
        <w:rPr>
          <w:lang w:val="en-US"/>
        </w:rPr>
      </w:pPr>
      <w:r>
        <w:rPr>
          <w:rStyle w:val="FootnoteReference"/>
        </w:rPr>
        <w:footnoteRef/>
      </w:r>
      <w:r>
        <w:t xml:space="preserve"> </w:t>
      </w:r>
      <w:hyperlink r:id="rId95" w:history="1">
        <w:r w:rsidRPr="009A4ABE">
          <w:rPr>
            <w:rStyle w:val="Hyperlink"/>
          </w:rPr>
          <w:t>http://residents.gov.mb.ca/reference.html?d=details&amp;program_id=93</w:t>
        </w:r>
      </w:hyperlink>
      <w:r>
        <w:t xml:space="preserve"> </w:t>
      </w:r>
    </w:p>
  </w:footnote>
  <w:footnote w:id="129">
    <w:p w:rsidR="001E72F7" w:rsidRPr="0053038B" w:rsidRDefault="001E72F7" w:rsidP="00893821">
      <w:pPr>
        <w:pStyle w:val="FootnoteText"/>
        <w:rPr>
          <w:lang w:val="en-US"/>
        </w:rPr>
      </w:pPr>
      <w:r>
        <w:rPr>
          <w:rStyle w:val="FootnoteReference"/>
        </w:rPr>
        <w:footnoteRef/>
      </w:r>
      <w:r>
        <w:t xml:space="preserve"> </w:t>
      </w:r>
      <w:hyperlink r:id="rId96" w:history="1">
        <w:r w:rsidRPr="009A4ABE">
          <w:rPr>
            <w:rStyle w:val="Hyperlink"/>
          </w:rPr>
          <w:t>http://www.gov.mb.ca/health/mhsip/hearingaid.html</w:t>
        </w:r>
      </w:hyperlink>
      <w:r>
        <w:t xml:space="preserve"> </w:t>
      </w:r>
    </w:p>
  </w:footnote>
  <w:footnote w:id="130">
    <w:p w:rsidR="001E72F7" w:rsidRPr="002B6F8A" w:rsidRDefault="001E72F7" w:rsidP="00893821">
      <w:pPr>
        <w:pStyle w:val="FootnoteText"/>
        <w:rPr>
          <w:lang w:val="en-US"/>
        </w:rPr>
      </w:pPr>
      <w:r>
        <w:rPr>
          <w:rStyle w:val="FootnoteReference"/>
        </w:rPr>
        <w:footnoteRef/>
      </w:r>
      <w:r>
        <w:t xml:space="preserve"> </w:t>
      </w:r>
      <w:hyperlink r:id="rId97" w:history="1">
        <w:r w:rsidRPr="009A4ABE">
          <w:rPr>
            <w:rStyle w:val="Hyperlink"/>
          </w:rPr>
          <w:t>http://www.gov.mb.ca/health/mhsip/orthoshoes.html</w:t>
        </w:r>
      </w:hyperlink>
      <w:r>
        <w:t xml:space="preserve"> </w:t>
      </w:r>
    </w:p>
  </w:footnote>
  <w:footnote w:id="131">
    <w:p w:rsidR="001E72F7" w:rsidRPr="00316BEF" w:rsidRDefault="001E72F7" w:rsidP="00893821">
      <w:pPr>
        <w:pStyle w:val="FootnoteText"/>
        <w:rPr>
          <w:lang w:val="en-US"/>
        </w:rPr>
      </w:pPr>
      <w:r>
        <w:rPr>
          <w:rStyle w:val="FootnoteReference"/>
        </w:rPr>
        <w:footnoteRef/>
      </w:r>
      <w:r>
        <w:t xml:space="preserve"> </w:t>
      </w:r>
      <w:hyperlink r:id="rId98" w:history="1">
        <w:r w:rsidRPr="009A4ABE">
          <w:rPr>
            <w:rStyle w:val="Hyperlink"/>
          </w:rPr>
          <w:t>http://www.gov.mb.ca/health/mhsip/contact_lens.html</w:t>
        </w:r>
      </w:hyperlink>
      <w:r>
        <w:t xml:space="preserve"> </w:t>
      </w:r>
    </w:p>
  </w:footnote>
  <w:footnote w:id="132">
    <w:p w:rsidR="001E72F7" w:rsidRPr="00316BEF" w:rsidRDefault="001E72F7" w:rsidP="00893821">
      <w:pPr>
        <w:pStyle w:val="FootnoteText"/>
        <w:rPr>
          <w:lang w:val="en-US"/>
        </w:rPr>
      </w:pPr>
      <w:r>
        <w:rPr>
          <w:rStyle w:val="FootnoteReference"/>
        </w:rPr>
        <w:footnoteRef/>
      </w:r>
      <w:r>
        <w:t xml:space="preserve"> </w:t>
      </w:r>
      <w:hyperlink r:id="rId99" w:history="1">
        <w:r w:rsidRPr="009A4ABE">
          <w:rPr>
            <w:rStyle w:val="Hyperlink"/>
          </w:rPr>
          <w:t>http://www.gov.mb.ca/health/mhsip/telecommunications.html</w:t>
        </w:r>
      </w:hyperlink>
      <w:r>
        <w:t xml:space="preserve"> </w:t>
      </w:r>
    </w:p>
  </w:footnote>
  <w:footnote w:id="133">
    <w:p w:rsidR="001E72F7" w:rsidRPr="002D1714" w:rsidRDefault="001E72F7" w:rsidP="00893821">
      <w:pPr>
        <w:pStyle w:val="FootnoteText"/>
        <w:rPr>
          <w:lang w:val="en-US"/>
        </w:rPr>
      </w:pPr>
      <w:r>
        <w:rPr>
          <w:rStyle w:val="FootnoteReference"/>
        </w:rPr>
        <w:footnoteRef/>
      </w:r>
      <w:r>
        <w:t xml:space="preserve"> </w:t>
      </w:r>
      <w:hyperlink r:id="rId100" w:history="1">
        <w:r w:rsidRPr="002D1714">
          <w:rPr>
            <w:rStyle w:val="Hyperlink"/>
          </w:rPr>
          <w:t>http://www1.gnb.ca/cnb/publicreview/pdf/10-106E.pdf</w:t>
        </w:r>
      </w:hyperlink>
    </w:p>
  </w:footnote>
  <w:footnote w:id="134">
    <w:p w:rsidR="001E72F7" w:rsidRPr="002D1714" w:rsidRDefault="001E72F7" w:rsidP="00893821">
      <w:pPr>
        <w:pStyle w:val="FootnoteText"/>
        <w:rPr>
          <w:lang w:val="en-US"/>
        </w:rPr>
      </w:pPr>
      <w:r>
        <w:rPr>
          <w:rStyle w:val="FootnoteReference"/>
        </w:rPr>
        <w:footnoteRef/>
      </w:r>
      <w:r>
        <w:t xml:space="preserve"> </w:t>
      </w:r>
      <w:hyperlink r:id="rId101" w:history="1">
        <w:r w:rsidRPr="002D1714">
          <w:rPr>
            <w:rStyle w:val="Hyperlink"/>
          </w:rPr>
          <w:t>http://www2.gnb.ca/content/dam/gnb/Departments/sd-ds/pdf/NursingHomes/NursingHomeDesignStandards-e.pdf</w:t>
        </w:r>
      </w:hyperlink>
    </w:p>
  </w:footnote>
  <w:footnote w:id="135">
    <w:p w:rsidR="001E72F7" w:rsidRPr="007A3C81" w:rsidRDefault="001E72F7" w:rsidP="00893821">
      <w:pPr>
        <w:pStyle w:val="FootnoteText"/>
        <w:spacing w:after="0"/>
        <w:rPr>
          <w:szCs w:val="16"/>
          <w:lang w:val="en-US"/>
        </w:rPr>
      </w:pPr>
      <w:r w:rsidRPr="007A3C81">
        <w:rPr>
          <w:rStyle w:val="FootnoteReference"/>
          <w:szCs w:val="16"/>
        </w:rPr>
        <w:footnoteRef/>
      </w:r>
      <w:r w:rsidRPr="007A3C81">
        <w:rPr>
          <w:szCs w:val="16"/>
        </w:rPr>
        <w:t xml:space="preserve"> </w:t>
      </w:r>
      <w:hyperlink r:id="rId102" w:history="1">
        <w:r w:rsidRPr="007A3C81">
          <w:rPr>
            <w:rStyle w:val="Hyperlink"/>
          </w:rPr>
          <w:t>http://www2.gnb.ca/content/dam/gnb/Departments/pcsdp-cpmcph/pdf/docs/UniversalDesignFinalVersionNov07ENG.pdf</w:t>
        </w:r>
      </w:hyperlink>
      <w:r w:rsidRPr="007A3C81">
        <w:rPr>
          <w:szCs w:val="16"/>
        </w:rPr>
        <w:t xml:space="preserve"> </w:t>
      </w:r>
    </w:p>
  </w:footnote>
  <w:footnote w:id="136">
    <w:p w:rsidR="001E72F7" w:rsidRPr="007A3C81" w:rsidRDefault="001E72F7" w:rsidP="00893821">
      <w:pPr>
        <w:jc w:val="both"/>
        <w:rPr>
          <w:sz w:val="16"/>
          <w:szCs w:val="16"/>
        </w:rPr>
      </w:pPr>
      <w:r w:rsidRPr="007A3C81">
        <w:rPr>
          <w:rStyle w:val="FootnoteReference"/>
          <w:szCs w:val="16"/>
        </w:rPr>
        <w:footnoteRef/>
      </w:r>
      <w:r>
        <w:rPr>
          <w:sz w:val="16"/>
          <w:szCs w:val="16"/>
        </w:rPr>
        <w:t xml:space="preserve"> </w:t>
      </w:r>
      <w:hyperlink r:id="rId103" w:history="1">
        <w:r w:rsidRPr="007A3C81">
          <w:rPr>
            <w:color w:val="8E258D"/>
            <w:sz w:val="16"/>
            <w:szCs w:val="16"/>
            <w:u w:val="single"/>
          </w:rPr>
          <w:t>http://www2.gnb.ca/content/dam/gnb/Departments/pcsdp-cpmcph/pdf/publications/2013DAPReport.pdf</w:t>
        </w:r>
      </w:hyperlink>
    </w:p>
  </w:footnote>
  <w:footnote w:id="137">
    <w:p w:rsidR="001E72F7" w:rsidRPr="007A3C81" w:rsidRDefault="001E72F7" w:rsidP="00893821">
      <w:pPr>
        <w:pStyle w:val="FootnoteText"/>
        <w:spacing w:after="0"/>
        <w:rPr>
          <w:szCs w:val="16"/>
          <w:lang w:val="en-US"/>
        </w:rPr>
      </w:pPr>
      <w:r w:rsidRPr="007A3C81">
        <w:rPr>
          <w:rStyle w:val="FootnoteReference"/>
          <w:szCs w:val="16"/>
        </w:rPr>
        <w:footnoteRef/>
      </w:r>
      <w:r w:rsidRPr="007A3C81">
        <w:rPr>
          <w:szCs w:val="16"/>
        </w:rPr>
        <w:t xml:space="preserve"> </w:t>
      </w:r>
      <w:hyperlink r:id="rId104" w:history="1">
        <w:r w:rsidRPr="007A3C81">
          <w:rPr>
            <w:rStyle w:val="Hyperlink"/>
          </w:rPr>
          <w:t>http://www2.gnb.ca/content/dam/gnb/Departments/pcsdp-cpmcph/pdf/publications/2014DAPReport.pdf</w:t>
        </w:r>
      </w:hyperlink>
      <w:r w:rsidRPr="007A3C81">
        <w:rPr>
          <w:szCs w:val="16"/>
        </w:rPr>
        <w:t xml:space="preserve"> </w:t>
      </w:r>
    </w:p>
  </w:footnote>
  <w:footnote w:id="138">
    <w:p w:rsidR="001E72F7" w:rsidRPr="007A3C81" w:rsidRDefault="001E72F7" w:rsidP="00893821">
      <w:pPr>
        <w:contextualSpacing/>
        <w:rPr>
          <w:sz w:val="16"/>
          <w:szCs w:val="16"/>
        </w:rPr>
      </w:pPr>
      <w:r w:rsidRPr="007A3C81">
        <w:rPr>
          <w:rStyle w:val="FootnoteReference"/>
          <w:szCs w:val="16"/>
        </w:rPr>
        <w:footnoteRef/>
      </w:r>
      <w:r w:rsidRPr="007A3C81">
        <w:rPr>
          <w:sz w:val="16"/>
          <w:szCs w:val="16"/>
        </w:rPr>
        <w:t xml:space="preserve"> </w:t>
      </w:r>
      <w:hyperlink r:id="rId105" w:history="1">
        <w:r w:rsidRPr="007A3C81">
          <w:rPr>
            <w:color w:val="8E258D"/>
            <w:sz w:val="16"/>
            <w:szCs w:val="16"/>
            <w:u w:val="single"/>
          </w:rPr>
          <w:t>www.gnb.ca/0055/pdf/2013/Action-Plan_Progress-Report.pdf</w:t>
        </w:r>
      </w:hyperlink>
    </w:p>
    <w:p w:rsidR="001E72F7" w:rsidRPr="007A3C81" w:rsidRDefault="001E72F7" w:rsidP="00893821">
      <w:pPr>
        <w:pStyle w:val="FootnoteText"/>
      </w:pPr>
    </w:p>
  </w:footnote>
  <w:footnote w:id="139">
    <w:p w:rsidR="001E72F7" w:rsidRPr="003703CF" w:rsidRDefault="001E72F7" w:rsidP="00893821">
      <w:pPr>
        <w:pStyle w:val="FootnoteText"/>
        <w:rPr>
          <w:lang w:val="en-US"/>
        </w:rPr>
      </w:pPr>
      <w:r>
        <w:rPr>
          <w:rStyle w:val="FootnoteReference"/>
        </w:rPr>
        <w:footnoteRef/>
      </w:r>
      <w:r>
        <w:t xml:space="preserve"> </w:t>
      </w:r>
      <w:hyperlink r:id="rId106" w:history="1">
        <w:r w:rsidRPr="001C71A7">
          <w:rPr>
            <w:rStyle w:val="Hyperlink"/>
          </w:rPr>
          <w:t>http://www2.gnb.ca/content/gnb/en/services/services_renderer.8015.html</w:t>
        </w:r>
      </w:hyperlink>
      <w:r>
        <w:t xml:space="preserve"> </w:t>
      </w:r>
    </w:p>
  </w:footnote>
  <w:footnote w:id="140">
    <w:p w:rsidR="001E72F7" w:rsidRPr="003703CF" w:rsidRDefault="001E72F7" w:rsidP="00893821">
      <w:pPr>
        <w:pStyle w:val="FootnoteText"/>
        <w:rPr>
          <w:lang w:val="en-US"/>
        </w:rPr>
      </w:pPr>
      <w:r>
        <w:rPr>
          <w:rStyle w:val="FootnoteReference"/>
        </w:rPr>
        <w:footnoteRef/>
      </w:r>
      <w:r>
        <w:t xml:space="preserve"> </w:t>
      </w:r>
      <w:hyperlink r:id="rId107" w:history="1">
        <w:r w:rsidRPr="001C71A7">
          <w:rPr>
            <w:rStyle w:val="Hyperlink"/>
          </w:rPr>
          <w:t>http://www2.gnb.ca/content/gnb/en/services/services_renderer.8035.html</w:t>
        </w:r>
      </w:hyperlink>
      <w:r>
        <w:t xml:space="preserve"> </w:t>
      </w:r>
    </w:p>
  </w:footnote>
  <w:footnote w:id="141">
    <w:p w:rsidR="001E72F7" w:rsidRPr="003703CF" w:rsidRDefault="001E72F7" w:rsidP="00893821">
      <w:pPr>
        <w:pStyle w:val="FootnoteText"/>
        <w:rPr>
          <w:lang w:val="en-US"/>
        </w:rPr>
      </w:pPr>
      <w:r>
        <w:rPr>
          <w:rStyle w:val="FootnoteReference"/>
        </w:rPr>
        <w:footnoteRef/>
      </w:r>
      <w:r>
        <w:t xml:space="preserve"> </w:t>
      </w:r>
      <w:hyperlink r:id="rId108" w:history="1">
        <w:r w:rsidRPr="001C71A7">
          <w:rPr>
            <w:rStyle w:val="Hyperlink"/>
          </w:rPr>
          <w:t>http://www2.gnb.ca/content/gnb/en/services/services_renderer.8155.html</w:t>
        </w:r>
      </w:hyperlink>
      <w:r>
        <w:t xml:space="preserve"> </w:t>
      </w:r>
    </w:p>
  </w:footnote>
  <w:footnote w:id="142">
    <w:p w:rsidR="001E72F7" w:rsidRPr="003703CF" w:rsidRDefault="001E72F7" w:rsidP="00893821">
      <w:pPr>
        <w:pStyle w:val="FootnoteText"/>
        <w:rPr>
          <w:lang w:val="en-US"/>
        </w:rPr>
      </w:pPr>
      <w:r>
        <w:rPr>
          <w:rStyle w:val="FootnoteReference"/>
        </w:rPr>
        <w:footnoteRef/>
      </w:r>
      <w:r>
        <w:t xml:space="preserve"> </w:t>
      </w:r>
      <w:hyperlink r:id="rId109" w:history="1">
        <w:r w:rsidRPr="001C71A7">
          <w:rPr>
            <w:rStyle w:val="Hyperlink"/>
          </w:rPr>
          <w:t>http://www2.gnb.ca/content/gnb/en/services/services_renderer.8116.html</w:t>
        </w:r>
      </w:hyperlink>
      <w:r>
        <w:t xml:space="preserve"> </w:t>
      </w:r>
    </w:p>
  </w:footnote>
  <w:footnote w:id="143">
    <w:p w:rsidR="001E72F7" w:rsidRPr="003703CF" w:rsidRDefault="001E72F7" w:rsidP="00893821">
      <w:pPr>
        <w:pStyle w:val="FootnoteText"/>
        <w:rPr>
          <w:lang w:val="en-US"/>
        </w:rPr>
      </w:pPr>
      <w:r>
        <w:rPr>
          <w:rStyle w:val="FootnoteReference"/>
        </w:rPr>
        <w:footnoteRef/>
      </w:r>
      <w:r>
        <w:t xml:space="preserve"> </w:t>
      </w:r>
      <w:hyperlink r:id="rId110" w:history="1">
        <w:r w:rsidRPr="001C71A7">
          <w:rPr>
            <w:rStyle w:val="Hyperlink"/>
          </w:rPr>
          <w:t>http://www2.gnb.ca/content/gnb/en/services/services_renderer.7995.html</w:t>
        </w:r>
      </w:hyperlink>
      <w:r>
        <w:t xml:space="preserve"> </w:t>
      </w:r>
    </w:p>
  </w:footnote>
  <w:footnote w:id="144">
    <w:p w:rsidR="001E72F7" w:rsidRPr="003703CF" w:rsidRDefault="001E72F7" w:rsidP="00893821">
      <w:pPr>
        <w:pStyle w:val="FootnoteText"/>
        <w:rPr>
          <w:lang w:val="en-US"/>
        </w:rPr>
      </w:pPr>
      <w:r>
        <w:rPr>
          <w:rStyle w:val="FootnoteReference"/>
        </w:rPr>
        <w:footnoteRef/>
      </w:r>
      <w:r>
        <w:t xml:space="preserve"> </w:t>
      </w:r>
      <w:hyperlink r:id="rId111" w:history="1">
        <w:r w:rsidRPr="001C71A7">
          <w:rPr>
            <w:rStyle w:val="Hyperlink"/>
          </w:rPr>
          <w:t>http://www2.gnb.ca/content/gnb/en/services/services_renderer.8896.html</w:t>
        </w:r>
      </w:hyperlink>
      <w:r>
        <w:t xml:space="preserve"> </w:t>
      </w:r>
    </w:p>
  </w:footnote>
  <w:footnote w:id="145">
    <w:p w:rsidR="001E72F7" w:rsidRPr="003703CF" w:rsidRDefault="001E72F7" w:rsidP="00893821">
      <w:pPr>
        <w:pStyle w:val="FootnoteText"/>
        <w:rPr>
          <w:lang w:val="en-US"/>
        </w:rPr>
      </w:pPr>
      <w:r>
        <w:rPr>
          <w:rStyle w:val="FootnoteReference"/>
        </w:rPr>
        <w:footnoteRef/>
      </w:r>
      <w:r>
        <w:t xml:space="preserve"> </w:t>
      </w:r>
      <w:hyperlink r:id="rId112" w:history="1">
        <w:r w:rsidRPr="001C71A7">
          <w:rPr>
            <w:rStyle w:val="Hyperlink"/>
          </w:rPr>
          <w:t>http://novascotia.ca/coms/employment/income_assistance/Pharmacare.html</w:t>
        </w:r>
      </w:hyperlink>
      <w:r>
        <w:t xml:space="preserve"> </w:t>
      </w:r>
    </w:p>
  </w:footnote>
  <w:footnote w:id="146">
    <w:p w:rsidR="001E72F7" w:rsidRPr="003703CF" w:rsidRDefault="001E72F7" w:rsidP="00893821">
      <w:pPr>
        <w:pStyle w:val="FootnoteText"/>
        <w:rPr>
          <w:lang w:val="en-US"/>
        </w:rPr>
      </w:pPr>
      <w:r>
        <w:rPr>
          <w:rStyle w:val="FootnoteReference"/>
        </w:rPr>
        <w:footnoteRef/>
      </w:r>
      <w:r>
        <w:t xml:space="preserve"> </w:t>
      </w:r>
      <w:hyperlink r:id="rId113" w:history="1">
        <w:r w:rsidRPr="001C71A7">
          <w:rPr>
            <w:rStyle w:val="Hyperlink"/>
          </w:rPr>
          <w:t>http://novascotia.ca/dhw/mental-health/documents/Mental-Health-Community-Supports-Standards.pdf</w:t>
        </w:r>
      </w:hyperlink>
      <w:r>
        <w:t xml:space="preserve"> </w:t>
      </w:r>
    </w:p>
  </w:footnote>
  <w:footnote w:id="147">
    <w:p w:rsidR="001E72F7" w:rsidRPr="00095B6A" w:rsidRDefault="001E72F7" w:rsidP="00893821">
      <w:pPr>
        <w:pStyle w:val="FootnoteText"/>
        <w:spacing w:after="0"/>
        <w:rPr>
          <w:lang w:val="en-US"/>
        </w:rPr>
      </w:pPr>
      <w:r>
        <w:rPr>
          <w:rStyle w:val="FootnoteReference"/>
        </w:rPr>
        <w:footnoteRef/>
      </w:r>
      <w:r>
        <w:t xml:space="preserve"> </w:t>
      </w:r>
      <w:hyperlink r:id="rId114" w:history="1">
        <w:r w:rsidRPr="00095B6A">
          <w:rPr>
            <w:rStyle w:val="Hyperlink"/>
          </w:rPr>
          <w:t>https://www.novascotia.ca/just/regulations/regs/bcregs.htm</w:t>
        </w:r>
      </w:hyperlink>
    </w:p>
  </w:footnote>
  <w:footnote w:id="148">
    <w:p w:rsidR="001E72F7" w:rsidRPr="00941DD3" w:rsidRDefault="001E72F7" w:rsidP="00893821">
      <w:pPr>
        <w:rPr>
          <w:sz w:val="16"/>
          <w:szCs w:val="16"/>
        </w:rPr>
      </w:pPr>
      <w:r w:rsidRPr="00941DD3">
        <w:rPr>
          <w:rStyle w:val="FootnoteReference"/>
          <w:szCs w:val="16"/>
        </w:rPr>
        <w:footnoteRef/>
      </w:r>
      <w:r w:rsidRPr="00941DD3">
        <w:rPr>
          <w:sz w:val="16"/>
          <w:szCs w:val="16"/>
        </w:rPr>
        <w:t xml:space="preserve"> </w:t>
      </w:r>
      <w:hyperlink r:id="rId115" w:history="1">
        <w:r w:rsidRPr="00941DD3">
          <w:rPr>
            <w:color w:val="8E258D"/>
            <w:sz w:val="16"/>
            <w:szCs w:val="16"/>
            <w:u w:val="single"/>
          </w:rPr>
          <w:t>http://novascotia.ca/coms/accessibility/</w:t>
        </w:r>
      </w:hyperlink>
      <w:r w:rsidRPr="00941DD3">
        <w:rPr>
          <w:sz w:val="16"/>
          <w:szCs w:val="16"/>
        </w:rPr>
        <w:t xml:space="preserve"> and </w:t>
      </w:r>
      <w:hyperlink r:id="rId116" w:history="1">
        <w:r w:rsidRPr="00941DD3">
          <w:rPr>
            <w:color w:val="8E258D"/>
            <w:sz w:val="16"/>
            <w:szCs w:val="16"/>
            <w:u w:val="single"/>
          </w:rPr>
          <w:t>http://novascotia.ca/coms/accessibility/what/</w:t>
        </w:r>
      </w:hyperlink>
      <w:r w:rsidRPr="00941DD3">
        <w:rPr>
          <w:sz w:val="16"/>
          <w:szCs w:val="16"/>
        </w:rPr>
        <w:t xml:space="preserve"> </w:t>
      </w:r>
    </w:p>
  </w:footnote>
  <w:footnote w:id="149">
    <w:p w:rsidR="001E72F7" w:rsidRPr="00F64635" w:rsidRDefault="001E72F7" w:rsidP="00893821">
      <w:pPr>
        <w:pStyle w:val="FootnoteText"/>
        <w:spacing w:after="0"/>
      </w:pPr>
      <w:r>
        <w:rPr>
          <w:rStyle w:val="FootnoteReference"/>
        </w:rPr>
        <w:footnoteRef/>
      </w:r>
      <w:r>
        <w:t xml:space="preserve"> </w:t>
      </w:r>
      <w:hyperlink r:id="rId117" w:history="1">
        <w:r w:rsidRPr="00DC3873">
          <w:rPr>
            <w:rStyle w:val="Hyperlink"/>
          </w:rPr>
          <w:t>http://novascotia.ca/coms/disabilities/</w:t>
        </w:r>
      </w:hyperlink>
      <w:r>
        <w:t xml:space="preserve"> </w:t>
      </w:r>
    </w:p>
  </w:footnote>
  <w:footnote w:id="150">
    <w:p w:rsidR="001E72F7" w:rsidRPr="00941DD3" w:rsidRDefault="001E72F7" w:rsidP="00893821">
      <w:pPr>
        <w:pStyle w:val="FootnoteText"/>
        <w:rPr>
          <w:szCs w:val="16"/>
          <w:lang w:val="en-US"/>
        </w:rPr>
      </w:pPr>
      <w:r w:rsidRPr="00941DD3">
        <w:rPr>
          <w:rStyle w:val="FootnoteReference"/>
          <w:szCs w:val="16"/>
        </w:rPr>
        <w:footnoteRef/>
      </w:r>
      <w:r w:rsidRPr="00941DD3">
        <w:rPr>
          <w:szCs w:val="16"/>
        </w:rPr>
        <w:t xml:space="preserve"> </w:t>
      </w:r>
      <w:hyperlink r:id="rId118" w:history="1">
        <w:r w:rsidRPr="00941DD3">
          <w:rPr>
            <w:rStyle w:val="Hyperlink"/>
          </w:rPr>
          <w:t>http://www.novascotia.ca/coms/disabilities/WheelchairRecycling.html</w:t>
        </w:r>
      </w:hyperlink>
      <w:r w:rsidRPr="00941DD3">
        <w:rPr>
          <w:szCs w:val="16"/>
        </w:rPr>
        <w:t xml:space="preserve"> </w:t>
      </w:r>
    </w:p>
  </w:footnote>
  <w:footnote w:id="151">
    <w:p w:rsidR="001E72F7" w:rsidRPr="001031B6" w:rsidRDefault="001E72F7" w:rsidP="00E060A7">
      <w:pPr>
        <w:pStyle w:val="FootnoteText"/>
      </w:pPr>
      <w:r>
        <w:rPr>
          <w:rStyle w:val="FootnoteReference"/>
        </w:rPr>
        <w:footnoteRef/>
      </w:r>
      <w:r>
        <w:t xml:space="preserve"> </w:t>
      </w:r>
      <w:hyperlink r:id="rId119" w:history="1">
        <w:r w:rsidRPr="00E90492">
          <w:rPr>
            <w:color w:val="8E258D"/>
            <w:u w:val="single"/>
          </w:rPr>
          <w:t>http://www.assembly.nl.ca/legislation/sr/regulations/rc961140.htm</w:t>
        </w:r>
      </w:hyperlink>
    </w:p>
  </w:footnote>
  <w:footnote w:id="152">
    <w:p w:rsidR="001E72F7" w:rsidRPr="003703CF" w:rsidRDefault="001E72F7" w:rsidP="00E060A7">
      <w:pPr>
        <w:pStyle w:val="FootnoteText"/>
        <w:rPr>
          <w:lang w:val="en-US"/>
        </w:rPr>
      </w:pPr>
      <w:r>
        <w:rPr>
          <w:rStyle w:val="FootnoteReference"/>
        </w:rPr>
        <w:footnoteRef/>
      </w:r>
      <w:r>
        <w:t xml:space="preserve"> </w:t>
      </w:r>
      <w:hyperlink r:id="rId120" w:anchor="scwap" w:history="1">
        <w:r w:rsidRPr="001C71A7">
          <w:rPr>
            <w:rStyle w:val="Hyperlink"/>
          </w:rPr>
          <w:t>http://www.health.gov.nl.ca/health/personsdisabilities/fundingprograms_hcs.html#scwap</w:t>
        </w:r>
      </w:hyperlink>
      <w:r>
        <w:t xml:space="preserve"> </w:t>
      </w:r>
    </w:p>
  </w:footnote>
  <w:footnote w:id="153">
    <w:p w:rsidR="001E72F7" w:rsidRPr="008D5CF4" w:rsidRDefault="001E72F7" w:rsidP="00E060A7">
      <w:pPr>
        <w:pStyle w:val="FootnoteText"/>
        <w:rPr>
          <w:lang w:val="en-US"/>
        </w:rPr>
      </w:pPr>
      <w:r>
        <w:rPr>
          <w:rStyle w:val="FootnoteReference"/>
        </w:rPr>
        <w:footnoteRef/>
      </w:r>
      <w:r>
        <w:t xml:space="preserve"> </w:t>
      </w:r>
      <w:hyperlink r:id="rId121" w:history="1">
        <w:r w:rsidRPr="009A4ABE">
          <w:rPr>
            <w:rStyle w:val="Hyperlink"/>
          </w:rPr>
          <w:t>http://www.health.gov.nl.ca/health/personsdisabilities/fundingprograms_hcs.html</w:t>
        </w:r>
      </w:hyperlink>
      <w:r>
        <w:t xml:space="preserve"> </w:t>
      </w:r>
    </w:p>
  </w:footnote>
  <w:footnote w:id="154">
    <w:p w:rsidR="001E72F7" w:rsidRPr="008D5CF4" w:rsidRDefault="001E72F7" w:rsidP="00E060A7">
      <w:pPr>
        <w:pStyle w:val="FootnoteText"/>
        <w:rPr>
          <w:lang w:val="en-US"/>
        </w:rPr>
      </w:pPr>
      <w:r>
        <w:rPr>
          <w:rStyle w:val="FootnoteReference"/>
        </w:rPr>
        <w:footnoteRef/>
      </w:r>
      <w:r>
        <w:t xml:space="preserve"> </w:t>
      </w:r>
      <w:hyperlink r:id="rId122" w:history="1">
        <w:r w:rsidRPr="009A4ABE">
          <w:rPr>
            <w:rStyle w:val="Hyperlink"/>
          </w:rPr>
          <w:t>http://www.health.gov.nl.ca/health/personsdisabilities/fundingprograms_hcs.html</w:t>
        </w:r>
      </w:hyperlink>
      <w:r>
        <w:t xml:space="preserve"> </w:t>
      </w:r>
    </w:p>
  </w:footnote>
  <w:footnote w:id="155">
    <w:p w:rsidR="001E72F7" w:rsidRPr="008D5CF4" w:rsidRDefault="001E72F7" w:rsidP="00E060A7">
      <w:pPr>
        <w:pStyle w:val="FootnoteText"/>
        <w:rPr>
          <w:lang w:val="en-US"/>
        </w:rPr>
      </w:pPr>
      <w:r>
        <w:rPr>
          <w:rStyle w:val="FootnoteReference"/>
        </w:rPr>
        <w:footnoteRef/>
      </w:r>
      <w:r>
        <w:t xml:space="preserve"> </w:t>
      </w:r>
      <w:hyperlink r:id="rId123" w:history="1">
        <w:r w:rsidRPr="009A4ABE">
          <w:rPr>
            <w:rStyle w:val="Hyperlink"/>
          </w:rPr>
          <w:t>http://www.health.gov.nl.ca/health/personsdisabilities/fundingprograms_hcs.html</w:t>
        </w:r>
      </w:hyperlink>
      <w:r>
        <w:t xml:space="preserve"> </w:t>
      </w:r>
    </w:p>
  </w:footnote>
  <w:footnote w:id="156">
    <w:p w:rsidR="001E72F7" w:rsidRPr="00D460C5" w:rsidRDefault="001E72F7" w:rsidP="00E060A7">
      <w:pPr>
        <w:pStyle w:val="FootnoteText"/>
        <w:rPr>
          <w:lang w:val="en-US"/>
        </w:rPr>
      </w:pPr>
      <w:r>
        <w:rPr>
          <w:rStyle w:val="FootnoteReference"/>
        </w:rPr>
        <w:footnoteRef/>
      </w:r>
      <w:r>
        <w:t xml:space="preserve"> </w:t>
      </w:r>
      <w:hyperlink r:id="rId124" w:history="1">
        <w:r w:rsidRPr="006D300A">
          <w:rPr>
            <w:rStyle w:val="Hyperlink"/>
          </w:rPr>
          <w:t>http://www.gov.pe.ca/law/regulations/pdf/P&amp;24-1.pdf</w:t>
        </w:r>
      </w:hyperlink>
      <w:r>
        <w:t xml:space="preserve"> </w:t>
      </w:r>
    </w:p>
  </w:footnote>
  <w:footnote w:id="157">
    <w:p w:rsidR="001E72F7" w:rsidRPr="00516775" w:rsidRDefault="001E72F7" w:rsidP="00E060A7">
      <w:pPr>
        <w:pStyle w:val="FootnoteText"/>
        <w:rPr>
          <w:lang w:val="en-US"/>
        </w:rPr>
      </w:pPr>
      <w:r>
        <w:rPr>
          <w:rStyle w:val="FootnoteReference"/>
        </w:rPr>
        <w:footnoteRef/>
      </w:r>
      <w:r>
        <w:t xml:space="preserve"> </w:t>
      </w:r>
      <w:hyperlink r:id="rId125" w:history="1">
        <w:r w:rsidRPr="00516775">
          <w:rPr>
            <w:rStyle w:val="Hyperlink"/>
          </w:rPr>
          <w:t>http://www.gov.pe.ca/environment/index.php3?number=1047336&amp;lang=E</w:t>
        </w:r>
      </w:hyperlink>
    </w:p>
  </w:footnote>
  <w:footnote w:id="158">
    <w:p w:rsidR="001E72F7" w:rsidRPr="00516775" w:rsidRDefault="001E72F7" w:rsidP="00E060A7">
      <w:pPr>
        <w:pStyle w:val="FootnoteText"/>
        <w:rPr>
          <w:lang w:val="en-US"/>
        </w:rPr>
      </w:pPr>
      <w:r w:rsidRPr="00516775">
        <w:rPr>
          <w:rStyle w:val="FootnoteReference"/>
          <w:sz w:val="12"/>
        </w:rPr>
        <w:footnoteRef/>
      </w:r>
      <w:r w:rsidRPr="00516775">
        <w:rPr>
          <w:sz w:val="12"/>
        </w:rPr>
        <w:t xml:space="preserve"> </w:t>
      </w:r>
      <w:hyperlink r:id="rId126" w:history="1">
        <w:r w:rsidRPr="00516775">
          <w:rPr>
            <w:rStyle w:val="Hyperlink"/>
          </w:rPr>
          <w:t>http://www.gov.pe.ca/law/statutes/pdf/c-13.pdf</w:t>
        </w:r>
      </w:hyperlink>
    </w:p>
  </w:footnote>
  <w:footnote w:id="159">
    <w:p w:rsidR="001E72F7" w:rsidRPr="00BA2E61" w:rsidRDefault="001E72F7" w:rsidP="00E060A7">
      <w:pPr>
        <w:pStyle w:val="FootnoteText"/>
        <w:rPr>
          <w:lang w:val="en-US"/>
        </w:rPr>
      </w:pPr>
      <w:r>
        <w:rPr>
          <w:rStyle w:val="FootnoteReference"/>
        </w:rPr>
        <w:footnoteRef/>
      </w:r>
      <w:r>
        <w:t xml:space="preserve"> </w:t>
      </w:r>
      <w:hyperlink r:id="rId127" w:history="1">
        <w:r w:rsidRPr="009A4ABE">
          <w:rPr>
            <w:rStyle w:val="Hyperlink"/>
          </w:rPr>
          <w:t>http://www.gov.pe.ca/sss/index.php3?number=20667</w:t>
        </w:r>
      </w:hyperlink>
      <w:r>
        <w:t xml:space="preserve"> </w:t>
      </w:r>
    </w:p>
  </w:footnote>
  <w:footnote w:id="160">
    <w:p w:rsidR="001E72F7" w:rsidRPr="003703CF" w:rsidRDefault="001E72F7" w:rsidP="00E060A7">
      <w:pPr>
        <w:pStyle w:val="FootnoteText"/>
        <w:rPr>
          <w:lang w:val="en-US"/>
        </w:rPr>
      </w:pPr>
      <w:r>
        <w:rPr>
          <w:rStyle w:val="FootnoteReference"/>
        </w:rPr>
        <w:footnoteRef/>
      </w:r>
      <w:r>
        <w:t xml:space="preserve"> </w:t>
      </w:r>
      <w:hyperlink r:id="rId128" w:history="1">
        <w:r w:rsidRPr="001C71A7">
          <w:rPr>
            <w:rStyle w:val="Hyperlink"/>
          </w:rPr>
          <w:t>http://www.healthpei.ca/mentalhealth</w:t>
        </w:r>
      </w:hyperlink>
      <w:r>
        <w:t xml:space="preserve"> </w:t>
      </w:r>
    </w:p>
  </w:footnote>
  <w:footnote w:id="161">
    <w:p w:rsidR="001E72F7" w:rsidRPr="00941DD3" w:rsidRDefault="001E72F7" w:rsidP="00E060A7">
      <w:pPr>
        <w:pStyle w:val="FootnoteText"/>
      </w:pPr>
      <w:r>
        <w:rPr>
          <w:rStyle w:val="FootnoteReference"/>
        </w:rPr>
        <w:footnoteRef/>
      </w:r>
      <w:r>
        <w:t xml:space="preserve"> </w:t>
      </w:r>
      <w:hyperlink r:id="rId129" w:history="1">
        <w:r w:rsidRPr="00941DD3">
          <w:rPr>
            <w:color w:val="8E258D"/>
            <w:u w:val="single"/>
            <w:lang w:val="en-US"/>
          </w:rPr>
          <w:t>http://www.gov.pe.ca/photos/original/DHW-StandardPNH.pdf</w:t>
        </w:r>
      </w:hyperlink>
    </w:p>
  </w:footnote>
  <w:footnote w:id="162">
    <w:p w:rsidR="001E72F7" w:rsidRPr="003703CF" w:rsidRDefault="001E72F7" w:rsidP="00E060A7">
      <w:pPr>
        <w:pStyle w:val="FootnoteText"/>
        <w:rPr>
          <w:lang w:val="en-US"/>
        </w:rPr>
      </w:pPr>
      <w:r>
        <w:rPr>
          <w:rStyle w:val="FootnoteReference"/>
        </w:rPr>
        <w:footnoteRef/>
      </w:r>
      <w:r>
        <w:t xml:space="preserve"> </w:t>
      </w:r>
      <w:hyperlink r:id="rId130" w:history="1">
        <w:r w:rsidRPr="001C71A7">
          <w:rPr>
            <w:rStyle w:val="Hyperlink"/>
          </w:rPr>
          <w:t>http://www.healthpei.ca/index.php3?number=1036849&amp;lang=E</w:t>
        </w:r>
      </w:hyperlink>
      <w:r>
        <w:t xml:space="preserve"> </w:t>
      </w:r>
    </w:p>
  </w:footnote>
  <w:footnote w:id="163">
    <w:p w:rsidR="001E72F7" w:rsidRPr="003703CF" w:rsidRDefault="001E72F7" w:rsidP="00E060A7">
      <w:pPr>
        <w:pStyle w:val="FootnoteText"/>
        <w:rPr>
          <w:lang w:val="en-US"/>
        </w:rPr>
      </w:pPr>
      <w:r>
        <w:rPr>
          <w:rStyle w:val="FootnoteReference"/>
        </w:rPr>
        <w:footnoteRef/>
      </w:r>
      <w:r>
        <w:t xml:space="preserve"> </w:t>
      </w:r>
      <w:hyperlink r:id="rId131" w:history="1">
        <w:r w:rsidRPr="001C71A7">
          <w:rPr>
            <w:rStyle w:val="Hyperlink"/>
          </w:rPr>
          <w:t>http://www.healthpei.ca/index.php3?number=1020500&amp;lang=E</w:t>
        </w:r>
      </w:hyperlink>
      <w:r>
        <w:t xml:space="preserve"> </w:t>
      </w:r>
    </w:p>
  </w:footnote>
  <w:footnote w:id="164">
    <w:p w:rsidR="001E72F7" w:rsidRPr="003703CF" w:rsidRDefault="001E72F7" w:rsidP="00E060A7">
      <w:pPr>
        <w:pStyle w:val="FootnoteText"/>
        <w:rPr>
          <w:lang w:val="en-US"/>
        </w:rPr>
      </w:pPr>
      <w:r>
        <w:rPr>
          <w:rStyle w:val="FootnoteReference"/>
        </w:rPr>
        <w:footnoteRef/>
      </w:r>
      <w:r>
        <w:t xml:space="preserve"> </w:t>
      </w:r>
      <w:hyperlink r:id="rId132" w:history="1">
        <w:r w:rsidRPr="001C71A7">
          <w:rPr>
            <w:rStyle w:val="Hyperlink"/>
          </w:rPr>
          <w:t>http://www.healthpei.ca/index.php3?number=1020503&amp;lang=E</w:t>
        </w:r>
      </w:hyperlink>
      <w:r>
        <w:t xml:space="preserve"> </w:t>
      </w:r>
    </w:p>
  </w:footnote>
  <w:footnote w:id="165">
    <w:p w:rsidR="001E72F7" w:rsidRPr="003703CF" w:rsidRDefault="001E72F7" w:rsidP="00E060A7">
      <w:pPr>
        <w:pStyle w:val="FootnoteText"/>
        <w:rPr>
          <w:lang w:val="en-US"/>
        </w:rPr>
      </w:pPr>
      <w:r>
        <w:rPr>
          <w:rStyle w:val="FootnoteReference"/>
        </w:rPr>
        <w:footnoteRef/>
      </w:r>
      <w:r>
        <w:t xml:space="preserve"> </w:t>
      </w:r>
      <w:hyperlink r:id="rId133" w:history="1">
        <w:r w:rsidRPr="001C71A7">
          <w:rPr>
            <w:rStyle w:val="Hyperlink"/>
          </w:rPr>
          <w:t>http://www.healthpei.ca/index.php3?number=1020508&amp;lang=E</w:t>
        </w:r>
      </w:hyperlink>
      <w:r>
        <w:t xml:space="preserve"> </w:t>
      </w:r>
    </w:p>
  </w:footnote>
  <w:footnote w:id="166">
    <w:p w:rsidR="001E72F7" w:rsidRPr="008663CE" w:rsidRDefault="001E72F7" w:rsidP="00E060A7">
      <w:pPr>
        <w:pStyle w:val="FootnoteText"/>
        <w:rPr>
          <w:lang w:val="en-US"/>
        </w:rPr>
      </w:pPr>
      <w:r>
        <w:rPr>
          <w:rStyle w:val="FootnoteReference"/>
        </w:rPr>
        <w:footnoteRef/>
      </w:r>
      <w:r>
        <w:t xml:space="preserve"> </w:t>
      </w:r>
      <w:hyperlink r:id="rId134" w:history="1">
        <w:r w:rsidRPr="006D300A">
          <w:rPr>
            <w:rStyle w:val="Hyperlink"/>
          </w:rPr>
          <w:t>http://www.nrc-cnrc.gc.ca/ci-ic/article/v6n2-2</w:t>
        </w:r>
      </w:hyperlink>
      <w:r>
        <w:t xml:space="preserve"> </w:t>
      </w:r>
    </w:p>
  </w:footnote>
  <w:footnote w:id="167">
    <w:p w:rsidR="001E72F7" w:rsidRPr="00516775" w:rsidRDefault="001E72F7" w:rsidP="00E060A7">
      <w:pPr>
        <w:pStyle w:val="FootnoteText"/>
        <w:rPr>
          <w:lang w:val="en-US"/>
        </w:rPr>
      </w:pPr>
      <w:r>
        <w:rPr>
          <w:rStyle w:val="FootnoteReference"/>
        </w:rPr>
        <w:footnoteRef/>
      </w:r>
      <w:r>
        <w:t xml:space="preserve"> </w:t>
      </w:r>
      <w:hyperlink r:id="rId135" w:history="1">
        <w:r w:rsidRPr="00516775">
          <w:rPr>
            <w:rStyle w:val="Hyperlink"/>
          </w:rPr>
          <w:t>http://nwthumanrights.ca/cashra2007/documents/final_documents/22_fraser_cera_advocates_Kit_pt_1.pdf</w:t>
        </w:r>
      </w:hyperlink>
    </w:p>
  </w:footnote>
  <w:footnote w:id="168">
    <w:p w:rsidR="001E72F7" w:rsidRPr="003703CF" w:rsidRDefault="001E72F7" w:rsidP="00E060A7">
      <w:pPr>
        <w:pStyle w:val="FootnoteText"/>
        <w:rPr>
          <w:lang w:val="en-US"/>
        </w:rPr>
      </w:pPr>
      <w:r>
        <w:rPr>
          <w:rStyle w:val="FootnoteReference"/>
        </w:rPr>
        <w:footnoteRef/>
      </w:r>
      <w:r>
        <w:t xml:space="preserve"> </w:t>
      </w:r>
      <w:hyperlink r:id="rId136" w:anchor="sec-northwest-territories" w:history="1">
        <w:r w:rsidRPr="001C71A7">
          <w:rPr>
            <w:rStyle w:val="Hyperlink"/>
          </w:rPr>
          <w:t>http://www.ccdonline.ca/en/international/un/canada/crpd-first-report#sec-northwest-territories</w:t>
        </w:r>
      </w:hyperlink>
      <w:r>
        <w:t xml:space="preserve"> </w:t>
      </w:r>
    </w:p>
  </w:footnote>
  <w:footnote w:id="169">
    <w:p w:rsidR="001E72F7" w:rsidRPr="003703CF" w:rsidRDefault="001E72F7" w:rsidP="00E060A7">
      <w:pPr>
        <w:pStyle w:val="FootnoteText"/>
        <w:rPr>
          <w:lang w:val="en-US"/>
        </w:rPr>
      </w:pPr>
      <w:r>
        <w:rPr>
          <w:rStyle w:val="FootnoteReference"/>
        </w:rPr>
        <w:footnoteRef/>
      </w:r>
      <w:r>
        <w:t xml:space="preserve"> </w:t>
      </w:r>
      <w:hyperlink r:id="rId137" w:history="1">
        <w:r w:rsidRPr="001C71A7">
          <w:rPr>
            <w:rStyle w:val="Hyperlink"/>
          </w:rPr>
          <w:t>http://www.hss.gov.nt.ca/health/nwt-health-care-plan/extended-health-benefits-specified-disease-conditions</w:t>
        </w:r>
      </w:hyperlink>
      <w:r>
        <w:t xml:space="preserve"> </w:t>
      </w:r>
    </w:p>
  </w:footnote>
  <w:footnote w:id="170">
    <w:p w:rsidR="001E72F7" w:rsidRPr="004D75FE" w:rsidRDefault="001E72F7" w:rsidP="00E060A7">
      <w:pPr>
        <w:pStyle w:val="FootnoteText"/>
        <w:rPr>
          <w:lang w:val="en-US"/>
        </w:rPr>
      </w:pPr>
      <w:r>
        <w:rPr>
          <w:rStyle w:val="FootnoteReference"/>
        </w:rPr>
        <w:footnoteRef/>
      </w:r>
      <w:r>
        <w:t xml:space="preserve"> </w:t>
      </w:r>
      <w:hyperlink r:id="rId138" w:history="1">
        <w:r w:rsidRPr="00DA4415">
          <w:rPr>
            <w:rStyle w:val="Hyperlink"/>
          </w:rPr>
          <w:t>http://www.nrc-cnrc.gc.ca/ci-ic/article/v6n2-2</w:t>
        </w:r>
      </w:hyperlink>
      <w:r>
        <w:t xml:space="preserve"> </w:t>
      </w:r>
    </w:p>
  </w:footnote>
  <w:footnote w:id="171">
    <w:p w:rsidR="001E72F7" w:rsidRPr="00A3113C" w:rsidRDefault="001E72F7" w:rsidP="00E060A7">
      <w:pPr>
        <w:pStyle w:val="FootnoteText"/>
        <w:rPr>
          <w:lang w:val="en-US"/>
        </w:rPr>
      </w:pPr>
      <w:r>
        <w:rPr>
          <w:rStyle w:val="FootnoteReference"/>
        </w:rPr>
        <w:footnoteRef/>
      </w:r>
      <w:r>
        <w:t xml:space="preserve"> </w:t>
      </w:r>
      <w:hyperlink r:id="rId139" w:history="1">
        <w:r w:rsidRPr="00DA4415">
          <w:rPr>
            <w:rStyle w:val="Hyperlink"/>
          </w:rPr>
          <w:t>http://www.gov.nu.ca/sites/default/files/files/Finance/Budgets/2008-09%20%20Budgets/BP2008-2009_Eng2.pdf</w:t>
        </w:r>
      </w:hyperlink>
      <w:r>
        <w:t xml:space="preserve"> </w:t>
      </w:r>
    </w:p>
  </w:footnote>
  <w:footnote w:id="172">
    <w:p w:rsidR="001E72F7" w:rsidRPr="00171C70" w:rsidRDefault="001E72F7" w:rsidP="00E060A7">
      <w:pPr>
        <w:pStyle w:val="FootnoteText"/>
        <w:rPr>
          <w:lang w:val="en-US"/>
        </w:rPr>
      </w:pPr>
      <w:r>
        <w:rPr>
          <w:rStyle w:val="FootnoteReference"/>
        </w:rPr>
        <w:footnoteRef/>
      </w:r>
      <w:hyperlink r:id="rId140" w:history="1">
        <w:r w:rsidRPr="00DA4415">
          <w:rPr>
            <w:rStyle w:val="Hyperlink"/>
          </w:rPr>
          <w:t>http://www.nunavuthousing.ca/apps/UPLOADS/fck/file/NHC%20HRP%20Guidelines%20-%20Clean%20-%20October%202014.pdf</w:t>
        </w:r>
      </w:hyperlink>
      <w:r>
        <w:t xml:space="preserve"> </w:t>
      </w:r>
    </w:p>
  </w:footnote>
  <w:footnote w:id="173">
    <w:p w:rsidR="001E72F7" w:rsidRPr="004D75FE" w:rsidRDefault="001E72F7" w:rsidP="00E060A7">
      <w:pPr>
        <w:pStyle w:val="FootnoteText"/>
        <w:rPr>
          <w:lang w:val="en-US"/>
        </w:rPr>
      </w:pPr>
      <w:r>
        <w:rPr>
          <w:rStyle w:val="FootnoteReference"/>
        </w:rPr>
        <w:footnoteRef/>
      </w:r>
      <w:r>
        <w:t xml:space="preserve"> </w:t>
      </w:r>
      <w:hyperlink r:id="rId141" w:anchor="sec-yukon" w:history="1">
        <w:r w:rsidRPr="00DA4415">
          <w:rPr>
            <w:rStyle w:val="Hyperlink"/>
          </w:rPr>
          <w:t>http://www.ccdonline.ca/en/international/un/canada/crpd-first-report#sec-yukon</w:t>
        </w:r>
      </w:hyperlink>
      <w:r>
        <w:t xml:space="preserve"> </w:t>
      </w:r>
    </w:p>
  </w:footnote>
  <w:footnote w:id="174">
    <w:p w:rsidR="001E72F7" w:rsidRPr="004D75FE" w:rsidRDefault="001E72F7" w:rsidP="00E060A7">
      <w:pPr>
        <w:pStyle w:val="FootnoteText"/>
        <w:rPr>
          <w:lang w:val="en-US"/>
        </w:rPr>
      </w:pPr>
      <w:r>
        <w:rPr>
          <w:rStyle w:val="FootnoteReference"/>
        </w:rPr>
        <w:footnoteRef/>
      </w:r>
      <w:r>
        <w:t xml:space="preserve"> </w:t>
      </w:r>
      <w:hyperlink r:id="rId142" w:history="1">
        <w:r w:rsidRPr="00DA4415">
          <w:rPr>
            <w:rStyle w:val="Hyperlink"/>
          </w:rPr>
          <w:t>http://www.nrc-cnrc.gc.ca/ci-ic/article/v6n2-2</w:t>
        </w:r>
      </w:hyperlink>
      <w:r>
        <w:t xml:space="preserve"> </w:t>
      </w:r>
    </w:p>
  </w:footnote>
  <w:footnote w:id="175">
    <w:p w:rsidR="001E72F7" w:rsidRPr="003703CF" w:rsidRDefault="001E72F7" w:rsidP="00E060A7">
      <w:pPr>
        <w:pStyle w:val="FootnoteText"/>
        <w:rPr>
          <w:lang w:val="en-US"/>
        </w:rPr>
      </w:pPr>
      <w:r>
        <w:rPr>
          <w:rStyle w:val="FootnoteReference"/>
        </w:rPr>
        <w:footnoteRef/>
      </w:r>
      <w:r>
        <w:t xml:space="preserve"> </w:t>
      </w:r>
      <w:hyperlink r:id="rId143" w:history="1">
        <w:r w:rsidRPr="001C71A7">
          <w:rPr>
            <w:rStyle w:val="Hyperlink"/>
          </w:rPr>
          <w:t>http://www.hss.gov.yk.ca/chronic_disease.php</w:t>
        </w:r>
      </w:hyperlink>
      <w:r>
        <w:t xml:space="preserve"> </w:t>
      </w:r>
    </w:p>
  </w:footnote>
  <w:footnote w:id="176">
    <w:p w:rsidR="001E72F7" w:rsidRPr="003703CF" w:rsidRDefault="001E72F7" w:rsidP="00E060A7">
      <w:pPr>
        <w:pStyle w:val="FootnoteText"/>
        <w:rPr>
          <w:lang w:val="en-US"/>
        </w:rPr>
      </w:pPr>
      <w:r>
        <w:rPr>
          <w:rStyle w:val="FootnoteReference"/>
        </w:rPr>
        <w:footnoteRef/>
      </w:r>
      <w:r>
        <w:t xml:space="preserve"> </w:t>
      </w:r>
      <w:hyperlink r:id="rId144" w:history="1">
        <w:r w:rsidRPr="001C71A7">
          <w:rPr>
            <w:rStyle w:val="Hyperlink"/>
          </w:rPr>
          <w:t>http://www.hss.gov.yk.ca/homecare.php</w:t>
        </w:r>
      </w:hyperlink>
      <w:r>
        <w:t xml:space="preserve"> </w:t>
      </w:r>
    </w:p>
  </w:footnote>
  <w:footnote w:id="177">
    <w:p w:rsidR="001E72F7" w:rsidRPr="003703CF" w:rsidRDefault="001E72F7" w:rsidP="00E060A7">
      <w:pPr>
        <w:pStyle w:val="FootnoteText"/>
        <w:rPr>
          <w:lang w:val="en-US"/>
        </w:rPr>
      </w:pPr>
      <w:r>
        <w:rPr>
          <w:rStyle w:val="FootnoteReference"/>
        </w:rPr>
        <w:footnoteRef/>
      </w:r>
      <w:r>
        <w:t xml:space="preserve"> </w:t>
      </w:r>
      <w:hyperlink r:id="rId145" w:history="1">
        <w:r w:rsidRPr="001C71A7">
          <w:rPr>
            <w:rStyle w:val="Hyperlink"/>
          </w:rPr>
          <w:t>http://www.hss.gov.yk.ca/mental_health.php</w:t>
        </w:r>
      </w:hyperlink>
      <w:r>
        <w:t xml:space="preserve"> </w:t>
      </w:r>
    </w:p>
  </w:footnote>
  <w:footnote w:id="178">
    <w:p w:rsidR="001E72F7" w:rsidRPr="00250696" w:rsidRDefault="001E72F7" w:rsidP="00E060A7">
      <w:pPr>
        <w:pStyle w:val="FootnoteText"/>
        <w:rPr>
          <w:lang w:val="en-US"/>
        </w:rPr>
      </w:pPr>
      <w:r>
        <w:rPr>
          <w:rStyle w:val="FootnoteReference"/>
        </w:rPr>
        <w:footnoteRef/>
      </w:r>
      <w:r>
        <w:t xml:space="preserve"> </w:t>
      </w:r>
      <w:hyperlink r:id="rId146" w:history="1">
        <w:r w:rsidRPr="00055417">
          <w:rPr>
            <w:rStyle w:val="Hyperlink"/>
          </w:rPr>
          <w:t>http://www.hss.gov.yk.ca/dayprogram.php</w:t>
        </w:r>
      </w:hyperlink>
      <w:r>
        <w:t xml:space="preserve"> </w:t>
      </w:r>
    </w:p>
  </w:footnote>
  <w:footnote w:id="179">
    <w:p w:rsidR="001E72F7" w:rsidRPr="00A15CD9" w:rsidRDefault="001E72F7" w:rsidP="00E060A7">
      <w:pPr>
        <w:pStyle w:val="FootnoteText"/>
      </w:pPr>
      <w:r>
        <w:rPr>
          <w:rStyle w:val="FootnoteReference"/>
        </w:rPr>
        <w:footnoteRef/>
      </w:r>
      <w:r>
        <w:t xml:space="preserve"> </w:t>
      </w:r>
      <w:hyperlink r:id="rId147" w:history="1">
        <w:r w:rsidRPr="009523F1">
          <w:rPr>
            <w:rStyle w:val="Hyperlink"/>
          </w:rPr>
          <w:t>http://www.ada.gov/</w:t>
        </w:r>
      </w:hyperlink>
      <w:r>
        <w:t xml:space="preserve"> </w:t>
      </w:r>
    </w:p>
  </w:footnote>
  <w:footnote w:id="180">
    <w:p w:rsidR="001E72F7" w:rsidRPr="00A15CD9" w:rsidRDefault="001E72F7" w:rsidP="00E060A7">
      <w:pPr>
        <w:pStyle w:val="FootnoteText"/>
      </w:pPr>
      <w:r>
        <w:rPr>
          <w:rStyle w:val="FootnoteReference"/>
        </w:rPr>
        <w:footnoteRef/>
      </w:r>
      <w:r>
        <w:t xml:space="preserve"> </w:t>
      </w:r>
      <w:hyperlink r:id="rId148" w:history="1">
        <w:r w:rsidRPr="009523F1">
          <w:rPr>
            <w:rStyle w:val="Hyperlink"/>
          </w:rPr>
          <w:t>http://www.guidedog.org/content.aspx?id=1410</w:t>
        </w:r>
      </w:hyperlink>
      <w:r>
        <w:t xml:space="preserve"> </w:t>
      </w:r>
    </w:p>
  </w:footnote>
  <w:footnote w:id="181">
    <w:p w:rsidR="001E72F7" w:rsidRPr="004E341D" w:rsidRDefault="001E72F7" w:rsidP="00E060A7">
      <w:pPr>
        <w:pStyle w:val="FootnoteText"/>
      </w:pPr>
      <w:r>
        <w:rPr>
          <w:rStyle w:val="FootnoteReference"/>
        </w:rPr>
        <w:footnoteRef/>
      </w:r>
      <w:r>
        <w:t xml:space="preserve"> </w:t>
      </w:r>
      <w:hyperlink r:id="rId149" w:history="1">
        <w:r w:rsidRPr="009523F1">
          <w:rPr>
            <w:rStyle w:val="Hyperlink"/>
          </w:rPr>
          <w:t>http://portal.hud.gov/hudportal/HUD?src=/program_offices/fair_housing_equal_opp/FHLaws/yourrights</w:t>
        </w:r>
      </w:hyperlink>
      <w:r>
        <w:t xml:space="preserve"> </w:t>
      </w:r>
    </w:p>
  </w:footnote>
  <w:footnote w:id="182">
    <w:p w:rsidR="001E72F7" w:rsidRPr="00896DB9" w:rsidRDefault="001E72F7" w:rsidP="00E060A7">
      <w:pPr>
        <w:pStyle w:val="FootnoteText"/>
        <w:rPr>
          <w:lang w:val="en-US"/>
        </w:rPr>
      </w:pPr>
      <w:r>
        <w:rPr>
          <w:rStyle w:val="FootnoteReference"/>
        </w:rPr>
        <w:footnoteRef/>
      </w:r>
      <w:r>
        <w:t xml:space="preserve"> </w:t>
      </w:r>
      <w:hyperlink r:id="rId150" w:history="1">
        <w:r w:rsidRPr="002C1943">
          <w:rPr>
            <w:rStyle w:val="Hyperlink"/>
          </w:rPr>
          <w:t>http://www.dol.gov/oasam/regs/statutes/sec504.htm</w:t>
        </w:r>
      </w:hyperlink>
      <w:r>
        <w:t xml:space="preserve"> </w:t>
      </w:r>
    </w:p>
  </w:footnote>
  <w:footnote w:id="183">
    <w:p w:rsidR="001E72F7" w:rsidRPr="00896DB9" w:rsidRDefault="001E72F7" w:rsidP="00E060A7">
      <w:pPr>
        <w:pStyle w:val="FootnoteText"/>
        <w:rPr>
          <w:lang w:val="en-US"/>
        </w:rPr>
      </w:pPr>
      <w:r>
        <w:rPr>
          <w:rStyle w:val="FootnoteReference"/>
        </w:rPr>
        <w:footnoteRef/>
      </w:r>
      <w:r>
        <w:t xml:space="preserve"> </w:t>
      </w:r>
      <w:hyperlink r:id="rId151" w:history="1">
        <w:r w:rsidRPr="002C1943">
          <w:rPr>
            <w:rStyle w:val="Hyperlink"/>
          </w:rPr>
          <w:t>http://www.ada.gov/cguide.htm</w:t>
        </w:r>
      </w:hyperlink>
      <w:r>
        <w:t xml:space="preserve"> </w:t>
      </w:r>
    </w:p>
  </w:footnote>
  <w:footnote w:id="184">
    <w:p w:rsidR="001E72F7" w:rsidRPr="00896DB9" w:rsidRDefault="001E72F7" w:rsidP="00E060A7">
      <w:pPr>
        <w:pStyle w:val="FootnoteText"/>
        <w:rPr>
          <w:lang w:val="en-US"/>
        </w:rPr>
      </w:pPr>
      <w:r>
        <w:rPr>
          <w:rStyle w:val="FootnoteReference"/>
        </w:rPr>
        <w:footnoteRef/>
      </w:r>
      <w:r>
        <w:t xml:space="preserve"> </w:t>
      </w:r>
      <w:hyperlink r:id="rId152" w:history="1">
        <w:r w:rsidRPr="002C1943">
          <w:rPr>
            <w:rStyle w:val="Hyperlink"/>
          </w:rPr>
          <w:t>http://www.access-board.gov/guidelines-and-standards/health-care/about-this-rulemaking/background/rehbilitation-act-section-510</w:t>
        </w:r>
      </w:hyperlink>
      <w:r>
        <w:t xml:space="preserve"> </w:t>
      </w:r>
    </w:p>
  </w:footnote>
  <w:footnote w:id="185">
    <w:p w:rsidR="001E72F7" w:rsidRPr="00344307" w:rsidRDefault="001E72F7" w:rsidP="00E060A7">
      <w:pPr>
        <w:pStyle w:val="FootnoteText"/>
        <w:rPr>
          <w:lang w:val="en-US"/>
        </w:rPr>
      </w:pPr>
      <w:r>
        <w:rPr>
          <w:rStyle w:val="FootnoteReference"/>
        </w:rPr>
        <w:footnoteRef/>
      </w:r>
      <w:r>
        <w:t xml:space="preserve"> </w:t>
      </w:r>
      <w:hyperlink r:id="rId153" w:history="1">
        <w:r w:rsidRPr="007729B6">
          <w:rPr>
            <w:rStyle w:val="Hyperlink"/>
          </w:rPr>
          <w:t>http://www.access-board.gov/guidelines-and-standards/buildings-and-sites/about-the-aba-standards</w:t>
        </w:r>
      </w:hyperlink>
      <w:r>
        <w:t xml:space="preserve"> </w:t>
      </w:r>
    </w:p>
  </w:footnote>
  <w:footnote w:id="186">
    <w:p w:rsidR="001E72F7" w:rsidRPr="000B5B49" w:rsidRDefault="001E72F7" w:rsidP="00E060A7">
      <w:pPr>
        <w:pStyle w:val="FootnoteText"/>
        <w:rPr>
          <w:lang w:val="en-US"/>
        </w:rPr>
      </w:pPr>
      <w:r>
        <w:rPr>
          <w:rStyle w:val="FootnoteReference"/>
        </w:rPr>
        <w:footnoteRef/>
      </w:r>
      <w:r>
        <w:t xml:space="preserve"> </w:t>
      </w:r>
      <w:hyperlink r:id="rId154" w:history="1">
        <w:r w:rsidRPr="007729B6">
          <w:rPr>
            <w:rStyle w:val="Hyperlink"/>
          </w:rPr>
          <w:t>http://www.access-board.gov/guidelines-and-standards/buildings-and-sites/about-the-aba-standards/aba-standards</w:t>
        </w:r>
      </w:hyperlink>
      <w:r>
        <w:t xml:space="preserve"> </w:t>
      </w:r>
    </w:p>
  </w:footnote>
  <w:footnote w:id="187">
    <w:p w:rsidR="001E72F7" w:rsidRPr="00344307" w:rsidRDefault="001E72F7" w:rsidP="00E060A7">
      <w:pPr>
        <w:pStyle w:val="FootnoteText"/>
        <w:rPr>
          <w:lang w:val="en-US"/>
        </w:rPr>
      </w:pPr>
      <w:r>
        <w:rPr>
          <w:rStyle w:val="FootnoteReference"/>
        </w:rPr>
        <w:footnoteRef/>
      </w:r>
      <w:r>
        <w:t xml:space="preserve"> </w:t>
      </w:r>
      <w:hyperlink r:id="rId155" w:anchor="intro" w:history="1">
        <w:r w:rsidRPr="007729B6">
          <w:rPr>
            <w:rStyle w:val="Hyperlink"/>
          </w:rPr>
          <w:t>http://www.access-board.gov/guidelines-and-standards/buildings-and-sites/about-the-aba-standards/ufas#intro</w:t>
        </w:r>
      </w:hyperlink>
      <w:r>
        <w:t xml:space="preserve"> </w:t>
      </w:r>
    </w:p>
  </w:footnote>
  <w:footnote w:id="188">
    <w:p w:rsidR="001E72F7" w:rsidRPr="00807A05" w:rsidRDefault="001E72F7" w:rsidP="00E060A7">
      <w:pPr>
        <w:pStyle w:val="FootnoteText"/>
        <w:rPr>
          <w:lang w:val="en-US"/>
        </w:rPr>
      </w:pPr>
      <w:r>
        <w:rPr>
          <w:rStyle w:val="FootnoteReference"/>
        </w:rPr>
        <w:footnoteRef/>
      </w:r>
      <w:r>
        <w:t xml:space="preserve"> </w:t>
      </w:r>
      <w:hyperlink r:id="rId156" w:history="1">
        <w:r w:rsidRPr="007729B6">
          <w:rPr>
            <w:rStyle w:val="Hyperlink"/>
          </w:rPr>
          <w:t>http://www.access-board.gov/guidelines-and-standards/health-care</w:t>
        </w:r>
      </w:hyperlink>
      <w:r>
        <w:t xml:space="preserve"> </w:t>
      </w:r>
    </w:p>
  </w:footnote>
  <w:footnote w:id="189">
    <w:p w:rsidR="001E72F7" w:rsidRPr="006D1556" w:rsidRDefault="001E72F7" w:rsidP="00E060A7">
      <w:pPr>
        <w:pStyle w:val="FootnoteText"/>
        <w:rPr>
          <w:lang w:val="en-US"/>
        </w:rPr>
      </w:pPr>
      <w:r>
        <w:rPr>
          <w:rStyle w:val="FootnoteReference"/>
        </w:rPr>
        <w:footnoteRef/>
      </w:r>
      <w:r>
        <w:t xml:space="preserve"> </w:t>
      </w:r>
      <w:hyperlink r:id="rId157" w:history="1">
        <w:r w:rsidRPr="007729B6">
          <w:rPr>
            <w:rStyle w:val="Hyperlink"/>
          </w:rPr>
          <w:t>http://www.access-board.gov/guidelines-and-standards/health-care/about-this-rulemaking</w:t>
        </w:r>
      </w:hyperlink>
      <w:r>
        <w:t xml:space="preserve"> </w:t>
      </w:r>
    </w:p>
  </w:footnote>
  <w:footnote w:id="190">
    <w:p w:rsidR="001E72F7" w:rsidRPr="006D1556" w:rsidRDefault="001E72F7" w:rsidP="00E060A7">
      <w:pPr>
        <w:pStyle w:val="FootnoteText"/>
        <w:rPr>
          <w:lang w:val="en-US"/>
        </w:rPr>
      </w:pPr>
      <w:r>
        <w:rPr>
          <w:rStyle w:val="FootnoteReference"/>
        </w:rPr>
        <w:footnoteRef/>
      </w:r>
      <w:r>
        <w:t xml:space="preserve"> </w:t>
      </w:r>
      <w:hyperlink r:id="rId158" w:history="1">
        <w:r w:rsidRPr="007729B6">
          <w:rPr>
            <w:rStyle w:val="Hyperlink"/>
          </w:rPr>
          <w:t>http://www.access-board.gov/guidelines-and-standards/health-care/about-this-rulemaking/advisory-committee-final-report/executive-summary</w:t>
        </w:r>
      </w:hyperlink>
      <w:r>
        <w:t xml:space="preserve"> </w:t>
      </w:r>
    </w:p>
  </w:footnote>
  <w:footnote w:id="191">
    <w:p w:rsidR="001E72F7" w:rsidRPr="001A2F13" w:rsidRDefault="001E72F7" w:rsidP="00E060A7">
      <w:pPr>
        <w:pStyle w:val="FootnoteText"/>
        <w:rPr>
          <w:lang w:val="en-US"/>
        </w:rPr>
      </w:pPr>
      <w:r>
        <w:rPr>
          <w:rStyle w:val="FootnoteReference"/>
        </w:rPr>
        <w:footnoteRef/>
      </w:r>
      <w:r>
        <w:t xml:space="preserve"> </w:t>
      </w:r>
      <w:hyperlink r:id="rId159" w:anchor="en_US_2014_publink1000178936" w:history="1">
        <w:r w:rsidRPr="002C1943">
          <w:rPr>
            <w:rStyle w:val="Hyperlink"/>
          </w:rPr>
          <w:t>http://www.irs.gov/publications/p502/ar02.html#en_US_2014_publink1000178936</w:t>
        </w:r>
      </w:hyperlink>
      <w:r>
        <w:t xml:space="preserve"> </w:t>
      </w:r>
    </w:p>
  </w:footnote>
  <w:footnote w:id="192">
    <w:p w:rsidR="001E72F7" w:rsidRPr="00C0756E" w:rsidRDefault="001E72F7" w:rsidP="00E060A7">
      <w:pPr>
        <w:pStyle w:val="FootnoteText"/>
        <w:rPr>
          <w:lang w:val="en-US"/>
        </w:rPr>
      </w:pPr>
      <w:r>
        <w:rPr>
          <w:rStyle w:val="FootnoteReference"/>
        </w:rPr>
        <w:footnoteRef/>
      </w:r>
      <w:r>
        <w:t xml:space="preserve"> </w:t>
      </w:r>
      <w:hyperlink r:id="rId160" w:history="1">
        <w:r w:rsidRPr="007729B6">
          <w:rPr>
            <w:rStyle w:val="Hyperlink"/>
          </w:rPr>
          <w:t>http://www.access-board.gov/guidelines-and-standards/health-care/about-prescription-drug-container-labels</w:t>
        </w:r>
      </w:hyperlink>
      <w:r>
        <w:t xml:space="preserve"> </w:t>
      </w:r>
    </w:p>
  </w:footnote>
  <w:footnote w:id="193">
    <w:p w:rsidR="001E72F7" w:rsidRPr="00BC094B" w:rsidRDefault="001E72F7" w:rsidP="00E060A7">
      <w:pPr>
        <w:pStyle w:val="FootnoteText"/>
        <w:rPr>
          <w:lang w:val="en-US"/>
        </w:rPr>
      </w:pPr>
      <w:r>
        <w:rPr>
          <w:rStyle w:val="FootnoteReference"/>
        </w:rPr>
        <w:footnoteRef/>
      </w:r>
      <w:r>
        <w:t xml:space="preserve"> </w:t>
      </w:r>
      <w:hyperlink r:id="rId161" w:anchor="Social%20Security" w:history="1">
        <w:r w:rsidRPr="002C1943">
          <w:rPr>
            <w:rStyle w:val="Hyperlink"/>
          </w:rPr>
          <w:t>http://www.ncd.gov/publications/2009/Sept302009#Social%20Security</w:t>
        </w:r>
      </w:hyperlink>
      <w:r>
        <w:t xml:space="preserve"> </w:t>
      </w:r>
    </w:p>
  </w:footnote>
  <w:footnote w:id="194">
    <w:p w:rsidR="001E72F7" w:rsidRPr="0005274F" w:rsidRDefault="001E72F7" w:rsidP="00E060A7">
      <w:pPr>
        <w:pStyle w:val="FootnoteText"/>
        <w:rPr>
          <w:lang w:val="en-US"/>
        </w:rPr>
      </w:pPr>
      <w:r>
        <w:rPr>
          <w:rStyle w:val="FootnoteReference"/>
        </w:rPr>
        <w:footnoteRef/>
      </w:r>
      <w:r>
        <w:t xml:space="preserve"> </w:t>
      </w:r>
      <w:hyperlink r:id="rId162" w:anchor="Social%20Security" w:history="1">
        <w:r w:rsidRPr="002C1943">
          <w:rPr>
            <w:rStyle w:val="Hyperlink"/>
          </w:rPr>
          <w:t>http://www.ncd.gov/publications/2009/Sept302009#Social%20Security</w:t>
        </w:r>
      </w:hyperlink>
      <w:r>
        <w:t xml:space="preserve"> </w:t>
      </w:r>
    </w:p>
  </w:footnote>
  <w:footnote w:id="195">
    <w:p w:rsidR="001E72F7" w:rsidRPr="0005274F" w:rsidRDefault="001E72F7" w:rsidP="00E060A7">
      <w:pPr>
        <w:pStyle w:val="FootnoteText"/>
        <w:rPr>
          <w:lang w:val="en-US"/>
        </w:rPr>
      </w:pPr>
      <w:r>
        <w:rPr>
          <w:rStyle w:val="FootnoteReference"/>
        </w:rPr>
        <w:footnoteRef/>
      </w:r>
      <w:r>
        <w:t xml:space="preserve"> </w:t>
      </w:r>
      <w:hyperlink r:id="rId163" w:anchor="Social%20Security" w:history="1">
        <w:r w:rsidRPr="002C1943">
          <w:rPr>
            <w:rStyle w:val="Hyperlink"/>
          </w:rPr>
          <w:t>http://www.ncd.gov/publications/2009/Sept302009#Social%20Security</w:t>
        </w:r>
      </w:hyperlink>
      <w:r>
        <w:t xml:space="preserve"> </w:t>
      </w:r>
    </w:p>
  </w:footnote>
  <w:footnote w:id="196">
    <w:p w:rsidR="001E72F7" w:rsidRPr="004D6988" w:rsidRDefault="001E72F7" w:rsidP="00E060A7">
      <w:pPr>
        <w:pStyle w:val="FootnoteText"/>
        <w:rPr>
          <w:lang w:val="en-US"/>
        </w:rPr>
      </w:pPr>
      <w:r>
        <w:rPr>
          <w:rStyle w:val="FootnoteReference"/>
        </w:rPr>
        <w:footnoteRef/>
      </w:r>
      <w:r>
        <w:t xml:space="preserve"> </w:t>
      </w:r>
      <w:hyperlink r:id="rId164" w:anchor="Social%20Security" w:history="1">
        <w:r w:rsidRPr="002C1943">
          <w:rPr>
            <w:rStyle w:val="Hyperlink"/>
          </w:rPr>
          <w:t>http://www.ncd.gov/publications/2009/Sept302009#Social%20Security</w:t>
        </w:r>
      </w:hyperlink>
      <w:r>
        <w:t xml:space="preserve"> </w:t>
      </w:r>
    </w:p>
  </w:footnote>
  <w:footnote w:id="197">
    <w:p w:rsidR="001E72F7" w:rsidRPr="00CF14E4" w:rsidRDefault="001E72F7" w:rsidP="00E060A7">
      <w:pPr>
        <w:pStyle w:val="FootnoteText"/>
        <w:rPr>
          <w:lang w:val="en-US"/>
        </w:rPr>
      </w:pPr>
      <w:r>
        <w:rPr>
          <w:rStyle w:val="FootnoteReference"/>
        </w:rPr>
        <w:footnoteRef/>
      </w:r>
      <w:r>
        <w:t xml:space="preserve"> </w:t>
      </w:r>
      <w:hyperlink r:id="rId165" w:history="1">
        <w:r w:rsidRPr="002C1943">
          <w:rPr>
            <w:rStyle w:val="Hyperlink"/>
          </w:rPr>
          <w:t>http://www.ag.ca.gov/consumers/pdf/disabled.pdf</w:t>
        </w:r>
      </w:hyperlink>
      <w:r>
        <w:t xml:space="preserve"> </w:t>
      </w:r>
    </w:p>
  </w:footnote>
  <w:footnote w:id="198">
    <w:p w:rsidR="001E72F7" w:rsidRPr="0014762A" w:rsidRDefault="001E72F7" w:rsidP="00E060A7">
      <w:pPr>
        <w:pStyle w:val="FootnoteText"/>
        <w:rPr>
          <w:lang w:val="en-US"/>
        </w:rPr>
      </w:pPr>
      <w:r>
        <w:rPr>
          <w:rStyle w:val="FootnoteReference"/>
        </w:rPr>
        <w:footnoteRef/>
      </w:r>
      <w:r>
        <w:t xml:space="preserve"> </w:t>
      </w:r>
      <w:hyperlink r:id="rId166" w:history="1">
        <w:r w:rsidRPr="00055417">
          <w:rPr>
            <w:rStyle w:val="Hyperlink"/>
          </w:rPr>
          <w:t>http://www.rehab.cahwnet.gov/DisabilityAccessInfo/Title-24-of-CCRs.html</w:t>
        </w:r>
      </w:hyperlink>
      <w:r>
        <w:t xml:space="preserve"> </w:t>
      </w:r>
    </w:p>
  </w:footnote>
  <w:footnote w:id="199">
    <w:p w:rsidR="001E72F7" w:rsidRPr="00CF14E4" w:rsidRDefault="001E72F7" w:rsidP="00E060A7">
      <w:pPr>
        <w:pStyle w:val="FootnoteText"/>
        <w:rPr>
          <w:lang w:val="en-US"/>
        </w:rPr>
      </w:pPr>
      <w:r>
        <w:rPr>
          <w:rStyle w:val="FootnoteReference"/>
        </w:rPr>
        <w:footnoteRef/>
      </w:r>
      <w:r>
        <w:t xml:space="preserve"> </w:t>
      </w:r>
      <w:hyperlink r:id="rId167" w:history="1">
        <w:r w:rsidRPr="002C1943">
          <w:rPr>
            <w:rStyle w:val="Hyperlink"/>
          </w:rPr>
          <w:t>http://www.ag.ca.gov/consumers/pdf/disabled.pdf</w:t>
        </w:r>
      </w:hyperlink>
      <w:r>
        <w:t xml:space="preserve"> </w:t>
      </w:r>
    </w:p>
  </w:footnote>
  <w:footnote w:id="200">
    <w:p w:rsidR="001E72F7" w:rsidRPr="00CF14E4" w:rsidRDefault="001E72F7" w:rsidP="00E060A7">
      <w:pPr>
        <w:pStyle w:val="FootnoteText"/>
        <w:rPr>
          <w:lang w:val="en-US"/>
        </w:rPr>
      </w:pPr>
      <w:r>
        <w:rPr>
          <w:rStyle w:val="FootnoteReference"/>
        </w:rPr>
        <w:footnoteRef/>
      </w:r>
      <w:r>
        <w:t xml:space="preserve"> </w:t>
      </w:r>
      <w:hyperlink r:id="rId168" w:history="1">
        <w:r w:rsidRPr="002C1943">
          <w:rPr>
            <w:rStyle w:val="Hyperlink"/>
          </w:rPr>
          <w:t>http://www.ag.ca.gov/consumers/pdf/disabled.pdf</w:t>
        </w:r>
      </w:hyperlink>
      <w:r>
        <w:t xml:space="preserve"> </w:t>
      </w:r>
    </w:p>
  </w:footnote>
  <w:footnote w:id="201">
    <w:p w:rsidR="001E72F7" w:rsidRPr="0014762A" w:rsidRDefault="001E72F7" w:rsidP="00E060A7">
      <w:pPr>
        <w:pStyle w:val="FootnoteText"/>
        <w:rPr>
          <w:lang w:val="en-US"/>
        </w:rPr>
      </w:pPr>
      <w:r>
        <w:rPr>
          <w:rStyle w:val="FootnoteReference"/>
        </w:rPr>
        <w:footnoteRef/>
      </w:r>
      <w:r>
        <w:t xml:space="preserve"> </w:t>
      </w:r>
      <w:hyperlink r:id="rId169" w:history="1">
        <w:r w:rsidRPr="00055417">
          <w:rPr>
            <w:rStyle w:val="Hyperlink"/>
          </w:rPr>
          <w:t>http://www.gamutonline.net/district/emery/displayPolicy/146527/6</w:t>
        </w:r>
      </w:hyperlink>
      <w:r>
        <w:t xml:space="preserve"> </w:t>
      </w:r>
    </w:p>
  </w:footnote>
  <w:footnote w:id="202">
    <w:p w:rsidR="001E72F7" w:rsidRPr="00A07C8A" w:rsidRDefault="001E72F7" w:rsidP="00E060A7">
      <w:pPr>
        <w:pStyle w:val="FootnoteText"/>
        <w:rPr>
          <w:lang w:val="en-US"/>
        </w:rPr>
      </w:pPr>
      <w:r>
        <w:rPr>
          <w:rStyle w:val="FootnoteReference"/>
        </w:rPr>
        <w:footnoteRef/>
      </w:r>
      <w:r>
        <w:t xml:space="preserve"> </w:t>
      </w:r>
      <w:hyperlink r:id="rId170" w:history="1">
        <w:r w:rsidRPr="002C1943">
          <w:rPr>
            <w:rStyle w:val="Hyperlink"/>
          </w:rPr>
          <w:t>http://www.nagdu.org/laws/usa/california.txt</w:t>
        </w:r>
      </w:hyperlink>
      <w:r>
        <w:t xml:space="preserve"> </w:t>
      </w:r>
    </w:p>
  </w:footnote>
  <w:footnote w:id="203">
    <w:p w:rsidR="001E72F7" w:rsidRPr="00CF14E4" w:rsidRDefault="001E72F7" w:rsidP="00E060A7">
      <w:pPr>
        <w:pStyle w:val="FootnoteText"/>
        <w:rPr>
          <w:lang w:val="en-US"/>
        </w:rPr>
      </w:pPr>
      <w:r>
        <w:rPr>
          <w:rStyle w:val="FootnoteReference"/>
        </w:rPr>
        <w:footnoteRef/>
      </w:r>
      <w:r>
        <w:t xml:space="preserve"> </w:t>
      </w:r>
      <w:hyperlink r:id="rId171" w:history="1">
        <w:r w:rsidRPr="002C1943">
          <w:rPr>
            <w:rStyle w:val="Hyperlink"/>
          </w:rPr>
          <w:t>http://www.ag.ca.gov/consumers/pdf/disabled.pdf</w:t>
        </w:r>
      </w:hyperlink>
      <w:r>
        <w:t xml:space="preserve"> </w:t>
      </w:r>
    </w:p>
  </w:footnote>
  <w:footnote w:id="204">
    <w:p w:rsidR="001E72F7" w:rsidRPr="00CF14E4" w:rsidRDefault="001E72F7" w:rsidP="00E060A7">
      <w:pPr>
        <w:pStyle w:val="FootnoteText"/>
        <w:rPr>
          <w:lang w:val="en-US"/>
        </w:rPr>
      </w:pPr>
      <w:r>
        <w:rPr>
          <w:rStyle w:val="FootnoteReference"/>
        </w:rPr>
        <w:footnoteRef/>
      </w:r>
      <w:r>
        <w:t xml:space="preserve"> </w:t>
      </w:r>
      <w:hyperlink r:id="rId172" w:history="1">
        <w:r w:rsidRPr="002C1943">
          <w:rPr>
            <w:rStyle w:val="Hyperlink"/>
          </w:rPr>
          <w:t>http://www.ag.ca.gov/consumers/pdf/disabled.pdf</w:t>
        </w:r>
      </w:hyperlink>
      <w:r>
        <w:t xml:space="preserve"> </w:t>
      </w:r>
    </w:p>
  </w:footnote>
  <w:footnote w:id="205">
    <w:p w:rsidR="001E72F7" w:rsidRPr="00CF14E4" w:rsidRDefault="001E72F7" w:rsidP="00E060A7">
      <w:pPr>
        <w:pStyle w:val="FootnoteText"/>
        <w:rPr>
          <w:lang w:val="en-US"/>
        </w:rPr>
      </w:pPr>
      <w:r>
        <w:rPr>
          <w:rStyle w:val="FootnoteReference"/>
        </w:rPr>
        <w:footnoteRef/>
      </w:r>
      <w:r>
        <w:t xml:space="preserve"> </w:t>
      </w:r>
      <w:hyperlink r:id="rId173" w:history="1">
        <w:r w:rsidRPr="002C1943">
          <w:rPr>
            <w:rStyle w:val="Hyperlink"/>
          </w:rPr>
          <w:t>http://www.ag.ca.gov/consumers/pdf/disabled.pdf</w:t>
        </w:r>
      </w:hyperlink>
      <w:r>
        <w:t xml:space="preserve"> </w:t>
      </w:r>
    </w:p>
  </w:footnote>
  <w:footnote w:id="206">
    <w:p w:rsidR="001E72F7" w:rsidRPr="00CF14E4" w:rsidRDefault="001E72F7" w:rsidP="00E060A7">
      <w:pPr>
        <w:pStyle w:val="FootnoteText"/>
        <w:rPr>
          <w:lang w:val="en-US"/>
        </w:rPr>
      </w:pPr>
      <w:r>
        <w:rPr>
          <w:rStyle w:val="FootnoteReference"/>
        </w:rPr>
        <w:footnoteRef/>
      </w:r>
      <w:r>
        <w:t xml:space="preserve"> </w:t>
      </w:r>
      <w:hyperlink r:id="rId174" w:history="1">
        <w:r w:rsidRPr="002C1943">
          <w:rPr>
            <w:rStyle w:val="Hyperlink"/>
          </w:rPr>
          <w:t>http://www.ag.ca.gov/consumers/pdf/disabled.pdf</w:t>
        </w:r>
      </w:hyperlink>
      <w:r>
        <w:t xml:space="preserve"> </w:t>
      </w:r>
    </w:p>
  </w:footnote>
  <w:footnote w:id="207">
    <w:p w:rsidR="001E72F7" w:rsidRPr="0028313D" w:rsidRDefault="001E72F7" w:rsidP="00E060A7">
      <w:pPr>
        <w:pStyle w:val="FootnoteText"/>
        <w:rPr>
          <w:lang w:val="en-US"/>
        </w:rPr>
      </w:pPr>
      <w:r>
        <w:rPr>
          <w:rStyle w:val="FootnoteReference"/>
        </w:rPr>
        <w:footnoteRef/>
      </w:r>
      <w:r>
        <w:t xml:space="preserve"> </w:t>
      </w:r>
      <w:hyperlink r:id="rId175" w:anchor="People%20with%20Physical" w:history="1">
        <w:r w:rsidRPr="002C1943">
          <w:rPr>
            <w:rStyle w:val="Hyperlink"/>
          </w:rPr>
          <w:t>http://www.ncd.gov/publications/2009/Sept302009#People%20with%20Physical</w:t>
        </w:r>
      </w:hyperlink>
      <w:r>
        <w:t xml:space="preserve"> </w:t>
      </w:r>
    </w:p>
  </w:footnote>
  <w:footnote w:id="208">
    <w:p w:rsidR="001E72F7" w:rsidRPr="00C51027" w:rsidRDefault="001E72F7" w:rsidP="00E060A7">
      <w:pPr>
        <w:pStyle w:val="FootnoteText"/>
        <w:rPr>
          <w:lang w:val="en-US"/>
        </w:rPr>
      </w:pPr>
      <w:r>
        <w:rPr>
          <w:rStyle w:val="FootnoteReference"/>
        </w:rPr>
        <w:footnoteRef/>
      </w:r>
      <w:r>
        <w:t xml:space="preserve"> </w:t>
      </w:r>
      <w:hyperlink r:id="rId176" w:history="1">
        <w:r w:rsidRPr="002C1943">
          <w:rPr>
            <w:rStyle w:val="Hyperlink"/>
          </w:rPr>
          <w:t>http://www.nyc.gov/html/mopd/html/laws/state.shtml</w:t>
        </w:r>
      </w:hyperlink>
      <w:r>
        <w:t xml:space="preserve"> </w:t>
      </w:r>
    </w:p>
  </w:footnote>
  <w:footnote w:id="209">
    <w:p w:rsidR="001E72F7" w:rsidRPr="00BE2460" w:rsidRDefault="001E72F7" w:rsidP="00E060A7">
      <w:pPr>
        <w:pStyle w:val="FootnoteText"/>
        <w:rPr>
          <w:lang w:val="en-US"/>
        </w:rPr>
      </w:pPr>
      <w:r>
        <w:rPr>
          <w:rStyle w:val="FootnoteReference"/>
        </w:rPr>
        <w:footnoteRef/>
      </w:r>
      <w:r>
        <w:t xml:space="preserve"> </w:t>
      </w:r>
      <w:hyperlink r:id="rId177" w:history="1">
        <w:r w:rsidRPr="002C1943">
          <w:rPr>
            <w:rStyle w:val="Hyperlink"/>
          </w:rPr>
          <w:t>http://www.nagdu.org/laws/usa/newyork.txt</w:t>
        </w:r>
      </w:hyperlink>
      <w:r>
        <w:t xml:space="preserve"> </w:t>
      </w:r>
    </w:p>
  </w:footnote>
  <w:footnote w:id="210">
    <w:p w:rsidR="001E72F7" w:rsidRPr="008B0A4F" w:rsidRDefault="001E72F7" w:rsidP="00E060A7">
      <w:pPr>
        <w:pStyle w:val="FootnoteText"/>
        <w:rPr>
          <w:lang w:val="en-US"/>
        </w:rPr>
      </w:pPr>
      <w:r>
        <w:rPr>
          <w:rStyle w:val="FootnoteReference"/>
        </w:rPr>
        <w:footnoteRef/>
      </w:r>
      <w:r>
        <w:t xml:space="preserve"> </w:t>
      </w:r>
      <w:hyperlink r:id="rId178" w:history="1">
        <w:r w:rsidRPr="002C1943">
          <w:rPr>
            <w:rStyle w:val="Hyperlink"/>
          </w:rPr>
          <w:t>https://www.health.ny.gov/health_care/medicaid/program/buy_in/</w:t>
        </w:r>
      </w:hyperlink>
      <w:r>
        <w:t xml:space="preserve"> </w:t>
      </w:r>
    </w:p>
  </w:footnote>
  <w:footnote w:id="211">
    <w:p w:rsidR="001E72F7" w:rsidRPr="00F37EA2" w:rsidRDefault="001E72F7" w:rsidP="00E060A7">
      <w:pPr>
        <w:pStyle w:val="FootnoteText"/>
        <w:rPr>
          <w:lang w:val="en-US"/>
        </w:rPr>
      </w:pPr>
      <w:r>
        <w:rPr>
          <w:rStyle w:val="FootnoteReference"/>
        </w:rPr>
        <w:footnoteRef/>
      </w:r>
      <w:r>
        <w:t xml:space="preserve"> </w:t>
      </w:r>
      <w:hyperlink r:id="rId179" w:history="1">
        <w:r w:rsidRPr="00392F89">
          <w:rPr>
            <w:rStyle w:val="Hyperlink"/>
          </w:rPr>
          <w:t>https://www.health.ny.gov/publications/0548/children_special_health_care_needs_including_phys_handi_children.htm</w:t>
        </w:r>
      </w:hyperlink>
    </w:p>
  </w:footnote>
  <w:footnote w:id="212">
    <w:p w:rsidR="001E72F7" w:rsidRPr="00F37EA2" w:rsidRDefault="001E72F7" w:rsidP="00E060A7">
      <w:pPr>
        <w:pStyle w:val="FootnoteText"/>
        <w:rPr>
          <w:lang w:val="en-US"/>
        </w:rPr>
      </w:pPr>
      <w:r>
        <w:rPr>
          <w:rStyle w:val="FootnoteReference"/>
        </w:rPr>
        <w:footnoteRef/>
      </w:r>
      <w:r>
        <w:t xml:space="preserve"> </w:t>
      </w:r>
      <w:hyperlink r:id="rId180" w:history="1">
        <w:r w:rsidRPr="000C6E80">
          <w:rPr>
            <w:rStyle w:val="Hyperlink"/>
          </w:rPr>
          <w:t>http://www.health.ny.gov/community/infants_children/early_intervention/</w:t>
        </w:r>
      </w:hyperlink>
    </w:p>
  </w:footnote>
  <w:footnote w:id="213">
    <w:p w:rsidR="001E72F7" w:rsidRPr="00F37EA2" w:rsidRDefault="001E72F7" w:rsidP="00E060A7">
      <w:pPr>
        <w:pStyle w:val="FootnoteText"/>
        <w:rPr>
          <w:lang w:val="en-US"/>
        </w:rPr>
      </w:pPr>
      <w:r>
        <w:rPr>
          <w:rStyle w:val="FootnoteReference"/>
        </w:rPr>
        <w:footnoteRef/>
      </w:r>
      <w:r>
        <w:t xml:space="preserve"> </w:t>
      </w:r>
      <w:hyperlink r:id="rId181" w:history="1">
        <w:r w:rsidRPr="000C6E80">
          <w:rPr>
            <w:rStyle w:val="Hyperlink"/>
          </w:rPr>
          <w:t>http://www.health.ny.gov/community/special_needs/services/mental_health.htm</w:t>
        </w:r>
      </w:hyperlink>
    </w:p>
  </w:footnote>
  <w:footnote w:id="214">
    <w:p w:rsidR="001E72F7" w:rsidRPr="00F37EA2" w:rsidRDefault="001E72F7" w:rsidP="00E060A7">
      <w:pPr>
        <w:pStyle w:val="FootnoteText"/>
        <w:rPr>
          <w:lang w:val="en-US"/>
        </w:rPr>
      </w:pPr>
      <w:r>
        <w:rPr>
          <w:rStyle w:val="FootnoteReference"/>
        </w:rPr>
        <w:footnoteRef/>
      </w:r>
      <w:r>
        <w:t xml:space="preserve"> </w:t>
      </w:r>
      <w:hyperlink r:id="rId182" w:history="1">
        <w:r w:rsidRPr="000C6E80">
          <w:rPr>
            <w:rStyle w:val="Hyperlink"/>
          </w:rPr>
          <w:t>http://www.health.ny.gov/community/special_needs/services/family_support.htm</w:t>
        </w:r>
      </w:hyperlink>
    </w:p>
  </w:footnote>
  <w:footnote w:id="215">
    <w:p w:rsidR="001E72F7" w:rsidRPr="00F37EA2" w:rsidRDefault="001E72F7" w:rsidP="00E060A7">
      <w:pPr>
        <w:pStyle w:val="FootnoteText"/>
        <w:rPr>
          <w:lang w:val="en-US"/>
        </w:rPr>
      </w:pPr>
      <w:r>
        <w:rPr>
          <w:rStyle w:val="FootnoteReference"/>
        </w:rPr>
        <w:footnoteRef/>
      </w:r>
      <w:r>
        <w:t xml:space="preserve"> </w:t>
      </w:r>
      <w:hyperlink r:id="rId183" w:history="1">
        <w:r w:rsidRPr="000C6E80">
          <w:rPr>
            <w:rStyle w:val="Hyperlink"/>
          </w:rPr>
          <w:t>http://www.health.ny.gov/community/special_needs/services/transition.htm</w:t>
        </w:r>
      </w:hyperlink>
    </w:p>
  </w:footnote>
  <w:footnote w:id="216">
    <w:p w:rsidR="001E72F7" w:rsidRPr="001937BF" w:rsidRDefault="001E72F7" w:rsidP="00E060A7">
      <w:pPr>
        <w:pStyle w:val="FootnoteText"/>
        <w:rPr>
          <w:lang w:val="en-US"/>
        </w:rPr>
      </w:pPr>
      <w:r>
        <w:rPr>
          <w:rStyle w:val="FootnoteReference"/>
        </w:rPr>
        <w:footnoteRef/>
      </w:r>
      <w:r>
        <w:t xml:space="preserve"> </w:t>
      </w:r>
      <w:hyperlink r:id="rId184" w:anchor="People%20with%20Physical" w:history="1">
        <w:r w:rsidRPr="002C1943">
          <w:rPr>
            <w:rStyle w:val="Hyperlink"/>
          </w:rPr>
          <w:t>http://www.ncd.gov/publications/2009/Sept302009#People%20with%20Physical</w:t>
        </w:r>
      </w:hyperlink>
      <w:r>
        <w:t xml:space="preserve"> </w:t>
      </w:r>
    </w:p>
  </w:footnote>
  <w:footnote w:id="217">
    <w:p w:rsidR="001E72F7" w:rsidRPr="00DD50C5" w:rsidRDefault="001E72F7" w:rsidP="00E060A7">
      <w:pPr>
        <w:pStyle w:val="FootnoteText"/>
        <w:rPr>
          <w:lang w:val="en-US"/>
        </w:rPr>
      </w:pPr>
      <w:r>
        <w:rPr>
          <w:rStyle w:val="FootnoteReference"/>
        </w:rPr>
        <w:footnoteRef/>
      </w:r>
      <w:r>
        <w:t xml:space="preserve"> </w:t>
      </w:r>
      <w:hyperlink r:id="rId185" w:history="1">
        <w:r w:rsidRPr="008675FF">
          <w:rPr>
            <w:rStyle w:val="Hyperlink"/>
          </w:rPr>
          <w:t>http://www.newport.gov.uk/stellent/groups/public/documents/plans_and_strategies/n_055270.pdf</w:t>
        </w:r>
      </w:hyperlink>
      <w:r>
        <w:t xml:space="preserve"> </w:t>
      </w:r>
    </w:p>
  </w:footnote>
  <w:footnote w:id="218">
    <w:p w:rsidR="001E72F7" w:rsidRPr="006A1095" w:rsidRDefault="001E72F7" w:rsidP="00E060A7">
      <w:pPr>
        <w:pStyle w:val="FootnoteText"/>
        <w:rPr>
          <w:lang w:val="en-US"/>
        </w:rPr>
      </w:pPr>
      <w:r>
        <w:rPr>
          <w:rStyle w:val="FootnoteReference"/>
        </w:rPr>
        <w:footnoteRef/>
      </w:r>
      <w:r>
        <w:t xml:space="preserve"> </w:t>
      </w:r>
      <w:hyperlink r:id="rId186" w:history="1">
        <w:r w:rsidRPr="00D90064">
          <w:rPr>
            <w:rStyle w:val="Hyperlink"/>
          </w:rPr>
          <w:t>www.disabledaccess.co.uk/Access_Requirements/</w:t>
        </w:r>
      </w:hyperlink>
      <w:r>
        <w:t xml:space="preserve"> </w:t>
      </w:r>
    </w:p>
  </w:footnote>
  <w:footnote w:id="219">
    <w:p w:rsidR="001E72F7" w:rsidRPr="00F5207C" w:rsidRDefault="001E72F7" w:rsidP="00E060A7">
      <w:pPr>
        <w:pStyle w:val="FootnoteText"/>
        <w:rPr>
          <w:lang w:val="en-US"/>
        </w:rPr>
      </w:pPr>
      <w:r>
        <w:rPr>
          <w:rStyle w:val="FootnoteReference"/>
        </w:rPr>
        <w:footnoteRef/>
      </w:r>
      <w:r>
        <w:t xml:space="preserve"> </w:t>
      </w:r>
      <w:hyperlink r:id="rId187" w:history="1">
        <w:r w:rsidRPr="008675FF">
          <w:rPr>
            <w:rStyle w:val="Hyperlink"/>
          </w:rPr>
          <w:t>http://www.legislation.gov.uk/ukpga/1984/55</w:t>
        </w:r>
      </w:hyperlink>
      <w:r>
        <w:t xml:space="preserve"> </w:t>
      </w:r>
    </w:p>
  </w:footnote>
  <w:footnote w:id="220">
    <w:p w:rsidR="001E72F7" w:rsidRPr="00EA4509" w:rsidRDefault="001E72F7" w:rsidP="00E060A7">
      <w:pPr>
        <w:pStyle w:val="FootnoteText"/>
        <w:rPr>
          <w:lang w:val="en-US"/>
        </w:rPr>
      </w:pPr>
      <w:r>
        <w:rPr>
          <w:rStyle w:val="FootnoteReference"/>
        </w:rPr>
        <w:footnoteRef/>
      </w:r>
      <w:r>
        <w:t xml:space="preserve"> </w:t>
      </w:r>
      <w:hyperlink r:id="rId188" w:history="1">
        <w:r w:rsidRPr="006B7EDB">
          <w:rPr>
            <w:rStyle w:val="Hyperlink"/>
          </w:rPr>
          <w:t>http://www.disabledaccess.co.uk/Access_Requirements/other.htm</w:t>
        </w:r>
      </w:hyperlink>
      <w:r>
        <w:t xml:space="preserve"> </w:t>
      </w:r>
    </w:p>
  </w:footnote>
  <w:footnote w:id="221">
    <w:p w:rsidR="001E72F7" w:rsidRPr="00FE6A6C" w:rsidRDefault="001E72F7" w:rsidP="00E060A7">
      <w:pPr>
        <w:pStyle w:val="FootnoteText"/>
        <w:rPr>
          <w:lang w:val="en-US"/>
        </w:rPr>
      </w:pPr>
      <w:r>
        <w:rPr>
          <w:rStyle w:val="FootnoteReference"/>
        </w:rPr>
        <w:footnoteRef/>
      </w:r>
      <w:r>
        <w:t xml:space="preserve"> </w:t>
      </w:r>
      <w:hyperlink r:id="rId189" w:history="1">
        <w:r w:rsidRPr="006B7EDB">
          <w:rPr>
            <w:rStyle w:val="Hyperlink"/>
          </w:rPr>
          <w:t>http://www.disabledaccess.co.uk/Access_Requirements/</w:t>
        </w:r>
      </w:hyperlink>
      <w:r>
        <w:t xml:space="preserve"> </w:t>
      </w:r>
    </w:p>
  </w:footnote>
  <w:footnote w:id="222">
    <w:p w:rsidR="001E72F7" w:rsidRPr="00496552" w:rsidRDefault="001E72F7" w:rsidP="00E060A7">
      <w:pPr>
        <w:pStyle w:val="FootnoteText"/>
        <w:rPr>
          <w:lang w:val="en-US"/>
        </w:rPr>
      </w:pPr>
      <w:r>
        <w:rPr>
          <w:rStyle w:val="FootnoteReference"/>
        </w:rPr>
        <w:footnoteRef/>
      </w:r>
      <w:r>
        <w:t xml:space="preserve"> </w:t>
      </w:r>
      <w:hyperlink r:id="rId190" w:history="1">
        <w:r w:rsidRPr="009523F1">
          <w:rPr>
            <w:rStyle w:val="Hyperlink"/>
          </w:rPr>
          <w:t>http://www.planningportal.gov.uk/buildingregulations/buildingpolicyandlegislation/currentlegislation/buildingregulations/ buildingregs</w:t>
        </w:r>
      </w:hyperlink>
      <w:r>
        <w:t xml:space="preserve"> </w:t>
      </w:r>
    </w:p>
  </w:footnote>
  <w:footnote w:id="223">
    <w:p w:rsidR="001E72F7" w:rsidRPr="00865EA5" w:rsidRDefault="001E72F7" w:rsidP="00E060A7">
      <w:pPr>
        <w:pStyle w:val="FootnoteText"/>
        <w:rPr>
          <w:lang w:val="en-US"/>
        </w:rPr>
      </w:pPr>
      <w:r>
        <w:rPr>
          <w:rStyle w:val="FootnoteReference"/>
        </w:rPr>
        <w:footnoteRef/>
      </w:r>
      <w:r>
        <w:t xml:space="preserve"> </w:t>
      </w:r>
      <w:hyperlink r:id="rId191" w:history="1">
        <w:r w:rsidRPr="006B7EDB">
          <w:rPr>
            <w:rStyle w:val="Hyperlink"/>
          </w:rPr>
          <w:t>http://www.disabledaccess.co.uk/Access_Requirements/</w:t>
        </w:r>
      </w:hyperlink>
      <w:r>
        <w:t xml:space="preserve"> </w:t>
      </w:r>
    </w:p>
  </w:footnote>
  <w:footnote w:id="224">
    <w:p w:rsidR="001E72F7" w:rsidRPr="00060831" w:rsidRDefault="001E72F7" w:rsidP="00E060A7">
      <w:pPr>
        <w:pStyle w:val="FootnoteText"/>
        <w:rPr>
          <w:lang w:val="en-US"/>
        </w:rPr>
      </w:pPr>
      <w:r>
        <w:rPr>
          <w:rStyle w:val="FootnoteReference"/>
        </w:rPr>
        <w:footnoteRef/>
      </w:r>
      <w:r>
        <w:t xml:space="preserve"> </w:t>
      </w:r>
      <w:hyperlink r:id="rId192" w:history="1">
        <w:r w:rsidRPr="006B7EDB">
          <w:rPr>
            <w:rStyle w:val="Hyperlink"/>
          </w:rPr>
          <w:t>http://www.disabledaccess.co.uk/Access_Requirements/partm.htm</w:t>
        </w:r>
      </w:hyperlink>
      <w:r>
        <w:t xml:space="preserve"> </w:t>
      </w:r>
    </w:p>
  </w:footnote>
  <w:footnote w:id="225">
    <w:p w:rsidR="001E72F7" w:rsidRPr="00565504" w:rsidRDefault="001E72F7" w:rsidP="00E060A7">
      <w:pPr>
        <w:pStyle w:val="FootnoteText"/>
        <w:rPr>
          <w:lang w:val="en-US"/>
        </w:rPr>
      </w:pPr>
      <w:r>
        <w:rPr>
          <w:rStyle w:val="FootnoteReference"/>
        </w:rPr>
        <w:footnoteRef/>
      </w:r>
      <w:r>
        <w:t xml:space="preserve"> </w:t>
      </w:r>
      <w:hyperlink r:id="rId193" w:history="1">
        <w:r w:rsidRPr="00055417">
          <w:rPr>
            <w:rStyle w:val="Hyperlink"/>
          </w:rPr>
          <w:t>https://www.gov.uk/government/uploads/system/uploads/attachment_data/file/216129/dh_122908.pdf</w:t>
        </w:r>
      </w:hyperlink>
      <w:r>
        <w:t xml:space="preserve"> </w:t>
      </w:r>
    </w:p>
  </w:footnote>
  <w:footnote w:id="226">
    <w:p w:rsidR="001E72F7" w:rsidRPr="00347D29" w:rsidRDefault="001E72F7" w:rsidP="00E060A7">
      <w:pPr>
        <w:pStyle w:val="FootnoteText"/>
        <w:rPr>
          <w:lang w:val="en-US"/>
        </w:rPr>
      </w:pPr>
      <w:r>
        <w:rPr>
          <w:rStyle w:val="FootnoteReference"/>
        </w:rPr>
        <w:footnoteRef/>
      </w:r>
      <w:r>
        <w:t xml:space="preserve"> </w:t>
      </w:r>
      <w:hyperlink r:id="rId194" w:history="1">
        <w:r w:rsidRPr="00055417">
          <w:rPr>
            <w:rStyle w:val="Hyperlink"/>
          </w:rPr>
          <w:t>http://www.scie.org.uk/publications/ataglance/ataglance41.asp</w:t>
        </w:r>
      </w:hyperlink>
      <w:r>
        <w:t xml:space="preserve"> </w:t>
      </w:r>
    </w:p>
  </w:footnote>
  <w:footnote w:id="227">
    <w:p w:rsidR="001E72F7" w:rsidRPr="0019012C" w:rsidRDefault="001E72F7" w:rsidP="00E060A7">
      <w:pPr>
        <w:pStyle w:val="FootnoteText"/>
      </w:pPr>
      <w:r>
        <w:rPr>
          <w:rStyle w:val="FootnoteReference"/>
        </w:rPr>
        <w:footnoteRef/>
      </w:r>
      <w:r>
        <w:t xml:space="preserve"> NHS Wales. All Wales Standards for Accessible Communication and Information for People with Sensory Loss. July 2013.</w:t>
      </w:r>
    </w:p>
  </w:footnote>
  <w:footnote w:id="228">
    <w:p w:rsidR="001E72F7" w:rsidRPr="00C10CB9" w:rsidRDefault="001E72F7" w:rsidP="00E060A7">
      <w:pPr>
        <w:pStyle w:val="FootnoteText"/>
      </w:pPr>
      <w:r>
        <w:rPr>
          <w:rStyle w:val="FootnoteReference"/>
        </w:rPr>
        <w:footnoteRef/>
      </w:r>
      <w:r>
        <w:t xml:space="preserve"> </w:t>
      </w:r>
      <w:hyperlink r:id="rId195" w:history="1">
        <w:r w:rsidRPr="00BE67FD">
          <w:rPr>
            <w:rStyle w:val="Hyperlink"/>
          </w:rPr>
          <w:t>https://www.gov.uk/government/uploads/system/uploads/attachment_data/file/213883/dh_116385.pdf</w:t>
        </w:r>
      </w:hyperlink>
    </w:p>
  </w:footnote>
  <w:footnote w:id="229">
    <w:p w:rsidR="001E72F7" w:rsidRPr="0024465B" w:rsidRDefault="001E72F7" w:rsidP="00E060A7">
      <w:pPr>
        <w:pStyle w:val="FootnoteText"/>
        <w:rPr>
          <w:lang w:val="en-US"/>
        </w:rPr>
      </w:pPr>
      <w:r>
        <w:rPr>
          <w:rStyle w:val="FootnoteReference"/>
        </w:rPr>
        <w:footnoteRef/>
      </w:r>
      <w:r>
        <w:t xml:space="preserve"> </w:t>
      </w:r>
      <w:hyperlink r:id="rId196" w:history="1">
        <w:r w:rsidRPr="006B7EDB">
          <w:rPr>
            <w:rStyle w:val="Hyperlink"/>
          </w:rPr>
          <w:t>https://www.gov.uk/government/uploads/system/uploads/attachment_data/file/308846/HTM_05-02_2014.pdf</w:t>
        </w:r>
      </w:hyperlink>
      <w:r>
        <w:t xml:space="preserve"> </w:t>
      </w:r>
    </w:p>
  </w:footnote>
  <w:footnote w:id="230">
    <w:p w:rsidR="001E72F7" w:rsidRPr="006C6220" w:rsidRDefault="001E72F7" w:rsidP="00E060A7">
      <w:pPr>
        <w:pStyle w:val="FootnoteText"/>
        <w:rPr>
          <w:lang w:val="en-US"/>
        </w:rPr>
      </w:pPr>
      <w:r>
        <w:rPr>
          <w:rStyle w:val="FootnoteReference"/>
        </w:rPr>
        <w:footnoteRef/>
      </w:r>
      <w:r>
        <w:t xml:space="preserve"> </w:t>
      </w:r>
      <w:hyperlink r:id="rId197" w:history="1">
        <w:r w:rsidRPr="006B7EDB">
          <w:rPr>
            <w:rStyle w:val="Hyperlink"/>
          </w:rPr>
          <w:t>http://www.disabledaccess.co.uk/Access_Requirements/other.htm</w:t>
        </w:r>
      </w:hyperlink>
      <w:r>
        <w:t xml:space="preserve"> </w:t>
      </w:r>
    </w:p>
  </w:footnote>
  <w:footnote w:id="231">
    <w:p w:rsidR="001E72F7" w:rsidRPr="00737EA6" w:rsidRDefault="001E72F7" w:rsidP="00E060A7">
      <w:pPr>
        <w:pStyle w:val="FootnoteText"/>
        <w:rPr>
          <w:szCs w:val="16"/>
          <w:lang w:val="en-US"/>
        </w:rPr>
      </w:pPr>
      <w:r w:rsidRPr="00737EA6">
        <w:rPr>
          <w:rStyle w:val="FootnoteReference"/>
          <w:szCs w:val="16"/>
        </w:rPr>
        <w:footnoteRef/>
      </w:r>
      <w:r w:rsidRPr="00737EA6">
        <w:rPr>
          <w:szCs w:val="16"/>
        </w:rPr>
        <w:t xml:space="preserve"> </w:t>
      </w:r>
      <w:hyperlink r:id="rId198" w:history="1">
        <w:r w:rsidRPr="00737EA6">
          <w:rPr>
            <w:rStyle w:val="Hyperlink"/>
          </w:rPr>
          <w:t>http://www.equalityhumanrights.com/cy/private-and-public-sector-guidance/guidance-for-all/pre-equality-act-guidance/guidance-for-service-providers-pre-october-2010/good-medical-practice-and-disability-equality</w:t>
        </w:r>
      </w:hyperlink>
      <w:r w:rsidRPr="00737EA6">
        <w:rPr>
          <w:szCs w:val="16"/>
        </w:rPr>
        <w:t xml:space="preserve"> </w:t>
      </w:r>
    </w:p>
  </w:footnote>
  <w:footnote w:id="232">
    <w:p w:rsidR="001E72F7" w:rsidRPr="00737EA6" w:rsidRDefault="001E72F7" w:rsidP="00E060A7">
      <w:pPr>
        <w:pStyle w:val="FootnoteText"/>
        <w:rPr>
          <w:szCs w:val="16"/>
        </w:rPr>
      </w:pPr>
      <w:r w:rsidRPr="00737EA6">
        <w:rPr>
          <w:rStyle w:val="FootnoteReference"/>
          <w:szCs w:val="16"/>
        </w:rPr>
        <w:footnoteRef/>
      </w:r>
      <w:r w:rsidRPr="00737EA6">
        <w:rPr>
          <w:szCs w:val="16"/>
        </w:rPr>
        <w:t xml:space="preserve"> </w:t>
      </w:r>
      <w:hyperlink r:id="rId199" w:history="1">
        <w:r w:rsidRPr="00737EA6">
          <w:rPr>
            <w:rStyle w:val="Hyperlink"/>
          </w:rPr>
          <w:t>http://www.publications.parliament.uk/pa/cm200910/cmselect/cmtran/414/414.pdf</w:t>
        </w:r>
      </w:hyperlink>
    </w:p>
  </w:footnote>
  <w:footnote w:id="233">
    <w:p w:rsidR="001E72F7" w:rsidRPr="00737EA6" w:rsidRDefault="001E72F7" w:rsidP="00E060A7">
      <w:pPr>
        <w:pStyle w:val="FootnoteText"/>
        <w:rPr>
          <w:szCs w:val="16"/>
        </w:rPr>
      </w:pPr>
      <w:r w:rsidRPr="00737EA6">
        <w:rPr>
          <w:rStyle w:val="FootnoteReference"/>
          <w:szCs w:val="16"/>
        </w:rPr>
        <w:footnoteRef/>
      </w:r>
      <w:r w:rsidRPr="00737EA6">
        <w:rPr>
          <w:szCs w:val="16"/>
        </w:rPr>
        <w:t xml:space="preserve"> </w:t>
      </w:r>
      <w:hyperlink r:id="rId200" w:history="1">
        <w:r w:rsidRPr="00737EA6">
          <w:rPr>
            <w:rStyle w:val="Hyperlink"/>
          </w:rPr>
          <w:t>https://www.gov.uk/mobility-scooters-and-powered-wheelchairs-rules/overview</w:t>
        </w:r>
      </w:hyperlink>
    </w:p>
  </w:footnote>
  <w:footnote w:id="234">
    <w:p w:rsidR="001E72F7" w:rsidRDefault="001E72F7" w:rsidP="00E060A7">
      <w:pPr>
        <w:pStyle w:val="FootnoteText"/>
      </w:pPr>
      <w:r w:rsidRPr="00737EA6">
        <w:rPr>
          <w:rStyle w:val="FootnoteReference"/>
          <w:szCs w:val="16"/>
        </w:rPr>
        <w:footnoteRef/>
      </w:r>
      <w:r w:rsidRPr="00737EA6">
        <w:rPr>
          <w:szCs w:val="16"/>
        </w:rPr>
        <w:t xml:space="preserve"> </w:t>
      </w:r>
      <w:hyperlink r:id="rId201" w:history="1">
        <w:r w:rsidRPr="00737EA6">
          <w:rPr>
            <w:rStyle w:val="Hyperlink"/>
          </w:rPr>
          <w:t>https://www.mencap.org.uk/about-learning-disability/transition-and-further-education/transition/funding-money-and-benefits</w:t>
        </w:r>
      </w:hyperlink>
    </w:p>
  </w:footnote>
  <w:footnote w:id="235">
    <w:p w:rsidR="001E72F7" w:rsidRDefault="001E72F7" w:rsidP="00E060A7">
      <w:pPr>
        <w:pStyle w:val="FootnoteText"/>
      </w:pPr>
      <w:r>
        <w:rPr>
          <w:rStyle w:val="FootnoteReference"/>
        </w:rPr>
        <w:footnoteRef/>
      </w:r>
      <w:r>
        <w:t xml:space="preserve"> World Health Organization</w:t>
      </w:r>
    </w:p>
  </w:footnote>
  <w:footnote w:id="236">
    <w:p w:rsidR="001E72F7" w:rsidRPr="003A506A" w:rsidRDefault="001E72F7" w:rsidP="00E060A7">
      <w:pPr>
        <w:pStyle w:val="FootnoteText"/>
      </w:pPr>
      <w:r>
        <w:rPr>
          <w:rStyle w:val="FootnoteReference"/>
        </w:rPr>
        <w:footnoteRef/>
      </w:r>
      <w:r>
        <w:t xml:space="preserve"> National Disability Authority. </w:t>
      </w:r>
      <w:r w:rsidRPr="00D5634C">
        <w:t>Review of literature and guidelines on accessibility in healthcare that underpin the National Guidelines on Accessible Primary, Community and Hospital Services</w:t>
      </w:r>
      <w:r>
        <w:t>. July 2012.</w:t>
      </w:r>
    </w:p>
  </w:footnote>
  <w:footnote w:id="237">
    <w:p w:rsidR="001E72F7" w:rsidRPr="003A506A" w:rsidRDefault="001E72F7" w:rsidP="00E060A7">
      <w:pPr>
        <w:pStyle w:val="FootnoteText"/>
      </w:pPr>
      <w:r>
        <w:rPr>
          <w:rStyle w:val="FootnoteReference"/>
        </w:rPr>
        <w:footnoteRef/>
      </w:r>
      <w:r>
        <w:t xml:space="preserve"> Ibid</w:t>
      </w:r>
    </w:p>
  </w:footnote>
  <w:footnote w:id="238">
    <w:p w:rsidR="001E72F7" w:rsidRPr="003A506A" w:rsidRDefault="001E72F7" w:rsidP="00E060A7">
      <w:pPr>
        <w:pStyle w:val="FootnoteText"/>
      </w:pPr>
      <w:r>
        <w:rPr>
          <w:rStyle w:val="FootnoteReference"/>
        </w:rPr>
        <w:footnoteRef/>
      </w:r>
      <w:r>
        <w:t xml:space="preserve"> National Disability Authority. </w:t>
      </w:r>
      <w:r w:rsidRPr="00D5634C">
        <w:t>Review of literature and guidelines on accessibility in healthcare that underpin the National Guidelines on Accessible Primary, Community and Hospital Services</w:t>
      </w:r>
      <w:r>
        <w:t>. July 2012.</w:t>
      </w:r>
    </w:p>
  </w:footnote>
  <w:footnote w:id="239">
    <w:p w:rsidR="001E72F7" w:rsidRPr="003A506A" w:rsidRDefault="001E72F7" w:rsidP="00E060A7">
      <w:pPr>
        <w:pStyle w:val="FootnoteText"/>
      </w:pPr>
      <w:r>
        <w:rPr>
          <w:rStyle w:val="FootnoteReference"/>
        </w:rPr>
        <w:footnoteRef/>
      </w:r>
      <w:r>
        <w:t xml:space="preserve"> Ibid</w:t>
      </w:r>
    </w:p>
  </w:footnote>
  <w:footnote w:id="240">
    <w:p w:rsidR="001E72F7" w:rsidRPr="007D5703" w:rsidRDefault="001E72F7" w:rsidP="00E060A7">
      <w:pPr>
        <w:pStyle w:val="FootnoteText"/>
        <w:rPr>
          <w:lang w:val="en-US"/>
        </w:rPr>
      </w:pPr>
      <w:r>
        <w:rPr>
          <w:rStyle w:val="FootnoteReference"/>
        </w:rPr>
        <w:footnoteRef/>
      </w:r>
      <w:r>
        <w:t xml:space="preserve"> </w:t>
      </w:r>
      <w:hyperlink r:id="rId202" w:history="1">
        <w:r w:rsidRPr="00DA4415">
          <w:rPr>
            <w:rStyle w:val="Hyperlink"/>
          </w:rPr>
          <w:t>https://www.humanrights.gov.au/our-work/disability-rights/about-disability-rights</w:t>
        </w:r>
      </w:hyperlink>
      <w:r>
        <w:t xml:space="preserve"> </w:t>
      </w:r>
    </w:p>
  </w:footnote>
  <w:footnote w:id="241">
    <w:p w:rsidR="001E72F7" w:rsidRPr="00BC488A" w:rsidRDefault="001E72F7" w:rsidP="00E060A7">
      <w:pPr>
        <w:pStyle w:val="FootnoteText"/>
        <w:rPr>
          <w:lang w:val="en-US"/>
        </w:rPr>
      </w:pPr>
      <w:r>
        <w:rPr>
          <w:rStyle w:val="FootnoteReference"/>
        </w:rPr>
        <w:footnoteRef/>
      </w:r>
      <w:r>
        <w:t xml:space="preserve"> </w:t>
      </w:r>
      <w:hyperlink r:id="rId203" w:history="1">
        <w:r w:rsidRPr="00970148">
          <w:rPr>
            <w:rStyle w:val="Hyperlink"/>
          </w:rPr>
          <w:t>http://www.comlaw.gov.au/details/f2010l00668</w:t>
        </w:r>
      </w:hyperlink>
      <w:r>
        <w:t xml:space="preserve"> </w:t>
      </w:r>
    </w:p>
  </w:footnote>
  <w:footnote w:id="242">
    <w:p w:rsidR="001E72F7" w:rsidRPr="009A514B" w:rsidRDefault="001E72F7" w:rsidP="00E060A7">
      <w:pPr>
        <w:pStyle w:val="FootnoteText"/>
        <w:rPr>
          <w:lang w:val="en-US"/>
        </w:rPr>
      </w:pPr>
      <w:r>
        <w:rPr>
          <w:rStyle w:val="FootnoteReference"/>
        </w:rPr>
        <w:footnoteRef/>
      </w:r>
      <w:r>
        <w:t xml:space="preserve"> </w:t>
      </w:r>
      <w:hyperlink r:id="rId204" w:history="1">
        <w:r w:rsidRPr="00505A5F">
          <w:rPr>
            <w:rStyle w:val="Hyperlink"/>
          </w:rPr>
          <w:t>http://www.abcb.gov.au/en/about-the-national-construction-code/the-regulatory-process.aspx</w:t>
        </w:r>
      </w:hyperlink>
      <w:r>
        <w:t xml:space="preserve"> </w:t>
      </w:r>
    </w:p>
  </w:footnote>
  <w:footnote w:id="243">
    <w:p w:rsidR="001E72F7" w:rsidRPr="00974E84" w:rsidRDefault="001E72F7" w:rsidP="00E060A7">
      <w:pPr>
        <w:pStyle w:val="FootnoteText"/>
        <w:rPr>
          <w:szCs w:val="16"/>
          <w:lang w:val="en-US"/>
        </w:rPr>
      </w:pPr>
      <w:r w:rsidRPr="00974E84">
        <w:rPr>
          <w:rStyle w:val="FootnoteReference"/>
          <w:szCs w:val="16"/>
        </w:rPr>
        <w:footnoteRef/>
      </w:r>
      <w:r w:rsidRPr="00974E84">
        <w:rPr>
          <w:szCs w:val="16"/>
        </w:rPr>
        <w:t xml:space="preserve"> </w:t>
      </w:r>
      <w:hyperlink r:id="rId205" w:history="1">
        <w:r w:rsidRPr="00974E84">
          <w:rPr>
            <w:rStyle w:val="Hyperlink"/>
          </w:rPr>
          <w:t>http://www.abcb.gov.au/en/about-the-national-construction-code/the-building-code-of-australia.aspx</w:t>
        </w:r>
      </w:hyperlink>
      <w:r w:rsidRPr="00974E84">
        <w:rPr>
          <w:szCs w:val="16"/>
        </w:rPr>
        <w:t xml:space="preserve"> </w:t>
      </w:r>
    </w:p>
  </w:footnote>
  <w:footnote w:id="244">
    <w:p w:rsidR="001E72F7" w:rsidRPr="00974E84" w:rsidRDefault="001E72F7" w:rsidP="00E060A7">
      <w:pPr>
        <w:rPr>
          <w:sz w:val="16"/>
          <w:szCs w:val="16"/>
          <w:lang w:val="en-US"/>
        </w:rPr>
      </w:pPr>
      <w:r w:rsidRPr="00974E84">
        <w:rPr>
          <w:rStyle w:val="FootnoteReference"/>
          <w:szCs w:val="16"/>
        </w:rPr>
        <w:footnoteRef/>
      </w:r>
      <w:r w:rsidRPr="00974E84">
        <w:rPr>
          <w:sz w:val="16"/>
          <w:szCs w:val="16"/>
          <w:lang w:val="en-US"/>
        </w:rPr>
        <w:t xml:space="preserve"> </w:t>
      </w:r>
      <w:hyperlink r:id="rId206" w:history="1">
        <w:r w:rsidRPr="00974E84">
          <w:rPr>
            <w:color w:val="8E258D"/>
            <w:sz w:val="16"/>
            <w:szCs w:val="16"/>
            <w:u w:val="single"/>
            <w:lang w:val="en-US"/>
          </w:rPr>
          <w:t>https://www.dss.gov.au/sites/default/files/documents/05_2012/national_disability_strategy_2010__2020_summary.pdf</w:t>
        </w:r>
      </w:hyperlink>
      <w:r w:rsidRPr="00974E84">
        <w:rPr>
          <w:sz w:val="16"/>
          <w:szCs w:val="16"/>
          <w:lang w:val="en-US"/>
        </w:rPr>
        <w:t xml:space="preserve">, </w:t>
      </w:r>
      <w:hyperlink r:id="rId207" w:history="1">
        <w:r w:rsidRPr="00974E84">
          <w:rPr>
            <w:color w:val="8E258D"/>
            <w:sz w:val="16"/>
            <w:szCs w:val="16"/>
            <w:u w:val="single"/>
            <w:lang w:val="en-US"/>
          </w:rPr>
          <w:t>https://www.dss.gov.au/our-responsibilities/disability-and-carers/program-services/government-international/national-disability-strategy</w:t>
        </w:r>
      </w:hyperlink>
      <w:r w:rsidRPr="00974E84">
        <w:rPr>
          <w:sz w:val="16"/>
          <w:szCs w:val="16"/>
          <w:lang w:val="en-US"/>
        </w:rPr>
        <w:t xml:space="preserve">, </w:t>
      </w:r>
      <w:hyperlink r:id="rId208" w:history="1">
        <w:r w:rsidRPr="00974E84">
          <w:rPr>
            <w:color w:val="8E258D"/>
            <w:sz w:val="16"/>
            <w:szCs w:val="16"/>
            <w:u w:val="single"/>
            <w:lang w:val="en-US"/>
          </w:rPr>
          <w:t>https://www.dss.gov.au/sites/default/files/documents/05_2012/national_disability_strategy_2010_2020.pdf</w:t>
        </w:r>
      </w:hyperlink>
      <w:r w:rsidRPr="00974E84">
        <w:rPr>
          <w:sz w:val="16"/>
          <w:szCs w:val="16"/>
          <w:lang w:val="en-US"/>
        </w:rPr>
        <w:t xml:space="preserve"> </w:t>
      </w:r>
    </w:p>
  </w:footnote>
  <w:footnote w:id="245">
    <w:p w:rsidR="001E72F7" w:rsidRPr="00832AF7" w:rsidRDefault="001E72F7" w:rsidP="00E060A7">
      <w:pPr>
        <w:rPr>
          <w:sz w:val="16"/>
          <w:szCs w:val="16"/>
          <w:lang w:val="en-US"/>
        </w:rPr>
      </w:pPr>
      <w:r w:rsidRPr="00832AF7">
        <w:rPr>
          <w:rStyle w:val="FootnoteReference"/>
          <w:szCs w:val="16"/>
        </w:rPr>
        <w:footnoteRef/>
      </w:r>
      <w:r w:rsidRPr="00832AF7">
        <w:rPr>
          <w:sz w:val="16"/>
          <w:szCs w:val="16"/>
        </w:rPr>
        <w:t xml:space="preserve"> </w:t>
      </w:r>
      <w:hyperlink r:id="rId209" w:history="1">
        <w:r w:rsidRPr="00832AF7">
          <w:rPr>
            <w:rStyle w:val="Hyperlink"/>
          </w:rPr>
          <w:t>https://www.dss.gov.au/sites/default/files/documents/05_2012/dig_report_19oct09.pdf</w:t>
        </w:r>
      </w:hyperlink>
      <w:r w:rsidRPr="00832AF7">
        <w:rPr>
          <w:sz w:val="16"/>
          <w:szCs w:val="16"/>
        </w:rPr>
        <w:t xml:space="preserve">, </w:t>
      </w:r>
      <w:hyperlink r:id="rId210" w:history="1">
        <w:r w:rsidRPr="00832AF7">
          <w:rPr>
            <w:color w:val="8E258D"/>
            <w:sz w:val="16"/>
            <w:szCs w:val="16"/>
            <w:u w:val="single"/>
            <w:lang w:val="en-US"/>
          </w:rPr>
          <w:t>https://www.dss.gov.au/our-responsibilities/disability-and-carers/program-services/for-people-with-disability/disability-investment-group</w:t>
        </w:r>
      </w:hyperlink>
      <w:r w:rsidRPr="00832AF7">
        <w:rPr>
          <w:sz w:val="16"/>
          <w:szCs w:val="16"/>
          <w:lang w:val="en-US"/>
        </w:rPr>
        <w:t xml:space="preserve">, </w:t>
      </w:r>
      <w:hyperlink r:id="rId211" w:history="1">
        <w:r w:rsidRPr="00832AF7">
          <w:rPr>
            <w:color w:val="8E258D"/>
            <w:sz w:val="16"/>
            <w:szCs w:val="16"/>
            <w:u w:val="single"/>
            <w:lang w:val="en-US"/>
          </w:rPr>
          <w:t>https://www.dss.gov.au/our-responsibilities/disability-and-carers/program-services/for-people-with-disability/disability-investment-group/the-way-forward-a-new-disability-policy-framework-for-australia</w:t>
        </w:r>
      </w:hyperlink>
      <w:r w:rsidRPr="00832AF7">
        <w:rPr>
          <w:sz w:val="16"/>
          <w:szCs w:val="16"/>
          <w:lang w:val="en-US"/>
        </w:rPr>
        <w:t xml:space="preserve"> </w:t>
      </w:r>
    </w:p>
  </w:footnote>
  <w:footnote w:id="246">
    <w:p w:rsidR="001E72F7" w:rsidRPr="00832AF7" w:rsidRDefault="001E72F7" w:rsidP="00E060A7">
      <w:pPr>
        <w:pStyle w:val="FootnoteText"/>
        <w:spacing w:after="0"/>
      </w:pPr>
      <w:r>
        <w:rPr>
          <w:rStyle w:val="FootnoteReference"/>
        </w:rPr>
        <w:footnoteRef/>
      </w:r>
      <w:r>
        <w:t xml:space="preserve"> </w:t>
      </w:r>
      <w:hyperlink r:id="rId212" w:anchor="Ch1308Se260025" w:history="1">
        <w:r w:rsidRPr="00E90492">
          <w:rPr>
            <w:color w:val="8E258D"/>
            <w:u w:val="single"/>
          </w:rPr>
          <w:t>http://www.lawhandbook.org.au/handbook/ch16s01s03.php#Ch1308Se260025</w:t>
        </w:r>
      </w:hyperlink>
      <w:r>
        <w:t>,</w:t>
      </w:r>
      <w:r w:rsidRPr="00E90492">
        <w:t xml:space="preserve"> </w:t>
      </w:r>
      <w:hyperlink r:id="rId213" w:history="1">
        <w:r w:rsidRPr="00E90492">
          <w:rPr>
            <w:color w:val="8E258D"/>
            <w:u w:val="single"/>
          </w:rPr>
          <w:t>https://www.humanrights.gov.au/disability-discrimination-act-action-plans-guide-business</w:t>
        </w:r>
      </w:hyperlink>
    </w:p>
  </w:footnote>
  <w:footnote w:id="247">
    <w:p w:rsidR="001E72F7" w:rsidRPr="0093071F" w:rsidRDefault="001E72F7" w:rsidP="00E060A7">
      <w:pPr>
        <w:pStyle w:val="FootnoteText"/>
        <w:rPr>
          <w:lang w:val="en-US"/>
        </w:rPr>
      </w:pPr>
      <w:r>
        <w:rPr>
          <w:rStyle w:val="FootnoteReference"/>
        </w:rPr>
        <w:footnoteRef/>
      </w:r>
      <w:r>
        <w:t xml:space="preserve"> </w:t>
      </w:r>
      <w:hyperlink r:id="rId214" w:history="1">
        <w:r w:rsidRPr="002C1943">
          <w:rPr>
            <w:rStyle w:val="Hyperlink"/>
          </w:rPr>
          <w:t>http://www0.health.nsw.gov.au/pubs/2012/pdf/service_framework_2012.pdf</w:t>
        </w:r>
      </w:hyperlink>
      <w:r>
        <w:t xml:space="preserve"> </w:t>
      </w:r>
    </w:p>
  </w:footnote>
  <w:footnote w:id="248">
    <w:p w:rsidR="001E72F7" w:rsidRPr="00FC4D20" w:rsidRDefault="001E72F7" w:rsidP="00E060A7">
      <w:pPr>
        <w:pStyle w:val="FootnoteText"/>
        <w:rPr>
          <w:lang w:val="en-US"/>
        </w:rPr>
      </w:pPr>
      <w:r>
        <w:rPr>
          <w:rStyle w:val="FootnoteReference"/>
        </w:rPr>
        <w:footnoteRef/>
      </w:r>
      <w:r>
        <w:t xml:space="preserve"> </w:t>
      </w:r>
      <w:hyperlink r:id="rId215" w:history="1">
        <w:r w:rsidRPr="00055417">
          <w:rPr>
            <w:rStyle w:val="Hyperlink"/>
          </w:rPr>
          <w:t>http://www.humanservices.gov.au/customer/subjects/caring-for-someone-with-an-illness-or-disability</w:t>
        </w:r>
      </w:hyperlink>
      <w:r>
        <w:t xml:space="preserve"> </w:t>
      </w:r>
    </w:p>
  </w:footnote>
  <w:footnote w:id="249">
    <w:p w:rsidR="001E72F7" w:rsidRPr="00F37EA2" w:rsidRDefault="001E72F7" w:rsidP="00E060A7">
      <w:pPr>
        <w:pStyle w:val="FootnoteText"/>
        <w:rPr>
          <w:lang w:val="en-US"/>
        </w:rPr>
      </w:pPr>
      <w:r>
        <w:rPr>
          <w:rStyle w:val="FootnoteReference"/>
        </w:rPr>
        <w:footnoteRef/>
      </w:r>
      <w:r>
        <w:t xml:space="preserve"> </w:t>
      </w:r>
      <w:hyperlink r:id="rId216" w:history="1">
        <w:r w:rsidRPr="00A968E3">
          <w:rPr>
            <w:rStyle w:val="Hyperlink"/>
          </w:rPr>
          <w:t>http://www.humanservices.gov.au/customer/services/centrelink/essential-medical-equipment-payment</w:t>
        </w:r>
      </w:hyperlink>
      <w:r>
        <w:t xml:space="preserve"> </w:t>
      </w:r>
    </w:p>
  </w:footnote>
  <w:footnote w:id="250">
    <w:p w:rsidR="001E72F7" w:rsidRPr="00F37EA2" w:rsidRDefault="001E72F7" w:rsidP="00E060A7">
      <w:pPr>
        <w:pStyle w:val="FootnoteText"/>
        <w:rPr>
          <w:lang w:val="en-US"/>
        </w:rPr>
      </w:pPr>
      <w:r>
        <w:rPr>
          <w:rStyle w:val="FootnoteReference"/>
        </w:rPr>
        <w:footnoteRef/>
      </w:r>
      <w:r>
        <w:t xml:space="preserve"> </w:t>
      </w:r>
      <w:hyperlink r:id="rId217" w:history="1">
        <w:r w:rsidRPr="00A968E3">
          <w:rPr>
            <w:rStyle w:val="Hyperlink"/>
          </w:rPr>
          <w:t>http://www.ndis.gov.au/</w:t>
        </w:r>
      </w:hyperlink>
      <w:r>
        <w:t xml:space="preserve"> </w:t>
      </w:r>
    </w:p>
  </w:footnote>
  <w:footnote w:id="251">
    <w:p w:rsidR="001E72F7" w:rsidRPr="00B73D4C" w:rsidRDefault="001E72F7" w:rsidP="00E060A7">
      <w:pPr>
        <w:pStyle w:val="FootnoteText"/>
        <w:rPr>
          <w:lang w:val="en-US"/>
        </w:rPr>
      </w:pPr>
      <w:r>
        <w:rPr>
          <w:rStyle w:val="FootnoteReference"/>
        </w:rPr>
        <w:footnoteRef/>
      </w:r>
      <w:r>
        <w:t xml:space="preserve"> </w:t>
      </w:r>
      <w:hyperlink r:id="rId218" w:history="1">
        <w:r w:rsidRPr="002C1943">
          <w:rPr>
            <w:rStyle w:val="Hyperlink"/>
          </w:rPr>
          <w:t>http://www.pc.gov.au/inquiries/completed/disability-support/report/disability-support-executive-summary.pdf</w:t>
        </w:r>
      </w:hyperlink>
      <w:r>
        <w:t xml:space="preserve"> </w:t>
      </w:r>
    </w:p>
  </w:footnote>
  <w:footnote w:id="252">
    <w:p w:rsidR="001E72F7" w:rsidRPr="001318F3" w:rsidRDefault="001E72F7" w:rsidP="00E060A7">
      <w:pPr>
        <w:pStyle w:val="FootnoteText"/>
        <w:rPr>
          <w:lang w:val="en-US"/>
        </w:rPr>
      </w:pPr>
      <w:r>
        <w:rPr>
          <w:rStyle w:val="FootnoteReference"/>
        </w:rPr>
        <w:footnoteRef/>
      </w:r>
      <w:r>
        <w:t xml:space="preserve"> </w:t>
      </w:r>
      <w:hyperlink r:id="rId219" w:history="1">
        <w:r w:rsidRPr="002C1943">
          <w:rPr>
            <w:rStyle w:val="Hyperlink"/>
          </w:rPr>
          <w:t>http://www.health.nsw.gov.au/disability/Publications/disability-action-plan-PDF.pdf</w:t>
        </w:r>
      </w:hyperlink>
      <w:r>
        <w:t xml:space="preserve"> </w:t>
      </w:r>
    </w:p>
  </w:footnote>
  <w:footnote w:id="253">
    <w:p w:rsidR="001E72F7" w:rsidRPr="00F37EA2" w:rsidRDefault="001E72F7" w:rsidP="00E060A7">
      <w:pPr>
        <w:pStyle w:val="FootnoteText"/>
        <w:rPr>
          <w:lang w:val="en-US"/>
        </w:rPr>
      </w:pPr>
      <w:r>
        <w:rPr>
          <w:rStyle w:val="FootnoteReference"/>
        </w:rPr>
        <w:footnoteRef/>
      </w:r>
      <w:r>
        <w:t xml:space="preserve"> </w:t>
      </w:r>
      <w:hyperlink r:id="rId220" w:history="1">
        <w:r w:rsidRPr="00A968E3">
          <w:rPr>
            <w:rStyle w:val="Hyperlink"/>
          </w:rPr>
          <w:t>http://www.mdac.info/en/news/new-mental-health-law-egypt</w:t>
        </w:r>
      </w:hyperlink>
      <w:r>
        <w:t xml:space="preserve"> </w:t>
      </w:r>
    </w:p>
  </w:footnote>
  <w:footnote w:id="254">
    <w:p w:rsidR="001E72F7" w:rsidRPr="00F37EA2" w:rsidRDefault="001E72F7" w:rsidP="00E060A7">
      <w:pPr>
        <w:pStyle w:val="FootnoteText"/>
        <w:rPr>
          <w:lang w:val="en-US"/>
        </w:rPr>
      </w:pPr>
      <w:r>
        <w:rPr>
          <w:rStyle w:val="FootnoteReference"/>
        </w:rPr>
        <w:footnoteRef/>
      </w:r>
      <w:r>
        <w:t xml:space="preserve"> </w:t>
      </w:r>
      <w:hyperlink r:id="rId221" w:history="1">
        <w:r w:rsidRPr="00A968E3">
          <w:rPr>
            <w:rStyle w:val="Hyperlink"/>
          </w:rPr>
          <w:t>http://www.gittc-alexu.org/uploads/document/legistaltion.pdf</w:t>
        </w:r>
      </w:hyperlink>
      <w:r>
        <w:t xml:space="preserve"> </w:t>
      </w:r>
    </w:p>
  </w:footnote>
  <w:footnote w:id="255">
    <w:p w:rsidR="001E72F7" w:rsidRPr="00F37EA2" w:rsidRDefault="001E72F7" w:rsidP="00E060A7">
      <w:pPr>
        <w:pStyle w:val="FootnoteText"/>
        <w:rPr>
          <w:lang w:val="en-US"/>
        </w:rPr>
      </w:pPr>
      <w:r>
        <w:rPr>
          <w:rStyle w:val="FootnoteReference"/>
        </w:rPr>
        <w:footnoteRef/>
      </w:r>
      <w:r>
        <w:t xml:space="preserve"> </w:t>
      </w:r>
      <w:hyperlink r:id="rId222" w:history="1">
        <w:r w:rsidRPr="00A968E3">
          <w:rPr>
            <w:rStyle w:val="Hyperlink"/>
          </w:rPr>
          <w:t>http://www.gittc-alexu.org/uploads/document/legistaltion.pdf</w:t>
        </w:r>
      </w:hyperlink>
      <w:r>
        <w:t xml:space="preserve"> </w:t>
      </w:r>
    </w:p>
  </w:footnote>
  <w:footnote w:id="256">
    <w:p w:rsidR="001E72F7" w:rsidRPr="00C547D8" w:rsidRDefault="001E72F7" w:rsidP="00E060A7">
      <w:pPr>
        <w:pStyle w:val="FootnoteText"/>
        <w:rPr>
          <w:lang w:val="en-US"/>
        </w:rPr>
      </w:pPr>
      <w:r>
        <w:rPr>
          <w:rStyle w:val="FootnoteReference"/>
        </w:rPr>
        <w:footnoteRef/>
      </w:r>
      <w:r>
        <w:t xml:space="preserve"> </w:t>
      </w:r>
      <w:hyperlink r:id="rId223" w:history="1">
        <w:r w:rsidRPr="00A968E3">
          <w:rPr>
            <w:rStyle w:val="Hyperlink"/>
          </w:rPr>
          <w:t>http://www.dailynewsegypt.com/2012/11/27/disability-in-egypt/</w:t>
        </w:r>
      </w:hyperlink>
      <w:r>
        <w:t xml:space="preserve"> </w:t>
      </w:r>
    </w:p>
  </w:footnote>
  <w:footnote w:id="257">
    <w:p w:rsidR="001E72F7" w:rsidRPr="00C547D8" w:rsidRDefault="001E72F7" w:rsidP="00E060A7">
      <w:pPr>
        <w:pStyle w:val="FootnoteText"/>
        <w:rPr>
          <w:lang w:val="en-US"/>
        </w:rPr>
      </w:pPr>
      <w:r>
        <w:rPr>
          <w:rStyle w:val="FootnoteReference"/>
        </w:rPr>
        <w:footnoteRef/>
      </w:r>
      <w:r>
        <w:t xml:space="preserve"> </w:t>
      </w:r>
      <w:hyperlink r:id="rId224" w:history="1">
        <w:r w:rsidRPr="00A968E3">
          <w:rPr>
            <w:rStyle w:val="Hyperlink"/>
          </w:rPr>
          <w:t>http://www.al-monitor.com/pulse/originals/2014/10/egypt-disabled-rights-state-marginalize.html#</w:t>
        </w:r>
      </w:hyperlink>
      <w:r>
        <w:t xml:space="preserve"> </w:t>
      </w:r>
    </w:p>
  </w:footnote>
  <w:footnote w:id="258">
    <w:p w:rsidR="001E72F7" w:rsidRPr="00F37EA2" w:rsidRDefault="001E72F7" w:rsidP="00E060A7">
      <w:pPr>
        <w:pStyle w:val="FootnoteText"/>
        <w:rPr>
          <w:lang w:val="en-US"/>
        </w:rPr>
      </w:pPr>
      <w:r>
        <w:rPr>
          <w:rStyle w:val="FootnoteReference"/>
        </w:rPr>
        <w:footnoteRef/>
      </w:r>
      <w:r>
        <w:t xml:space="preserve"> </w:t>
      </w:r>
      <w:hyperlink r:id="rId225" w:history="1">
        <w:r w:rsidRPr="00A968E3">
          <w:rPr>
            <w:rStyle w:val="Hyperlink"/>
          </w:rPr>
          <w:t>http://www.gittc-alexu.org/uploads/document/legistaltion.pdf</w:t>
        </w:r>
      </w:hyperlink>
      <w:r>
        <w:t xml:space="preserve"> </w:t>
      </w:r>
    </w:p>
  </w:footnote>
  <w:footnote w:id="259">
    <w:p w:rsidR="001E72F7" w:rsidRPr="00AE13A2" w:rsidRDefault="001E72F7" w:rsidP="00E060A7">
      <w:pPr>
        <w:pStyle w:val="FootnoteText"/>
        <w:rPr>
          <w:lang w:val="en-US"/>
        </w:rPr>
      </w:pPr>
      <w:r>
        <w:rPr>
          <w:rStyle w:val="FootnoteReference"/>
        </w:rPr>
        <w:footnoteRef/>
      </w:r>
      <w:r>
        <w:t xml:space="preserve"> </w:t>
      </w:r>
      <w:hyperlink r:id="rId226" w:history="1">
        <w:r w:rsidRPr="009523F1">
          <w:rPr>
            <w:rStyle w:val="Hyperlink"/>
          </w:rPr>
          <w:t>http://www.google.co.in/url?sa=t&amp;rct=j&amp;q=&amp;esrc=s&amp;source=web&amp;cd=2&amp;ved=0CCMQFjAB&amp;url=http%3A%2F%2F www2.ohchr.org%2Fenglish%2Fissues%2Fdisability%2Fdocs%2Fconsultation%2FStatesinputs%2FISRAEL.doc&amp;ei=CekwVen9JObXyQO2_oCAAw&amp;usg=AFQjCNEJR8QB76RIvI1Ex9Rp78K-4UsfkA&amp;bvm=bv.91071109,d.bGQ&amp;cad=rja</w:t>
        </w:r>
      </w:hyperlink>
      <w:r>
        <w:t xml:space="preserve"> </w:t>
      </w:r>
    </w:p>
  </w:footnote>
  <w:footnote w:id="260">
    <w:p w:rsidR="001E72F7" w:rsidRPr="00C948F5" w:rsidRDefault="001E72F7" w:rsidP="00E060A7">
      <w:pPr>
        <w:pStyle w:val="FootnoteText"/>
        <w:rPr>
          <w:szCs w:val="16"/>
        </w:rPr>
      </w:pPr>
      <w:r w:rsidRPr="00C948F5">
        <w:rPr>
          <w:rStyle w:val="FootnoteReference"/>
          <w:szCs w:val="16"/>
        </w:rPr>
        <w:footnoteRef/>
      </w:r>
      <w:r w:rsidRPr="00C948F5">
        <w:rPr>
          <w:szCs w:val="16"/>
        </w:rPr>
        <w:t xml:space="preserve"> </w:t>
      </w:r>
      <w:hyperlink r:id="rId227" w:history="1">
        <w:r w:rsidRPr="00C948F5">
          <w:rPr>
            <w:rStyle w:val="Hyperlink"/>
          </w:rPr>
          <w:t>http://www.health.gov.il/English/Topics/Rights_disabilities/regulation/Pages/default.aspx</w:t>
        </w:r>
      </w:hyperlink>
    </w:p>
  </w:footnote>
  <w:footnote w:id="261">
    <w:p w:rsidR="001E72F7" w:rsidRPr="00B12BD3" w:rsidRDefault="001E72F7" w:rsidP="00E060A7">
      <w:pPr>
        <w:pStyle w:val="FootnoteText"/>
        <w:rPr>
          <w:lang w:val="en-US"/>
        </w:rPr>
      </w:pPr>
      <w:r>
        <w:rPr>
          <w:rStyle w:val="FootnoteReference"/>
        </w:rPr>
        <w:footnoteRef/>
      </w:r>
      <w:r>
        <w:t xml:space="preserve"> </w:t>
      </w:r>
      <w:hyperlink r:id="rId228" w:history="1">
        <w:r w:rsidRPr="00055417">
          <w:rPr>
            <w:rStyle w:val="Hyperlink"/>
          </w:rPr>
          <w:t>http://www.jewishvirtuallibrary.org/jsource/med/three.html</w:t>
        </w:r>
      </w:hyperlink>
      <w:r>
        <w:t xml:space="preserve"> </w:t>
      </w:r>
    </w:p>
  </w:footnote>
  <w:footnote w:id="262">
    <w:p w:rsidR="001E72F7" w:rsidRPr="00B535A9" w:rsidRDefault="001E72F7" w:rsidP="00E060A7">
      <w:pPr>
        <w:pStyle w:val="FootnoteText"/>
        <w:rPr>
          <w:lang w:val="en-US"/>
        </w:rPr>
      </w:pPr>
      <w:r>
        <w:rPr>
          <w:rStyle w:val="FootnoteReference"/>
        </w:rPr>
        <w:footnoteRef/>
      </w:r>
      <w:r>
        <w:t xml:space="preserve"> </w:t>
      </w:r>
      <w:hyperlink r:id="rId229" w:anchor="GovXParagraphTitle1" w:history="1">
        <w:r w:rsidRPr="00B97B50">
          <w:rPr>
            <w:rStyle w:val="Hyperlink"/>
          </w:rPr>
          <w:t>http://www.moch.gov.il/English/new_construction/Pages/the_israel_building_code.aspx#GovXParagraphTitle1</w:t>
        </w:r>
      </w:hyperlink>
      <w:r>
        <w:t xml:space="preserve"> </w:t>
      </w:r>
    </w:p>
  </w:footnote>
  <w:footnote w:id="263">
    <w:p w:rsidR="001E72F7" w:rsidRPr="007453B7" w:rsidRDefault="001E72F7" w:rsidP="00E060A7">
      <w:pPr>
        <w:pStyle w:val="FootnoteText"/>
        <w:rPr>
          <w:lang w:val="en-US"/>
        </w:rPr>
      </w:pPr>
      <w:r>
        <w:rPr>
          <w:rStyle w:val="FootnoteReference"/>
        </w:rPr>
        <w:footnoteRef/>
      </w:r>
      <w:r>
        <w:t xml:space="preserve"> </w:t>
      </w:r>
      <w:hyperlink r:id="rId230" w:history="1">
        <w:r w:rsidRPr="00055417">
          <w:rPr>
            <w:rStyle w:val="Hyperlink"/>
          </w:rPr>
          <w:t>http://www.kolzchut.org.il/en/Disability_Pension_and_Related_Benefits</w:t>
        </w:r>
      </w:hyperlink>
      <w:r>
        <w:t xml:space="preserve"> </w:t>
      </w:r>
    </w:p>
  </w:footnote>
  <w:footnote w:id="264">
    <w:p w:rsidR="001E72F7" w:rsidRPr="00843220" w:rsidRDefault="001E72F7" w:rsidP="00E060A7">
      <w:pPr>
        <w:pStyle w:val="FootnoteText"/>
        <w:rPr>
          <w:szCs w:val="16"/>
          <w:lang w:val="en-US"/>
        </w:rPr>
      </w:pPr>
      <w:r w:rsidRPr="00843220">
        <w:rPr>
          <w:rStyle w:val="FootnoteReference"/>
          <w:szCs w:val="16"/>
        </w:rPr>
        <w:footnoteRef/>
      </w:r>
      <w:r w:rsidRPr="00843220">
        <w:rPr>
          <w:szCs w:val="16"/>
        </w:rPr>
        <w:t xml:space="preserve"> </w:t>
      </w:r>
      <w:hyperlink r:id="rId231" w:history="1">
        <w:r w:rsidRPr="00843220">
          <w:rPr>
            <w:rStyle w:val="Hyperlink"/>
          </w:rPr>
          <w:t>http://www.kolzchut.org.il/en/Personal_Nursing_Care_Benefit_for_Children_and_Adults_Ventilated_with_a_Tracheostomy</w:t>
        </w:r>
      </w:hyperlink>
      <w:r w:rsidRPr="00843220">
        <w:rPr>
          <w:szCs w:val="16"/>
        </w:rPr>
        <w:t xml:space="preserve"> </w:t>
      </w:r>
    </w:p>
  </w:footnote>
  <w:footnote w:id="265">
    <w:p w:rsidR="001E72F7" w:rsidRPr="00843220" w:rsidRDefault="001E72F7" w:rsidP="00E060A7">
      <w:pPr>
        <w:pStyle w:val="FootnoteText"/>
        <w:rPr>
          <w:szCs w:val="16"/>
        </w:rPr>
      </w:pPr>
      <w:r w:rsidRPr="00843220">
        <w:rPr>
          <w:rStyle w:val="FootnoteReference"/>
          <w:szCs w:val="16"/>
        </w:rPr>
        <w:footnoteRef/>
      </w:r>
      <w:r w:rsidRPr="00843220">
        <w:rPr>
          <w:szCs w:val="16"/>
        </w:rPr>
        <w:t xml:space="preserve"> </w:t>
      </w:r>
      <w:hyperlink r:id="rId232" w:history="1">
        <w:r w:rsidRPr="00843220">
          <w:rPr>
            <w:rStyle w:val="Hyperlink"/>
          </w:rPr>
          <w:t>http://www.health.gov.il/English/Services/Citizen_Services/mobility/Pages/default.aspx</w:t>
        </w:r>
      </w:hyperlink>
    </w:p>
  </w:footnote>
  <w:footnote w:id="266">
    <w:p w:rsidR="001E72F7" w:rsidRPr="00843220" w:rsidRDefault="001E72F7" w:rsidP="00E060A7">
      <w:pPr>
        <w:pStyle w:val="FootnoteText"/>
        <w:rPr>
          <w:szCs w:val="16"/>
        </w:rPr>
      </w:pPr>
      <w:r w:rsidRPr="00843220">
        <w:rPr>
          <w:rStyle w:val="FootnoteReference"/>
          <w:szCs w:val="16"/>
        </w:rPr>
        <w:footnoteRef/>
      </w:r>
      <w:r w:rsidRPr="00843220">
        <w:rPr>
          <w:szCs w:val="16"/>
        </w:rPr>
        <w:t xml:space="preserve"> </w:t>
      </w:r>
      <w:hyperlink r:id="rId233" w:history="1">
        <w:r w:rsidRPr="00843220">
          <w:rPr>
            <w:rStyle w:val="Hyperlink"/>
          </w:rPr>
          <w:t>http://www.health.gov.il/English/Services/Citizen_Services/mobility/Pages/EmergencyRescue.aspx</w:t>
        </w:r>
      </w:hyperlink>
    </w:p>
  </w:footnote>
  <w:footnote w:id="267">
    <w:p w:rsidR="001E72F7" w:rsidRDefault="001E72F7" w:rsidP="00E060A7">
      <w:pPr>
        <w:pStyle w:val="FootnoteText"/>
      </w:pPr>
      <w:r>
        <w:rPr>
          <w:rStyle w:val="FootnoteReference"/>
        </w:rPr>
        <w:footnoteRef/>
      </w:r>
      <w:r>
        <w:t xml:space="preserve"> </w:t>
      </w:r>
      <w:hyperlink r:id="rId234" w:history="1">
        <w:r w:rsidRPr="00835FA3">
          <w:rPr>
            <w:rStyle w:val="Hyperlink"/>
          </w:rPr>
          <w:t>http://www.health.gov.il/English/Services/Citizen_Services/Pages/Participation.aspx</w:t>
        </w:r>
      </w:hyperlink>
    </w:p>
  </w:footnote>
  <w:footnote w:id="268">
    <w:p w:rsidR="001E72F7" w:rsidRPr="00F83E32" w:rsidRDefault="001E72F7" w:rsidP="00E060A7">
      <w:pPr>
        <w:pStyle w:val="FootnoteText"/>
        <w:rPr>
          <w:szCs w:val="16"/>
        </w:rPr>
      </w:pPr>
      <w:r w:rsidRPr="00F83E32">
        <w:rPr>
          <w:rStyle w:val="FootnoteReference"/>
          <w:szCs w:val="16"/>
        </w:rPr>
        <w:footnoteRef/>
      </w:r>
      <w:r w:rsidRPr="00F83E32">
        <w:rPr>
          <w:szCs w:val="16"/>
        </w:rPr>
        <w:t xml:space="preserve"> </w:t>
      </w:r>
      <w:hyperlink r:id="rId235" w:history="1">
        <w:r w:rsidRPr="00F83E32">
          <w:rPr>
            <w:rStyle w:val="Hyperlink"/>
          </w:rPr>
          <w:t>http://www.health.gov.il/English/MinistryUnits/HealthDivision/MedicalAdministration/Rehabilitation/Pages/default.aspx</w:t>
        </w:r>
      </w:hyperlink>
    </w:p>
  </w:footnote>
  <w:footnote w:id="269">
    <w:p w:rsidR="001E72F7" w:rsidRPr="00843220" w:rsidRDefault="001E72F7" w:rsidP="00E060A7">
      <w:pPr>
        <w:pStyle w:val="FootnoteText"/>
        <w:rPr>
          <w:szCs w:val="16"/>
        </w:rPr>
      </w:pPr>
      <w:r w:rsidRPr="00843220">
        <w:rPr>
          <w:rStyle w:val="FootnoteReference"/>
          <w:szCs w:val="16"/>
        </w:rPr>
        <w:footnoteRef/>
      </w:r>
      <w:r w:rsidRPr="00843220">
        <w:rPr>
          <w:szCs w:val="16"/>
        </w:rPr>
        <w:t xml:space="preserve"> </w:t>
      </w:r>
      <w:hyperlink r:id="rId236" w:history="1">
        <w:r w:rsidRPr="00843220">
          <w:rPr>
            <w:rStyle w:val="Hyperlink"/>
          </w:rPr>
          <w:t>http://www.forbes.com/sites/zackmiller/2015/01/20/12-israeli-technologies-changing-the-lives-of-the-disabled-in-2015/</w:t>
        </w:r>
      </w:hyperlink>
    </w:p>
  </w:footnote>
  <w:footnote w:id="270">
    <w:p w:rsidR="001E72F7" w:rsidRPr="00F37EA2" w:rsidRDefault="001E72F7" w:rsidP="00E060A7">
      <w:pPr>
        <w:pStyle w:val="FootnoteText"/>
        <w:rPr>
          <w:lang w:val="en-US"/>
        </w:rPr>
      </w:pPr>
      <w:r>
        <w:rPr>
          <w:rStyle w:val="FootnoteReference"/>
        </w:rPr>
        <w:footnoteRef/>
      </w:r>
      <w:r>
        <w:t xml:space="preserve"> </w:t>
      </w:r>
      <w:hyperlink r:id="rId237" w:history="1">
        <w:r w:rsidRPr="00A968E3">
          <w:rPr>
            <w:rStyle w:val="Hyperlink"/>
          </w:rPr>
          <w:t>http://inform.gov.jo/en-us/By-Date/Report-Details/ArticleId/86/2010-2015-National-Strategy-for-People-with-Disabilities</w:t>
        </w:r>
      </w:hyperlink>
      <w:r>
        <w:t xml:space="preserve"> </w:t>
      </w:r>
    </w:p>
  </w:footnote>
  <w:footnote w:id="271">
    <w:p w:rsidR="001E72F7" w:rsidRPr="00F37EA2" w:rsidRDefault="001E72F7" w:rsidP="00E060A7">
      <w:pPr>
        <w:pStyle w:val="FootnoteText"/>
        <w:rPr>
          <w:lang w:val="en-US"/>
        </w:rPr>
      </w:pPr>
      <w:r>
        <w:rPr>
          <w:rStyle w:val="FootnoteReference"/>
        </w:rPr>
        <w:footnoteRef/>
      </w:r>
      <w:r>
        <w:t xml:space="preserve"> </w:t>
      </w:r>
      <w:hyperlink r:id="rId238" w:history="1">
        <w:r w:rsidRPr="00A968E3">
          <w:rPr>
            <w:rStyle w:val="Hyperlink"/>
          </w:rPr>
          <w:t>http://dredf.org/legal-advocacy/international-disability-rights/international-laws/jordan-law-for-welfare-of-disabled-persons/</w:t>
        </w:r>
      </w:hyperlink>
      <w:r>
        <w:t xml:space="preserve"> </w:t>
      </w:r>
    </w:p>
  </w:footnote>
  <w:footnote w:id="272">
    <w:p w:rsidR="001E72F7" w:rsidRPr="001A113A" w:rsidRDefault="001E72F7" w:rsidP="00E060A7">
      <w:pPr>
        <w:pStyle w:val="FootnoteText"/>
        <w:rPr>
          <w:lang w:val="en-US"/>
        </w:rPr>
      </w:pPr>
      <w:r>
        <w:rPr>
          <w:rStyle w:val="FootnoteReference"/>
        </w:rPr>
        <w:footnoteRef/>
      </w:r>
      <w:r>
        <w:t xml:space="preserve"> </w:t>
      </w:r>
      <w:hyperlink r:id="rId239" w:history="1">
        <w:r w:rsidRPr="00D90064">
          <w:rPr>
            <w:rStyle w:val="Hyperlink"/>
          </w:rPr>
          <w:t>http://www.disability-europe.net/content/aned/media/Germany%20-%20ANED%20country%20profile.pdf</w:t>
        </w:r>
      </w:hyperlink>
      <w:r>
        <w:t xml:space="preserve"> </w:t>
      </w:r>
    </w:p>
  </w:footnote>
  <w:footnote w:id="273">
    <w:p w:rsidR="001E72F7" w:rsidRPr="00430B6C" w:rsidRDefault="001E72F7" w:rsidP="00E060A7">
      <w:pPr>
        <w:pStyle w:val="FootnoteText"/>
        <w:rPr>
          <w:lang w:val="en-US"/>
        </w:rPr>
      </w:pPr>
      <w:r>
        <w:rPr>
          <w:rStyle w:val="FootnoteReference"/>
        </w:rPr>
        <w:footnoteRef/>
      </w:r>
      <w:r>
        <w:t xml:space="preserve"> </w:t>
      </w:r>
      <w:hyperlink r:id="rId240" w:history="1">
        <w:r w:rsidRPr="00055417">
          <w:rPr>
            <w:rStyle w:val="Hyperlink"/>
          </w:rPr>
          <w:t>http://www.disability-europe.net/content/aned/media/Germany%20-%20ANED%20country%20profile.pdf</w:t>
        </w:r>
      </w:hyperlink>
      <w:r>
        <w:t xml:space="preserve"> </w:t>
      </w:r>
    </w:p>
  </w:footnote>
  <w:footnote w:id="274">
    <w:p w:rsidR="001E72F7" w:rsidRPr="002420C3" w:rsidRDefault="001E72F7" w:rsidP="00E060A7">
      <w:pPr>
        <w:pStyle w:val="FootnoteText"/>
        <w:rPr>
          <w:lang w:val="en-US"/>
        </w:rPr>
      </w:pPr>
      <w:r>
        <w:rPr>
          <w:rStyle w:val="FootnoteReference"/>
        </w:rPr>
        <w:footnoteRef/>
      </w:r>
      <w:r>
        <w:t xml:space="preserve"> </w:t>
      </w:r>
      <w:hyperlink r:id="rId241" w:history="1">
        <w:r w:rsidRPr="00055417">
          <w:rPr>
            <w:rStyle w:val="Hyperlink"/>
          </w:rPr>
          <w:t>http://www.bmas.de/SharedDocs/Downloads/EN/PDF-Publikationen/a990-rehabilitation-und-teilhabe-behinderter-menschen-englisch.pdf?__blob=publicationFile</w:t>
        </w:r>
      </w:hyperlink>
      <w:r>
        <w:t xml:space="preserve"> </w:t>
      </w:r>
    </w:p>
  </w:footnote>
  <w:footnote w:id="275">
    <w:p w:rsidR="001E72F7" w:rsidRPr="00430B6C" w:rsidRDefault="001E72F7" w:rsidP="00E060A7">
      <w:pPr>
        <w:pStyle w:val="FootnoteText"/>
        <w:rPr>
          <w:lang w:val="en-US"/>
        </w:rPr>
      </w:pPr>
      <w:r>
        <w:rPr>
          <w:rStyle w:val="FootnoteReference"/>
        </w:rPr>
        <w:footnoteRef/>
      </w:r>
      <w:r>
        <w:t xml:space="preserve"> </w:t>
      </w:r>
      <w:hyperlink r:id="rId242" w:history="1">
        <w:r w:rsidRPr="00055417">
          <w:rPr>
            <w:rStyle w:val="Hyperlink"/>
          </w:rPr>
          <w:t>http://dsq-sds.org/article/view/692/869</w:t>
        </w:r>
      </w:hyperlink>
      <w:r>
        <w:t xml:space="preserve"> </w:t>
      </w:r>
    </w:p>
  </w:footnote>
  <w:footnote w:id="276">
    <w:p w:rsidR="001E72F7" w:rsidRPr="002D0F81" w:rsidRDefault="001E72F7" w:rsidP="00E060A7">
      <w:pPr>
        <w:pStyle w:val="FootnoteText"/>
        <w:rPr>
          <w:szCs w:val="16"/>
          <w:lang w:val="en-US"/>
        </w:rPr>
      </w:pPr>
      <w:r>
        <w:rPr>
          <w:rStyle w:val="FootnoteReference"/>
        </w:rPr>
        <w:footnoteRef/>
      </w:r>
      <w:r>
        <w:t xml:space="preserve"> </w:t>
      </w:r>
      <w:hyperlink r:id="rId243" w:history="1">
        <w:r w:rsidRPr="009523F1">
          <w:rPr>
            <w:rStyle w:val="Hyperlink"/>
          </w:rPr>
          <w:t>http://www.ssoar.info/ssoar/bitstream/handle/document/35003/ssoar-2007-peucker-Equality_and_anti-discrimination_approaches_in.pdf?sequence=1</w:t>
        </w:r>
      </w:hyperlink>
      <w:r w:rsidRPr="002D0F81">
        <w:rPr>
          <w:szCs w:val="16"/>
        </w:rPr>
        <w:t xml:space="preserve"> </w:t>
      </w:r>
    </w:p>
  </w:footnote>
  <w:footnote w:id="277">
    <w:p w:rsidR="001E72F7" w:rsidRPr="002D0F81" w:rsidRDefault="001E72F7" w:rsidP="00E060A7">
      <w:pPr>
        <w:rPr>
          <w:sz w:val="16"/>
          <w:szCs w:val="16"/>
        </w:rPr>
      </w:pPr>
      <w:r w:rsidRPr="002D0F81">
        <w:rPr>
          <w:rStyle w:val="FootnoteReference"/>
          <w:szCs w:val="16"/>
        </w:rPr>
        <w:footnoteRef/>
      </w:r>
      <w:r w:rsidRPr="002D0F81">
        <w:rPr>
          <w:sz w:val="16"/>
          <w:szCs w:val="16"/>
        </w:rPr>
        <w:t xml:space="preserve"> </w:t>
      </w:r>
      <w:hyperlink r:id="rId244" w:history="1">
        <w:r w:rsidRPr="002D0F81">
          <w:rPr>
            <w:color w:val="8E258D"/>
            <w:sz w:val="16"/>
            <w:szCs w:val="16"/>
            <w:u w:val="single"/>
          </w:rPr>
          <w:t>http://www.euro.centre.org/data/1237457784_41597.pdf</w:t>
        </w:r>
      </w:hyperlink>
      <w:r w:rsidRPr="002D0F81">
        <w:rPr>
          <w:sz w:val="16"/>
          <w:szCs w:val="16"/>
        </w:rPr>
        <w:t xml:space="preserve"> </w:t>
      </w:r>
    </w:p>
  </w:footnote>
  <w:footnote w:id="278">
    <w:p w:rsidR="001E72F7" w:rsidRPr="002D0F81" w:rsidRDefault="001E72F7" w:rsidP="00E060A7">
      <w:pPr>
        <w:pStyle w:val="FootnoteText"/>
        <w:rPr>
          <w:szCs w:val="16"/>
          <w:lang w:val="en-US"/>
        </w:rPr>
      </w:pPr>
      <w:r w:rsidRPr="002D0F81">
        <w:rPr>
          <w:rStyle w:val="FootnoteReference"/>
          <w:szCs w:val="16"/>
        </w:rPr>
        <w:footnoteRef/>
      </w:r>
      <w:r w:rsidRPr="002D0F81">
        <w:rPr>
          <w:szCs w:val="16"/>
        </w:rPr>
        <w:t xml:space="preserve"> </w:t>
      </w:r>
      <w:hyperlink r:id="rId245" w:history="1">
        <w:r w:rsidRPr="002D0F81">
          <w:rPr>
            <w:rStyle w:val="Hyperlink"/>
          </w:rPr>
          <w:t>http://digitalcommons.ilr.cornell.edu/cgi/viewcontent.cgi?article=1454&amp;context=gladnetcollect</w:t>
        </w:r>
      </w:hyperlink>
      <w:r w:rsidRPr="002D0F81">
        <w:rPr>
          <w:szCs w:val="16"/>
        </w:rPr>
        <w:t xml:space="preserve"> </w:t>
      </w:r>
    </w:p>
  </w:footnote>
  <w:footnote w:id="279">
    <w:p w:rsidR="001E72F7" w:rsidRPr="00610ECE" w:rsidRDefault="001E72F7" w:rsidP="00E060A7">
      <w:pPr>
        <w:pStyle w:val="FootnoteText"/>
        <w:rPr>
          <w:lang w:val="en-US"/>
        </w:rPr>
      </w:pPr>
      <w:r>
        <w:rPr>
          <w:rStyle w:val="FootnoteReference"/>
        </w:rPr>
        <w:footnoteRef/>
      </w:r>
      <w:r>
        <w:t xml:space="preserve"> </w:t>
      </w:r>
      <w:hyperlink r:id="rId246" w:history="1">
        <w:r w:rsidRPr="009523F1">
          <w:rPr>
            <w:rStyle w:val="Hyperlink"/>
          </w:rPr>
          <w:t>http://app.msf.gov.sg/Portals/0/Topic/Issues/EDGD/Enabling%20Masterplan%2020122016%20Report%20%288%20 Mar%29.pdf</w:t>
        </w:r>
      </w:hyperlink>
      <w:r>
        <w:t xml:space="preserve"> </w:t>
      </w:r>
    </w:p>
  </w:footnote>
  <w:footnote w:id="280">
    <w:p w:rsidR="001E72F7" w:rsidRPr="005D6DC1" w:rsidRDefault="001E72F7" w:rsidP="00E060A7">
      <w:pPr>
        <w:pStyle w:val="FootnoteText"/>
        <w:rPr>
          <w:lang w:val="en-US"/>
        </w:rPr>
      </w:pPr>
      <w:r>
        <w:rPr>
          <w:rStyle w:val="FootnoteReference"/>
        </w:rPr>
        <w:footnoteRef/>
      </w:r>
      <w:r>
        <w:t xml:space="preserve"> </w:t>
      </w:r>
      <w:hyperlink r:id="rId247" w:history="1">
        <w:r w:rsidRPr="00505A5F">
          <w:rPr>
            <w:rStyle w:val="Hyperlink"/>
          </w:rPr>
          <w:t>http://www.bca.gov.sg/BarrierFree/others/ACCESSIBILITY_CODE_2013.pdf</w:t>
        </w:r>
      </w:hyperlink>
      <w:r>
        <w:t xml:space="preserve"> </w:t>
      </w:r>
    </w:p>
  </w:footnote>
  <w:footnote w:id="281">
    <w:p w:rsidR="001E72F7" w:rsidRPr="004335BA" w:rsidRDefault="001E72F7" w:rsidP="00E060A7">
      <w:pPr>
        <w:pStyle w:val="FootnoteText"/>
        <w:rPr>
          <w:lang w:val="en-US"/>
        </w:rPr>
      </w:pPr>
      <w:r>
        <w:rPr>
          <w:rStyle w:val="FootnoteReference"/>
        </w:rPr>
        <w:footnoteRef/>
      </w:r>
      <w:r>
        <w:t xml:space="preserve"> </w:t>
      </w:r>
      <w:hyperlink r:id="rId248" w:history="1">
        <w:r w:rsidRPr="00B97B50">
          <w:rPr>
            <w:rStyle w:val="Hyperlink"/>
          </w:rPr>
          <w:t>http://app.msf.gov.sg/Policies/Children-Youth/Protection-under-Children-Young-Persons-Act</w:t>
        </w:r>
      </w:hyperlink>
      <w:r>
        <w:t xml:space="preserve"> </w:t>
      </w:r>
    </w:p>
  </w:footnote>
  <w:footnote w:id="282">
    <w:p w:rsidR="001E72F7" w:rsidRPr="00E830C2" w:rsidRDefault="001E72F7" w:rsidP="00E060A7">
      <w:pPr>
        <w:pStyle w:val="FootnoteText"/>
        <w:rPr>
          <w:lang w:val="en-US"/>
        </w:rPr>
      </w:pPr>
      <w:r>
        <w:rPr>
          <w:rStyle w:val="FootnoteReference"/>
        </w:rPr>
        <w:footnoteRef/>
      </w:r>
      <w:r>
        <w:t xml:space="preserve"> </w:t>
      </w:r>
      <w:hyperlink r:id="rId249" w:history="1">
        <w:r w:rsidRPr="006B7EDB">
          <w:rPr>
            <w:rStyle w:val="Hyperlink"/>
          </w:rPr>
          <w:t>http://www.odi.govt.nz/what-we-do/built-environment/</w:t>
        </w:r>
      </w:hyperlink>
      <w:r>
        <w:t xml:space="preserve"> </w:t>
      </w:r>
    </w:p>
  </w:footnote>
  <w:footnote w:id="283">
    <w:p w:rsidR="001E72F7" w:rsidRPr="002C428F" w:rsidRDefault="001E72F7" w:rsidP="00E060A7">
      <w:pPr>
        <w:pStyle w:val="FootnoteText"/>
        <w:rPr>
          <w:lang w:val="en-US"/>
        </w:rPr>
      </w:pPr>
      <w:r>
        <w:rPr>
          <w:rStyle w:val="FootnoteReference"/>
        </w:rPr>
        <w:footnoteRef/>
      </w:r>
      <w:r>
        <w:t xml:space="preserve"> </w:t>
      </w:r>
      <w:hyperlink r:id="rId250" w:anchor="DLM162576" w:history="1">
        <w:r w:rsidRPr="00505A5F">
          <w:rPr>
            <w:rStyle w:val="Hyperlink"/>
          </w:rPr>
          <w:t>http://www.legislation.govt.nz/regulation/public/1992/0150/latest/whole.html#DLM162576</w:t>
        </w:r>
      </w:hyperlink>
      <w:r>
        <w:t xml:space="preserve"> </w:t>
      </w:r>
    </w:p>
  </w:footnote>
  <w:footnote w:id="284">
    <w:p w:rsidR="001E72F7" w:rsidRPr="008E23B9" w:rsidRDefault="001E72F7" w:rsidP="00E060A7">
      <w:pPr>
        <w:pStyle w:val="FootnoteText"/>
        <w:rPr>
          <w:lang w:val="en-US"/>
        </w:rPr>
      </w:pPr>
      <w:r>
        <w:rPr>
          <w:rStyle w:val="FootnoteReference"/>
        </w:rPr>
        <w:footnoteRef/>
      </w:r>
      <w:r>
        <w:t xml:space="preserve"> </w:t>
      </w:r>
      <w:hyperlink r:id="rId251" w:anchor="DLM80487" w:history="1">
        <w:r w:rsidRPr="00505A5F">
          <w:rPr>
            <w:rStyle w:val="Hyperlink"/>
          </w:rPr>
          <w:t>http://www.legislation.govt.nz/act/public/2000/0091/latest/whole.html#DLM80487</w:t>
        </w:r>
      </w:hyperlink>
      <w:r>
        <w:t xml:space="preserve"> </w:t>
      </w:r>
    </w:p>
  </w:footnote>
  <w:footnote w:id="285">
    <w:p w:rsidR="001E72F7" w:rsidRPr="00B7336A" w:rsidRDefault="001E72F7" w:rsidP="00E060A7">
      <w:pPr>
        <w:pStyle w:val="FootnoteText"/>
        <w:rPr>
          <w:lang w:val="en-US"/>
        </w:rPr>
      </w:pPr>
      <w:r>
        <w:rPr>
          <w:rStyle w:val="FootnoteReference"/>
        </w:rPr>
        <w:footnoteRef/>
      </w:r>
      <w:r>
        <w:t xml:space="preserve"> </w:t>
      </w:r>
      <w:hyperlink r:id="rId252" w:history="1">
        <w:r w:rsidRPr="00505A5F">
          <w:rPr>
            <w:rStyle w:val="Hyperlink"/>
          </w:rPr>
          <w:t>http://www.health.govt.nz/our-work/regulation-health-and-disability-system/certification-health-care-services/health-and-disability-services-safety-act</w:t>
        </w:r>
      </w:hyperlink>
      <w:r>
        <w:t xml:space="preserve"> </w:t>
      </w:r>
    </w:p>
  </w:footnote>
  <w:footnote w:id="286">
    <w:p w:rsidR="001E72F7" w:rsidRPr="00B7336A" w:rsidRDefault="001E72F7" w:rsidP="00E060A7">
      <w:pPr>
        <w:pStyle w:val="FootnoteText"/>
        <w:rPr>
          <w:lang w:val="en-US"/>
        </w:rPr>
      </w:pPr>
      <w:r>
        <w:rPr>
          <w:rStyle w:val="FootnoteReference"/>
        </w:rPr>
        <w:footnoteRef/>
      </w:r>
      <w:r>
        <w:t xml:space="preserve"> </w:t>
      </w:r>
      <w:hyperlink r:id="rId253" w:history="1">
        <w:r w:rsidRPr="00505A5F">
          <w:rPr>
            <w:rStyle w:val="Hyperlink"/>
          </w:rPr>
          <w:t>http://www.health.govt.nz/our-work/regulation-health-and-disability-system/certification-health-care-services/health-and-disability-services-standards</w:t>
        </w:r>
      </w:hyperlink>
      <w:r>
        <w:t xml:space="preserve"> </w:t>
      </w:r>
    </w:p>
  </w:footnote>
  <w:footnote w:id="287">
    <w:p w:rsidR="001E72F7" w:rsidRPr="00972D68" w:rsidRDefault="001E72F7" w:rsidP="00E060A7">
      <w:pPr>
        <w:pStyle w:val="FootnoteText"/>
        <w:rPr>
          <w:lang w:val="en-US"/>
        </w:rPr>
      </w:pPr>
      <w:r>
        <w:rPr>
          <w:rStyle w:val="FootnoteReference"/>
        </w:rPr>
        <w:footnoteRef/>
      </w:r>
      <w:r>
        <w:t xml:space="preserve"> </w:t>
      </w:r>
      <w:hyperlink r:id="rId254" w:history="1">
        <w:r w:rsidRPr="00DC3873">
          <w:rPr>
            <w:rStyle w:val="Hyperlink"/>
          </w:rPr>
          <w:t>http://www.odi.govt.nz/nzds/</w:t>
        </w:r>
      </w:hyperlink>
      <w:r>
        <w:t xml:space="preserve"> </w:t>
      </w:r>
    </w:p>
  </w:footnote>
  <w:footnote w:id="288">
    <w:p w:rsidR="001E72F7" w:rsidRPr="00972D68" w:rsidRDefault="001E72F7" w:rsidP="00E060A7">
      <w:pPr>
        <w:pStyle w:val="FootnoteText"/>
        <w:rPr>
          <w:lang w:val="en-US"/>
        </w:rPr>
      </w:pPr>
      <w:r>
        <w:rPr>
          <w:rStyle w:val="FootnoteReference"/>
        </w:rPr>
        <w:footnoteRef/>
      </w:r>
      <w:r>
        <w:t xml:space="preserve"> </w:t>
      </w:r>
      <w:hyperlink r:id="rId255" w:history="1">
        <w:r w:rsidRPr="00DC3873">
          <w:rPr>
            <w:rStyle w:val="Hyperlink"/>
          </w:rPr>
          <w:t>http://www.odi.govt.nz/what-we-do/improving-disability-supports/index.html</w:t>
        </w:r>
      </w:hyperlink>
      <w:r>
        <w:t xml:space="preserve"> </w:t>
      </w:r>
    </w:p>
  </w:footnote>
  <w:footnote w:id="289">
    <w:p w:rsidR="001E72F7" w:rsidRPr="008F7AFB" w:rsidRDefault="001E72F7" w:rsidP="00E060A7">
      <w:pPr>
        <w:pStyle w:val="FootnoteText"/>
      </w:pPr>
      <w:r>
        <w:rPr>
          <w:rStyle w:val="FootnoteReference"/>
        </w:rPr>
        <w:footnoteRef/>
      </w:r>
      <w:r>
        <w:t xml:space="preserve"> </w:t>
      </w:r>
      <w:hyperlink r:id="rId256" w:history="1">
        <w:r w:rsidRPr="00DC3873">
          <w:rPr>
            <w:rStyle w:val="Hyperlink"/>
          </w:rPr>
          <w:t>http://www.health.govt.nz/our-work/disability-services/disability-projects-and-programmes/choice-community-living</w:t>
        </w:r>
      </w:hyperlink>
      <w:r>
        <w:t xml:space="preserve"> </w:t>
      </w:r>
    </w:p>
  </w:footnote>
  <w:footnote w:id="290">
    <w:p w:rsidR="001E72F7" w:rsidRPr="008F7AFB" w:rsidRDefault="001E72F7" w:rsidP="00E060A7">
      <w:pPr>
        <w:pStyle w:val="FootnoteText"/>
      </w:pPr>
      <w:r>
        <w:rPr>
          <w:rStyle w:val="FootnoteReference"/>
        </w:rPr>
        <w:footnoteRef/>
      </w:r>
      <w:r>
        <w:t xml:space="preserve"> </w:t>
      </w:r>
      <w:hyperlink r:id="rId257" w:history="1">
        <w:r w:rsidRPr="00DC3873">
          <w:rPr>
            <w:rStyle w:val="Hyperlink"/>
          </w:rPr>
          <w:t>http://www.health.govt.nz/our-work/disability-services/disability-projects-and-programmes/child-and-youth-disability-projects</w:t>
        </w:r>
      </w:hyperlink>
      <w:r>
        <w:t xml:space="preserve"> </w:t>
      </w:r>
    </w:p>
  </w:footnote>
  <w:footnote w:id="291">
    <w:p w:rsidR="001E72F7" w:rsidRPr="008F7AFB" w:rsidRDefault="001E72F7" w:rsidP="00E060A7">
      <w:pPr>
        <w:pStyle w:val="FootnoteText"/>
        <w:rPr>
          <w:lang w:val="en-US"/>
        </w:rPr>
      </w:pPr>
      <w:r>
        <w:rPr>
          <w:rStyle w:val="FootnoteReference"/>
        </w:rPr>
        <w:footnoteRef/>
      </w:r>
      <w:r>
        <w:t xml:space="preserve"> </w:t>
      </w:r>
      <w:hyperlink r:id="rId258" w:history="1">
        <w:r w:rsidRPr="00DC3873">
          <w:rPr>
            <w:rStyle w:val="Hyperlink"/>
          </w:rPr>
          <w:t>http://www.health.govt.nz/our-work/disability-services/disability-projects-and-programmes/ems-prioritisation-project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F7" w:rsidRDefault="001E72F7"/>
  <w:p w:rsidR="001E72F7" w:rsidRDefault="001E72F7"/>
  <w:p w:rsidR="001E72F7" w:rsidRDefault="001E72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F7" w:rsidRDefault="0055176D">
    <w:pPr>
      <w:pStyle w:val="Header"/>
      <w:jc w:val="right"/>
    </w:pPr>
    <w:sdt>
      <w:sdtPr>
        <w:id w:val="1170222288"/>
        <w:docPartObj>
          <w:docPartGallery w:val="Page Numbers (Top of Page)"/>
          <w:docPartUnique/>
        </w:docPartObj>
      </w:sdtPr>
      <w:sdtEndPr>
        <w:rPr>
          <w:noProof/>
        </w:rPr>
      </w:sdtEndPr>
      <w:sdtContent>
        <w:r w:rsidR="001E72F7">
          <w:fldChar w:fldCharType="begin"/>
        </w:r>
        <w:r w:rsidR="001E72F7">
          <w:instrText xml:space="preserve"> PAGE   \* MERGEFORMAT </w:instrText>
        </w:r>
        <w:r w:rsidR="001E72F7">
          <w:fldChar w:fldCharType="separate"/>
        </w:r>
        <w:r>
          <w:rPr>
            <w:noProof/>
          </w:rPr>
          <w:t>1</w:t>
        </w:r>
        <w:r w:rsidR="001E72F7">
          <w:rPr>
            <w:noProof/>
          </w:rPr>
          <w:fldChar w:fldCharType="end"/>
        </w:r>
      </w:sdtContent>
    </w:sdt>
  </w:p>
  <w:p w:rsidR="001E72F7" w:rsidRDefault="001E72F7" w:rsidP="005A3CF1">
    <w:pPr>
      <w:pStyle w:val="Header"/>
      <w:ind w:right="-2948"/>
      <w:jc w:val="right"/>
    </w:pPr>
  </w:p>
  <w:p w:rsidR="001E72F7" w:rsidRDefault="001E72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72F7" w:rsidRDefault="001E72F7">
    <w:pPr>
      <w:pStyle w:val="Header"/>
    </w:pPr>
  </w:p>
  <w:p w:rsidR="001E72F7" w:rsidRDefault="001E72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076F314"/>
    <w:lvl w:ilvl="0">
      <w:start w:val="1"/>
      <w:numFmt w:val="bullet"/>
      <w:pStyle w:val="Tablebulletsub"/>
      <w:lvlText w:val="–"/>
      <w:lvlJc w:val="left"/>
      <w:pPr>
        <w:ind w:left="644" w:hanging="360"/>
      </w:pPr>
      <w:rPr>
        <w:rFonts w:ascii="Arial" w:hAnsi="Arial" w:hint="default"/>
        <w:color w:val="97989A"/>
      </w:rPr>
    </w:lvl>
  </w:abstractNum>
  <w:abstractNum w:abstractNumId="1">
    <w:nsid w:val="007835EB"/>
    <w:multiLevelType w:val="hybridMultilevel"/>
    <w:tmpl w:val="559A50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7D11D0"/>
    <w:multiLevelType w:val="multilevel"/>
    <w:tmpl w:val="FE4A2A24"/>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
    <w:nsid w:val="03EA4901"/>
    <w:multiLevelType w:val="hybridMultilevel"/>
    <w:tmpl w:val="BE7E76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40A2228"/>
    <w:multiLevelType w:val="hybridMultilevel"/>
    <w:tmpl w:val="1B829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6244F79"/>
    <w:multiLevelType w:val="hybridMultilevel"/>
    <w:tmpl w:val="57586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77C5314"/>
    <w:multiLevelType w:val="hybridMultilevel"/>
    <w:tmpl w:val="EB3ACC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84C0A71"/>
    <w:multiLevelType w:val="hybridMultilevel"/>
    <w:tmpl w:val="5F20BB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0BDA6AA0"/>
    <w:multiLevelType w:val="hybridMultilevel"/>
    <w:tmpl w:val="8B2EE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0C955986"/>
    <w:multiLevelType w:val="hybridMultilevel"/>
    <w:tmpl w:val="6CFC97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0E6B48CC"/>
    <w:multiLevelType w:val="multilevel"/>
    <w:tmpl w:val="0809001D"/>
    <w:styleLink w:val="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F7D670F"/>
    <w:multiLevelType w:val="hybridMultilevel"/>
    <w:tmpl w:val="1046B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0FED1B41"/>
    <w:multiLevelType w:val="hybridMultilevel"/>
    <w:tmpl w:val="65CE1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112A226E"/>
    <w:multiLevelType w:val="hybridMultilevel"/>
    <w:tmpl w:val="FB963C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1216128D"/>
    <w:multiLevelType w:val="hybridMultilevel"/>
    <w:tmpl w:val="B48851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21C610A"/>
    <w:multiLevelType w:val="singleLevel"/>
    <w:tmpl w:val="3C9C83EA"/>
    <w:lvl w:ilvl="0">
      <w:start w:val="1"/>
      <w:numFmt w:val="bullet"/>
      <w:pStyle w:val="Bullet1"/>
      <w:lvlText w:val=""/>
      <w:lvlJc w:val="left"/>
      <w:pPr>
        <w:ind w:left="360" w:hanging="360"/>
      </w:pPr>
      <w:rPr>
        <w:rFonts w:ascii="Wingdings" w:hAnsi="Wingdings" w:hint="default"/>
        <w:color w:val="000080"/>
        <w:sz w:val="16"/>
        <w:lang w:val="en-CA"/>
      </w:rPr>
    </w:lvl>
  </w:abstractNum>
  <w:abstractNum w:abstractNumId="16">
    <w:nsid w:val="13640E5D"/>
    <w:multiLevelType w:val="multilevel"/>
    <w:tmpl w:val="60E6C73E"/>
    <w:lvl w:ilvl="0">
      <w:start w:val="1"/>
      <w:numFmt w:val="decimal"/>
      <w:lvlText w:val="%1."/>
      <w:lvlJc w:val="left"/>
      <w:pPr>
        <w:tabs>
          <w:tab w:val="num" w:pos="1080"/>
        </w:tabs>
        <w:ind w:left="1080" w:hanging="1080"/>
      </w:pPr>
      <w:rPr>
        <w:rFonts w:cs="Times New Roman"/>
      </w:rPr>
    </w:lvl>
    <w:lvl w:ilvl="1">
      <w:start w:val="1"/>
      <w:numFmt w:val="decimal"/>
      <w:lvlText w:val="%1.%2"/>
      <w:lvlJc w:val="left"/>
      <w:pPr>
        <w:tabs>
          <w:tab w:val="num" w:pos="1080"/>
        </w:tabs>
        <w:ind w:left="1080" w:hanging="1080"/>
      </w:pPr>
      <w:rPr>
        <w:rFonts w:cs="Times New Roman"/>
      </w:rPr>
    </w:lvl>
    <w:lvl w:ilvl="2">
      <w:start w:val="1"/>
      <w:numFmt w:val="decimal"/>
      <w:pStyle w:val="Appendix3"/>
      <w:lvlText w:val="%1.%2.%3"/>
      <w:lvlJc w:val="left"/>
      <w:pPr>
        <w:tabs>
          <w:tab w:val="num" w:pos="1440"/>
        </w:tabs>
        <w:ind w:left="1080" w:hanging="1080"/>
      </w:pPr>
      <w:rPr>
        <w:rFonts w:cs="Times New Roman"/>
      </w:rPr>
    </w:lvl>
    <w:lvl w:ilvl="3">
      <w:start w:val="1"/>
      <w:numFmt w:val="decimal"/>
      <w:lvlText w:val="%1.%2.%3.%4"/>
      <w:lvlJc w:val="left"/>
      <w:pPr>
        <w:tabs>
          <w:tab w:val="num" w:pos="1080"/>
        </w:tabs>
        <w:ind w:left="1080" w:hanging="1080"/>
      </w:pPr>
      <w:rPr>
        <w:rFonts w:cs="Times New Roman"/>
      </w:rPr>
    </w:lvl>
    <w:lvl w:ilvl="4">
      <w:start w:val="1"/>
      <w:numFmt w:val="none"/>
      <w:lvlText w:val=""/>
      <w:lvlJc w:val="left"/>
      <w:pPr>
        <w:tabs>
          <w:tab w:val="num" w:pos="1080"/>
        </w:tabs>
        <w:ind w:left="1080" w:hanging="1080"/>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7">
    <w:nsid w:val="188C623F"/>
    <w:multiLevelType w:val="hybridMultilevel"/>
    <w:tmpl w:val="D01EC0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A3E6877"/>
    <w:multiLevelType w:val="hybridMultilevel"/>
    <w:tmpl w:val="C0ECA8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1D113B80"/>
    <w:multiLevelType w:val="hybridMultilevel"/>
    <w:tmpl w:val="9BEC2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1D50401D"/>
    <w:multiLevelType w:val="hybridMultilevel"/>
    <w:tmpl w:val="9AB6A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1D6C69F1"/>
    <w:multiLevelType w:val="hybridMultilevel"/>
    <w:tmpl w:val="1EE6CB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1E6A7083"/>
    <w:multiLevelType w:val="hybridMultilevel"/>
    <w:tmpl w:val="3A321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1FC0334A"/>
    <w:multiLevelType w:val="hybridMultilevel"/>
    <w:tmpl w:val="C8C00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23343CD6"/>
    <w:multiLevelType w:val="multilevel"/>
    <w:tmpl w:val="57607C3A"/>
    <w:styleLink w:val="StyleNumbered"/>
    <w:lvl w:ilvl="0">
      <w:start w:val="1"/>
      <w:numFmt w:val="upperLetter"/>
      <w:lvlText w:val="%1)"/>
      <w:lvlJc w:val="left"/>
      <w:pPr>
        <w:tabs>
          <w:tab w:val="num" w:pos="1440"/>
        </w:tabs>
        <w:ind w:left="144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47F5F2F"/>
    <w:multiLevelType w:val="hybridMultilevel"/>
    <w:tmpl w:val="DA628740"/>
    <w:lvl w:ilvl="0" w:tplc="F1A4E2AA">
      <w:start w:val="1"/>
      <w:numFmt w:val="bullet"/>
      <w:pStyle w:val="bulletedlist"/>
      <w:lvlText w:val=""/>
      <w:lvlJc w:val="left"/>
      <w:pPr>
        <w:tabs>
          <w:tab w:val="num" w:pos="360"/>
        </w:tabs>
        <w:ind w:left="360" w:hanging="360"/>
      </w:pPr>
      <w:rPr>
        <w:rFonts w:ascii="Wingdings" w:hAnsi="Wingdings" w:hint="default"/>
        <w:sz w:val="24"/>
        <w:szCs w:val="24"/>
      </w:rPr>
    </w:lvl>
    <w:lvl w:ilvl="1" w:tplc="1DAC9C08">
      <w:start w:val="1"/>
      <w:numFmt w:val="bullet"/>
      <w:pStyle w:val="secondlevelbulletedlis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26A82F74"/>
    <w:multiLevelType w:val="multilevel"/>
    <w:tmpl w:val="A0486AEA"/>
    <w:lvl w:ilvl="0">
      <w:start w:val="1"/>
      <w:numFmt w:val="decimal"/>
      <w:pStyle w:val="Numberedbullet"/>
      <w:lvlText w:val="%1."/>
      <w:lvlJc w:val="left"/>
      <w:pPr>
        <w:tabs>
          <w:tab w:val="num" w:pos="360"/>
        </w:tabs>
        <w:ind w:left="360" w:hanging="360"/>
      </w:pPr>
      <w:rPr>
        <w:rFonts w:ascii="Arial" w:hAnsi="Arial" w:hint="default"/>
        <w:b/>
        <w:i w:val="0"/>
        <w:color w:val="97989A"/>
        <w:sz w:val="16"/>
      </w:rPr>
    </w:lvl>
    <w:lvl w:ilvl="1">
      <w:start w:val="1"/>
      <w:numFmt w:val="lowerLetter"/>
      <w:pStyle w:val="Alphabullet"/>
      <w:lvlText w:val="%2)"/>
      <w:lvlJc w:val="left"/>
      <w:pPr>
        <w:tabs>
          <w:tab w:val="num" w:pos="720"/>
        </w:tabs>
        <w:ind w:left="720" w:hanging="360"/>
      </w:pPr>
      <w:rPr>
        <w:rFonts w:ascii="Arial" w:hAnsi="Arial" w:hint="default"/>
        <w:b/>
        <w:i w:val="0"/>
        <w:color w:val="97989A"/>
        <w:sz w:val="16"/>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nsid w:val="27DB3A13"/>
    <w:multiLevelType w:val="multilevel"/>
    <w:tmpl w:val="FACCEED6"/>
    <w:lvl w:ilvl="0">
      <w:start w:val="1"/>
      <w:numFmt w:val="decimal"/>
      <w:pStyle w:val="Termslevel1"/>
      <w:lvlText w:val="%1"/>
      <w:lvlJc w:val="left"/>
      <w:pPr>
        <w:ind w:left="360" w:hanging="360"/>
      </w:pPr>
      <w:rPr>
        <w:rFonts w:hint="default"/>
        <w:b/>
        <w:i w:val="0"/>
        <w:color w:val="auto"/>
        <w:sz w:val="17"/>
      </w:rPr>
    </w:lvl>
    <w:lvl w:ilvl="1">
      <w:start w:val="1"/>
      <w:numFmt w:val="decimal"/>
      <w:pStyle w:val="Termslevel2"/>
      <w:lvlText w:val="%1.%2"/>
      <w:lvlJc w:val="left"/>
      <w:pPr>
        <w:tabs>
          <w:tab w:val="num" w:pos="340"/>
        </w:tabs>
        <w:ind w:left="340" w:hanging="340"/>
      </w:pPr>
      <w:rPr>
        <w:rFonts w:ascii="Univers 45 Light" w:hAnsi="Univers 45 Light" w:hint="default"/>
        <w:b w:val="0"/>
        <w:i w:val="0"/>
        <w:color w:val="auto"/>
        <w:sz w:val="14"/>
      </w:rPr>
    </w:lvl>
    <w:lvl w:ilvl="2">
      <w:start w:val="1"/>
      <w:numFmt w:val="decimal"/>
      <w:pStyle w:val="Termslevel3"/>
      <w:lvlText w:val="%1.%2.%3"/>
      <w:lvlJc w:val="left"/>
      <w:pPr>
        <w:tabs>
          <w:tab w:val="num" w:pos="737"/>
        </w:tabs>
        <w:ind w:left="737" w:hanging="397"/>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27F93513"/>
    <w:multiLevelType w:val="hybridMultilevel"/>
    <w:tmpl w:val="B19AEA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28B86481"/>
    <w:multiLevelType w:val="hybridMultilevel"/>
    <w:tmpl w:val="D35E7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2CB42A52"/>
    <w:multiLevelType w:val="hybridMultilevel"/>
    <w:tmpl w:val="984052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2D6D5E61"/>
    <w:multiLevelType w:val="hybridMultilevel"/>
    <w:tmpl w:val="D1F05D70"/>
    <w:lvl w:ilvl="0" w:tplc="10090001">
      <w:start w:val="1"/>
      <w:numFmt w:val="bullet"/>
      <w:pStyle w:val="SecondBullet"/>
      <w:lvlText w:val=""/>
      <w:lvlJc w:val="left"/>
      <w:pPr>
        <w:tabs>
          <w:tab w:val="num" w:pos="1440"/>
        </w:tabs>
        <w:ind w:left="1440" w:hanging="720"/>
      </w:pPr>
      <w:rPr>
        <w:rFonts w:ascii="Symbol" w:hAnsi="Symbol" w:hint="default"/>
        <w:sz w:val="24"/>
      </w:rPr>
    </w:lvl>
    <w:lvl w:ilvl="1" w:tplc="10090003" w:tentative="1">
      <w:start w:val="1"/>
      <w:numFmt w:val="bullet"/>
      <w:lvlText w:val="o"/>
      <w:lvlJc w:val="left"/>
      <w:pPr>
        <w:tabs>
          <w:tab w:val="num" w:pos="2520"/>
        </w:tabs>
        <w:ind w:left="2520" w:hanging="360"/>
      </w:pPr>
      <w:rPr>
        <w:rFonts w:ascii="Courier New" w:hAnsi="Courier New" w:hint="default"/>
      </w:rPr>
    </w:lvl>
    <w:lvl w:ilvl="2" w:tplc="10090005" w:tentative="1">
      <w:start w:val="1"/>
      <w:numFmt w:val="bullet"/>
      <w:lvlText w:val=""/>
      <w:lvlJc w:val="left"/>
      <w:pPr>
        <w:tabs>
          <w:tab w:val="num" w:pos="3240"/>
        </w:tabs>
        <w:ind w:left="3240" w:hanging="360"/>
      </w:pPr>
      <w:rPr>
        <w:rFonts w:ascii="Wingdings" w:hAnsi="Wingdings" w:hint="default"/>
      </w:rPr>
    </w:lvl>
    <w:lvl w:ilvl="3" w:tplc="10090001" w:tentative="1">
      <w:start w:val="1"/>
      <w:numFmt w:val="bullet"/>
      <w:lvlText w:val=""/>
      <w:lvlJc w:val="left"/>
      <w:pPr>
        <w:tabs>
          <w:tab w:val="num" w:pos="3960"/>
        </w:tabs>
        <w:ind w:left="3960" w:hanging="360"/>
      </w:pPr>
      <w:rPr>
        <w:rFonts w:ascii="Symbol" w:hAnsi="Symbol" w:hint="default"/>
      </w:rPr>
    </w:lvl>
    <w:lvl w:ilvl="4" w:tplc="10090003" w:tentative="1">
      <w:start w:val="1"/>
      <w:numFmt w:val="bullet"/>
      <w:lvlText w:val="o"/>
      <w:lvlJc w:val="left"/>
      <w:pPr>
        <w:tabs>
          <w:tab w:val="num" w:pos="4680"/>
        </w:tabs>
        <w:ind w:left="4680" w:hanging="360"/>
      </w:pPr>
      <w:rPr>
        <w:rFonts w:ascii="Courier New" w:hAnsi="Courier New" w:hint="default"/>
      </w:rPr>
    </w:lvl>
    <w:lvl w:ilvl="5" w:tplc="10090005" w:tentative="1">
      <w:start w:val="1"/>
      <w:numFmt w:val="bullet"/>
      <w:lvlText w:val=""/>
      <w:lvlJc w:val="left"/>
      <w:pPr>
        <w:tabs>
          <w:tab w:val="num" w:pos="5400"/>
        </w:tabs>
        <w:ind w:left="5400" w:hanging="360"/>
      </w:pPr>
      <w:rPr>
        <w:rFonts w:ascii="Wingdings" w:hAnsi="Wingdings" w:hint="default"/>
      </w:rPr>
    </w:lvl>
    <w:lvl w:ilvl="6" w:tplc="10090001" w:tentative="1">
      <w:start w:val="1"/>
      <w:numFmt w:val="bullet"/>
      <w:lvlText w:val=""/>
      <w:lvlJc w:val="left"/>
      <w:pPr>
        <w:tabs>
          <w:tab w:val="num" w:pos="6120"/>
        </w:tabs>
        <w:ind w:left="6120" w:hanging="360"/>
      </w:pPr>
      <w:rPr>
        <w:rFonts w:ascii="Symbol" w:hAnsi="Symbol" w:hint="default"/>
      </w:rPr>
    </w:lvl>
    <w:lvl w:ilvl="7" w:tplc="10090003" w:tentative="1">
      <w:start w:val="1"/>
      <w:numFmt w:val="bullet"/>
      <w:lvlText w:val="o"/>
      <w:lvlJc w:val="left"/>
      <w:pPr>
        <w:tabs>
          <w:tab w:val="num" w:pos="6840"/>
        </w:tabs>
        <w:ind w:left="6840" w:hanging="360"/>
      </w:pPr>
      <w:rPr>
        <w:rFonts w:ascii="Courier New" w:hAnsi="Courier New" w:hint="default"/>
      </w:rPr>
    </w:lvl>
    <w:lvl w:ilvl="8" w:tplc="10090005" w:tentative="1">
      <w:start w:val="1"/>
      <w:numFmt w:val="bullet"/>
      <w:lvlText w:val=""/>
      <w:lvlJc w:val="left"/>
      <w:pPr>
        <w:tabs>
          <w:tab w:val="num" w:pos="7560"/>
        </w:tabs>
        <w:ind w:left="7560" w:hanging="360"/>
      </w:pPr>
      <w:rPr>
        <w:rFonts w:ascii="Wingdings" w:hAnsi="Wingdings" w:hint="default"/>
      </w:rPr>
    </w:lvl>
  </w:abstractNum>
  <w:abstractNum w:abstractNumId="32">
    <w:nsid w:val="2FB60C14"/>
    <w:multiLevelType w:val="hybridMultilevel"/>
    <w:tmpl w:val="1FA0A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311D5373"/>
    <w:multiLevelType w:val="hybridMultilevel"/>
    <w:tmpl w:val="3C8A0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319260D8"/>
    <w:multiLevelType w:val="hybridMultilevel"/>
    <w:tmpl w:val="0E645D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32D67586"/>
    <w:multiLevelType w:val="hybridMultilevel"/>
    <w:tmpl w:val="D73C96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3303376E"/>
    <w:multiLevelType w:val="multilevel"/>
    <w:tmpl w:val="3B1E50FE"/>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7">
    <w:nsid w:val="342234B1"/>
    <w:multiLevelType w:val="hybridMultilevel"/>
    <w:tmpl w:val="664854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36A05D86"/>
    <w:multiLevelType w:val="hybridMultilevel"/>
    <w:tmpl w:val="5A782F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nsid w:val="36EC30C6"/>
    <w:multiLevelType w:val="hybridMultilevel"/>
    <w:tmpl w:val="A1769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371B435C"/>
    <w:multiLevelType w:val="hybridMultilevel"/>
    <w:tmpl w:val="C37E58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37A607A8"/>
    <w:multiLevelType w:val="hybridMultilevel"/>
    <w:tmpl w:val="F2F4F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nsid w:val="37B9654A"/>
    <w:multiLevelType w:val="multilevel"/>
    <w:tmpl w:val="5588B792"/>
    <w:lvl w:ilvl="0">
      <w:start w:val="1"/>
      <w:numFmt w:val="decimal"/>
      <w:lvlText w:val="%1."/>
      <w:lvlJc w:val="left"/>
      <w:pPr>
        <w:tabs>
          <w:tab w:val="num" w:pos="340"/>
        </w:tabs>
        <w:ind w:left="340" w:hanging="340"/>
      </w:pPr>
      <w:rPr>
        <w:rFonts w:ascii="Univers 45 Light" w:hAnsi="Univers 45 Light"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3">
    <w:nsid w:val="37FF5E5B"/>
    <w:multiLevelType w:val="hybridMultilevel"/>
    <w:tmpl w:val="41F0F6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nsid w:val="38304541"/>
    <w:multiLevelType w:val="hybridMultilevel"/>
    <w:tmpl w:val="09380F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nsid w:val="388173B5"/>
    <w:multiLevelType w:val="hybridMultilevel"/>
    <w:tmpl w:val="81F89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3B5574FE"/>
    <w:multiLevelType w:val="hybridMultilevel"/>
    <w:tmpl w:val="0E5A05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nsid w:val="3FBF455D"/>
    <w:multiLevelType w:val="hybridMultilevel"/>
    <w:tmpl w:val="9C26DD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nsid w:val="42847B3E"/>
    <w:multiLevelType w:val="hybridMultilevel"/>
    <w:tmpl w:val="9A16B88E"/>
    <w:lvl w:ilvl="0" w:tplc="1009000F">
      <w:start w:val="1"/>
      <w:numFmt w:val="decimal"/>
      <w:lvlText w:val="%1."/>
      <w:lvlJc w:val="left"/>
      <w:pPr>
        <w:tabs>
          <w:tab w:val="num" w:pos="720"/>
        </w:tabs>
        <w:ind w:left="720" w:hanging="360"/>
      </w:pPr>
      <w:rPr>
        <w:rFonts w:hint="default"/>
      </w:rPr>
    </w:lvl>
    <w:lvl w:ilvl="1" w:tplc="9B1C10DE" w:tentative="1">
      <w:start w:val="1"/>
      <w:numFmt w:val="bullet"/>
      <w:lvlText w:val="•"/>
      <w:lvlJc w:val="left"/>
      <w:pPr>
        <w:tabs>
          <w:tab w:val="num" w:pos="1440"/>
        </w:tabs>
        <w:ind w:left="1440" w:hanging="360"/>
      </w:pPr>
      <w:rPr>
        <w:rFonts w:ascii="Times New Roman" w:hAnsi="Times New Roman" w:hint="default"/>
      </w:rPr>
    </w:lvl>
    <w:lvl w:ilvl="2" w:tplc="966C18C0" w:tentative="1">
      <w:start w:val="1"/>
      <w:numFmt w:val="bullet"/>
      <w:lvlText w:val="•"/>
      <w:lvlJc w:val="left"/>
      <w:pPr>
        <w:tabs>
          <w:tab w:val="num" w:pos="2160"/>
        </w:tabs>
        <w:ind w:left="2160" w:hanging="360"/>
      </w:pPr>
      <w:rPr>
        <w:rFonts w:ascii="Times New Roman" w:hAnsi="Times New Roman" w:hint="default"/>
      </w:rPr>
    </w:lvl>
    <w:lvl w:ilvl="3" w:tplc="DDB4DB8E" w:tentative="1">
      <w:start w:val="1"/>
      <w:numFmt w:val="bullet"/>
      <w:lvlText w:val="•"/>
      <w:lvlJc w:val="left"/>
      <w:pPr>
        <w:tabs>
          <w:tab w:val="num" w:pos="2880"/>
        </w:tabs>
        <w:ind w:left="2880" w:hanging="360"/>
      </w:pPr>
      <w:rPr>
        <w:rFonts w:ascii="Times New Roman" w:hAnsi="Times New Roman" w:hint="default"/>
      </w:rPr>
    </w:lvl>
    <w:lvl w:ilvl="4" w:tplc="6142AAB2" w:tentative="1">
      <w:start w:val="1"/>
      <w:numFmt w:val="bullet"/>
      <w:lvlText w:val="•"/>
      <w:lvlJc w:val="left"/>
      <w:pPr>
        <w:tabs>
          <w:tab w:val="num" w:pos="3600"/>
        </w:tabs>
        <w:ind w:left="3600" w:hanging="360"/>
      </w:pPr>
      <w:rPr>
        <w:rFonts w:ascii="Times New Roman" w:hAnsi="Times New Roman" w:hint="default"/>
      </w:rPr>
    </w:lvl>
    <w:lvl w:ilvl="5" w:tplc="0B02CD62" w:tentative="1">
      <w:start w:val="1"/>
      <w:numFmt w:val="bullet"/>
      <w:lvlText w:val="•"/>
      <w:lvlJc w:val="left"/>
      <w:pPr>
        <w:tabs>
          <w:tab w:val="num" w:pos="4320"/>
        </w:tabs>
        <w:ind w:left="4320" w:hanging="360"/>
      </w:pPr>
      <w:rPr>
        <w:rFonts w:ascii="Times New Roman" w:hAnsi="Times New Roman" w:hint="default"/>
      </w:rPr>
    </w:lvl>
    <w:lvl w:ilvl="6" w:tplc="CCF804E0" w:tentative="1">
      <w:start w:val="1"/>
      <w:numFmt w:val="bullet"/>
      <w:lvlText w:val="•"/>
      <w:lvlJc w:val="left"/>
      <w:pPr>
        <w:tabs>
          <w:tab w:val="num" w:pos="5040"/>
        </w:tabs>
        <w:ind w:left="5040" w:hanging="360"/>
      </w:pPr>
      <w:rPr>
        <w:rFonts w:ascii="Times New Roman" w:hAnsi="Times New Roman" w:hint="default"/>
      </w:rPr>
    </w:lvl>
    <w:lvl w:ilvl="7" w:tplc="4BFEA824" w:tentative="1">
      <w:start w:val="1"/>
      <w:numFmt w:val="bullet"/>
      <w:lvlText w:val="•"/>
      <w:lvlJc w:val="left"/>
      <w:pPr>
        <w:tabs>
          <w:tab w:val="num" w:pos="5760"/>
        </w:tabs>
        <w:ind w:left="5760" w:hanging="360"/>
      </w:pPr>
      <w:rPr>
        <w:rFonts w:ascii="Times New Roman" w:hAnsi="Times New Roman" w:hint="default"/>
      </w:rPr>
    </w:lvl>
    <w:lvl w:ilvl="8" w:tplc="FF5CFE92" w:tentative="1">
      <w:start w:val="1"/>
      <w:numFmt w:val="bullet"/>
      <w:lvlText w:val="•"/>
      <w:lvlJc w:val="left"/>
      <w:pPr>
        <w:tabs>
          <w:tab w:val="num" w:pos="6480"/>
        </w:tabs>
        <w:ind w:left="6480" w:hanging="360"/>
      </w:pPr>
      <w:rPr>
        <w:rFonts w:ascii="Times New Roman" w:hAnsi="Times New Roman" w:hint="default"/>
      </w:rPr>
    </w:lvl>
  </w:abstractNum>
  <w:abstractNum w:abstractNumId="49">
    <w:nsid w:val="43583BA2"/>
    <w:multiLevelType w:val="hybridMultilevel"/>
    <w:tmpl w:val="0B5AE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nsid w:val="43BB1834"/>
    <w:multiLevelType w:val="hybridMultilevel"/>
    <w:tmpl w:val="6B6A5A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nsid w:val="46433ABA"/>
    <w:multiLevelType w:val="hybridMultilevel"/>
    <w:tmpl w:val="83DE3D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nsid w:val="467D69D9"/>
    <w:multiLevelType w:val="hybridMultilevel"/>
    <w:tmpl w:val="D64259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nsid w:val="47356FB9"/>
    <w:multiLevelType w:val="hybridMultilevel"/>
    <w:tmpl w:val="D2209E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nsid w:val="4771055E"/>
    <w:multiLevelType w:val="hybridMultilevel"/>
    <w:tmpl w:val="0846CB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nsid w:val="48855E6A"/>
    <w:multiLevelType w:val="hybridMultilevel"/>
    <w:tmpl w:val="89588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nsid w:val="4957488F"/>
    <w:multiLevelType w:val="hybridMultilevel"/>
    <w:tmpl w:val="A9FA46D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nsid w:val="4B332848"/>
    <w:multiLevelType w:val="hybridMultilevel"/>
    <w:tmpl w:val="1D280B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nsid w:val="4B3D1766"/>
    <w:multiLevelType w:val="hybridMultilevel"/>
    <w:tmpl w:val="AB546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nsid w:val="4B442512"/>
    <w:multiLevelType w:val="hybridMultilevel"/>
    <w:tmpl w:val="CCB245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nsid w:val="4BA546FD"/>
    <w:multiLevelType w:val="hybridMultilevel"/>
    <w:tmpl w:val="184A47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4C437D50"/>
    <w:multiLevelType w:val="hybridMultilevel"/>
    <w:tmpl w:val="651A35AE"/>
    <w:lvl w:ilvl="0" w:tplc="00010409">
      <w:numFmt w:val="bullet"/>
      <w:pStyle w:val="ThirdBullet"/>
      <w:lvlText w:val="-"/>
      <w:lvlJc w:val="left"/>
      <w:pPr>
        <w:tabs>
          <w:tab w:val="num" w:pos="1440"/>
        </w:tabs>
        <w:ind w:left="1440" w:hanging="720"/>
      </w:pPr>
      <w:rPr>
        <w:rFonts w:ascii="Arial" w:eastAsia="Times New Roman"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2">
    <w:nsid w:val="4DCE2C28"/>
    <w:multiLevelType w:val="hybridMultilevel"/>
    <w:tmpl w:val="6C2C36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3">
    <w:nsid w:val="4FC331C7"/>
    <w:multiLevelType w:val="hybridMultilevel"/>
    <w:tmpl w:val="C578035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50D54893"/>
    <w:multiLevelType w:val="hybridMultilevel"/>
    <w:tmpl w:val="D3888978"/>
    <w:lvl w:ilvl="0" w:tplc="1009000B">
      <w:start w:val="1"/>
      <w:numFmt w:val="bullet"/>
      <w:pStyle w:val="FirstBullet"/>
      <w:lvlText w:val=""/>
      <w:lvlJc w:val="left"/>
      <w:pPr>
        <w:tabs>
          <w:tab w:val="num" w:pos="720"/>
        </w:tabs>
        <w:ind w:left="720" w:hanging="72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65">
    <w:nsid w:val="51BD1670"/>
    <w:multiLevelType w:val="hybridMultilevel"/>
    <w:tmpl w:val="13F61B54"/>
    <w:lvl w:ilvl="0" w:tplc="10090005">
      <w:start w:val="1"/>
      <w:numFmt w:val="bullet"/>
      <w:pStyle w:val="Bullet10"/>
      <w:lvlText w:val=""/>
      <w:lvlJc w:val="left"/>
      <w:pPr>
        <w:ind w:left="360" w:hanging="360"/>
      </w:pPr>
      <w:rPr>
        <w:rFonts w:ascii="Wingdings" w:hAnsi="Wingdings" w:hint="default"/>
        <w:color w:val="00338D"/>
        <w:sz w:val="2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nsid w:val="52A84F78"/>
    <w:multiLevelType w:val="hybridMultilevel"/>
    <w:tmpl w:val="06CAB2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nsid w:val="565D7E11"/>
    <w:multiLevelType w:val="hybridMultilevel"/>
    <w:tmpl w:val="581A397C"/>
    <w:lvl w:ilvl="0" w:tplc="0ACA37A8">
      <w:start w:val="1"/>
      <w:numFmt w:val="decimal"/>
      <w:pStyle w:val="Appendixheader"/>
      <w:lvlText w:val="Appendix %1"/>
      <w:lvlJc w:val="left"/>
      <w:pPr>
        <w:ind w:left="700" w:hanging="360"/>
      </w:pPr>
      <w:rPr>
        <w:rFonts w:hint="default"/>
        <w:b w:val="0"/>
      </w:rPr>
    </w:lvl>
    <w:lvl w:ilvl="1" w:tplc="9FF023F0" w:tentative="1">
      <w:start w:val="1"/>
      <w:numFmt w:val="lowerLetter"/>
      <w:lvlText w:val="%2."/>
      <w:lvlJc w:val="left"/>
      <w:pPr>
        <w:ind w:left="2839" w:hanging="360"/>
      </w:pPr>
    </w:lvl>
    <w:lvl w:ilvl="2" w:tplc="EF367BC8" w:tentative="1">
      <w:start w:val="1"/>
      <w:numFmt w:val="lowerRoman"/>
      <w:lvlText w:val="%3."/>
      <w:lvlJc w:val="right"/>
      <w:pPr>
        <w:ind w:left="3559" w:hanging="180"/>
      </w:pPr>
    </w:lvl>
    <w:lvl w:ilvl="3" w:tplc="33E662A0" w:tentative="1">
      <w:start w:val="1"/>
      <w:numFmt w:val="decimal"/>
      <w:lvlText w:val="%4."/>
      <w:lvlJc w:val="left"/>
      <w:pPr>
        <w:ind w:left="4279" w:hanging="360"/>
      </w:pPr>
    </w:lvl>
    <w:lvl w:ilvl="4" w:tplc="041A9D50" w:tentative="1">
      <w:start w:val="1"/>
      <w:numFmt w:val="lowerLetter"/>
      <w:lvlText w:val="%5."/>
      <w:lvlJc w:val="left"/>
      <w:pPr>
        <w:ind w:left="4999" w:hanging="360"/>
      </w:pPr>
    </w:lvl>
    <w:lvl w:ilvl="5" w:tplc="7FA8E73C" w:tentative="1">
      <w:start w:val="1"/>
      <w:numFmt w:val="lowerRoman"/>
      <w:lvlText w:val="%6."/>
      <w:lvlJc w:val="right"/>
      <w:pPr>
        <w:ind w:left="5719" w:hanging="180"/>
      </w:pPr>
    </w:lvl>
    <w:lvl w:ilvl="6" w:tplc="76B8F300" w:tentative="1">
      <w:start w:val="1"/>
      <w:numFmt w:val="decimal"/>
      <w:lvlText w:val="%7."/>
      <w:lvlJc w:val="left"/>
      <w:pPr>
        <w:ind w:left="6439" w:hanging="360"/>
      </w:pPr>
    </w:lvl>
    <w:lvl w:ilvl="7" w:tplc="E5B4BC30" w:tentative="1">
      <w:start w:val="1"/>
      <w:numFmt w:val="lowerLetter"/>
      <w:lvlText w:val="%8."/>
      <w:lvlJc w:val="left"/>
      <w:pPr>
        <w:ind w:left="7159" w:hanging="360"/>
      </w:pPr>
    </w:lvl>
    <w:lvl w:ilvl="8" w:tplc="1924C8C4" w:tentative="1">
      <w:start w:val="1"/>
      <w:numFmt w:val="lowerRoman"/>
      <w:lvlText w:val="%9."/>
      <w:lvlJc w:val="right"/>
      <w:pPr>
        <w:ind w:left="7879" w:hanging="180"/>
      </w:pPr>
    </w:lvl>
  </w:abstractNum>
  <w:abstractNum w:abstractNumId="68">
    <w:nsid w:val="57812C47"/>
    <w:multiLevelType w:val="hybridMultilevel"/>
    <w:tmpl w:val="A1D010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nsid w:val="5C41715D"/>
    <w:multiLevelType w:val="hybridMultilevel"/>
    <w:tmpl w:val="BA221E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nsid w:val="5F3664D7"/>
    <w:multiLevelType w:val="hybridMultilevel"/>
    <w:tmpl w:val="A894BF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nsid w:val="5F8F49B9"/>
    <w:multiLevelType w:val="hybridMultilevel"/>
    <w:tmpl w:val="0BE22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nsid w:val="61390235"/>
    <w:multiLevelType w:val="hybridMultilevel"/>
    <w:tmpl w:val="CA4C4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3">
    <w:nsid w:val="65E84258"/>
    <w:multiLevelType w:val="hybridMultilevel"/>
    <w:tmpl w:val="F2263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4">
    <w:nsid w:val="672D6F49"/>
    <w:multiLevelType w:val="multilevel"/>
    <w:tmpl w:val="1310CE62"/>
    <w:lvl w:ilvl="0">
      <w:start w:val="1"/>
      <w:numFmt w:val="bullet"/>
      <w:pStyle w:val="Bullet"/>
      <w:lvlText w:val="■"/>
      <w:lvlJc w:val="left"/>
      <w:pPr>
        <w:ind w:left="1004" w:hanging="284"/>
      </w:pPr>
      <w:rPr>
        <w:rFonts w:ascii="Arial" w:hAnsi="Arial" w:hint="default"/>
        <w:color w:val="97989A"/>
        <w:sz w:val="24"/>
        <w:lang w:val="en-US"/>
      </w:rPr>
    </w:lvl>
    <w:lvl w:ilvl="1">
      <w:start w:val="1"/>
      <w:numFmt w:val="bullet"/>
      <w:lvlText w:val="–"/>
      <w:lvlJc w:val="left"/>
      <w:pPr>
        <w:ind w:left="567" w:hanging="283"/>
      </w:pPr>
      <w:rPr>
        <w:rFonts w:ascii="Arial" w:hAnsi="Arial" w:hint="default"/>
        <w:color w:val="97989A"/>
      </w:rPr>
    </w:lvl>
    <w:lvl w:ilvl="2">
      <w:start w:val="1"/>
      <w:numFmt w:val="bullet"/>
      <w:lvlRestart w:val="1"/>
      <w:lvlText w:val="■"/>
      <w:lvlJc w:val="left"/>
      <w:pPr>
        <w:tabs>
          <w:tab w:val="num" w:pos="851"/>
        </w:tabs>
        <w:ind w:left="851" w:hanging="284"/>
      </w:pPr>
      <w:rPr>
        <w:rFonts w:ascii="Arial" w:hAnsi="Arial" w:hint="default"/>
        <w:color w:val="97989A"/>
      </w:rPr>
    </w:lvl>
    <w:lvl w:ilvl="3">
      <w:start w:val="1"/>
      <w:numFmt w:val="bullet"/>
      <w:lvlText w:val="–"/>
      <w:lvlJc w:val="left"/>
      <w:pPr>
        <w:ind w:left="1134" w:hanging="283"/>
      </w:pPr>
      <w:rPr>
        <w:rFonts w:ascii="Arial" w:hAnsi="Arial" w:hint="default"/>
        <w:color w:val="97989A"/>
      </w:rPr>
    </w:lvl>
    <w:lvl w:ilvl="4">
      <w:start w:val="1"/>
      <w:numFmt w:val="bullet"/>
      <w:lvlText w:val="■"/>
      <w:lvlJc w:val="left"/>
      <w:pPr>
        <w:ind w:left="1701" w:hanging="281"/>
      </w:pPr>
      <w:rPr>
        <w:rFonts w:ascii="Arial" w:hAnsi="Arial" w:hint="default"/>
        <w:color w:val="97989A"/>
      </w:rPr>
    </w:lvl>
    <w:lvl w:ilvl="5">
      <w:start w:val="1"/>
      <w:numFmt w:val="bullet"/>
      <w:lvlText w:val="–"/>
      <w:lvlJc w:val="left"/>
      <w:pPr>
        <w:ind w:left="2066" w:hanging="362"/>
      </w:pPr>
      <w:rPr>
        <w:rFonts w:ascii="Arial" w:hAnsi="Arial" w:hint="default"/>
        <w:color w:val="97989A"/>
      </w:rPr>
    </w:lvl>
    <w:lvl w:ilvl="6">
      <w:start w:val="1"/>
      <w:numFmt w:val="bullet"/>
      <w:lvlText w:val=""/>
      <w:lvlJc w:val="left"/>
      <w:pPr>
        <w:ind w:left="2350" w:hanging="362"/>
      </w:pPr>
      <w:rPr>
        <w:rFonts w:ascii="Symbol" w:hAnsi="Symbol" w:hint="default"/>
      </w:rPr>
    </w:lvl>
    <w:lvl w:ilvl="7">
      <w:start w:val="1"/>
      <w:numFmt w:val="bullet"/>
      <w:lvlText w:val="o"/>
      <w:lvlJc w:val="left"/>
      <w:pPr>
        <w:ind w:left="2634" w:hanging="362"/>
      </w:pPr>
      <w:rPr>
        <w:rFonts w:ascii="Courier New" w:hAnsi="Courier New" w:cs="Courier New" w:hint="default"/>
      </w:rPr>
    </w:lvl>
    <w:lvl w:ilvl="8">
      <w:start w:val="1"/>
      <w:numFmt w:val="bullet"/>
      <w:lvlText w:val=""/>
      <w:lvlJc w:val="left"/>
      <w:pPr>
        <w:ind w:left="2918" w:hanging="362"/>
      </w:pPr>
      <w:rPr>
        <w:rFonts w:ascii="Wingdings" w:hAnsi="Wingdings" w:hint="default"/>
      </w:rPr>
    </w:lvl>
  </w:abstractNum>
  <w:abstractNum w:abstractNumId="75">
    <w:nsid w:val="69971AFE"/>
    <w:multiLevelType w:val="hybridMultilevel"/>
    <w:tmpl w:val="949EDA66"/>
    <w:lvl w:ilvl="0" w:tplc="BCEC4AC8">
      <w:start w:val="1"/>
      <w:numFmt w:val="bullet"/>
      <w:pStyle w:val="BulletIndent1"/>
      <w:lvlText w:val=""/>
      <w:lvlJc w:val="left"/>
      <w:pPr>
        <w:tabs>
          <w:tab w:val="num" w:pos="1080"/>
        </w:tabs>
        <w:ind w:left="106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nsid w:val="6A88248B"/>
    <w:multiLevelType w:val="hybridMultilevel"/>
    <w:tmpl w:val="20C44E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6AFE5A08"/>
    <w:multiLevelType w:val="hybridMultilevel"/>
    <w:tmpl w:val="564610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6B27744A"/>
    <w:multiLevelType w:val="hybridMultilevel"/>
    <w:tmpl w:val="22B24A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6C0E3625"/>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0">
    <w:nsid w:val="6DA51491"/>
    <w:multiLevelType w:val="hybridMultilevel"/>
    <w:tmpl w:val="7B10B8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1">
    <w:nsid w:val="6E2E1FA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2">
    <w:nsid w:val="7009607E"/>
    <w:multiLevelType w:val="hybridMultilevel"/>
    <w:tmpl w:val="3E8AB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3">
    <w:nsid w:val="7425702C"/>
    <w:multiLevelType w:val="hybridMultilevel"/>
    <w:tmpl w:val="B49E8BFA"/>
    <w:lvl w:ilvl="0" w:tplc="BCEC4AC8">
      <w:start w:val="1"/>
      <w:numFmt w:val="bullet"/>
      <w:pStyle w:val="Bulletsub"/>
      <w:lvlText w:val="–"/>
      <w:lvlJc w:val="left"/>
      <w:pPr>
        <w:ind w:left="1800" w:hanging="360"/>
      </w:pPr>
      <w:rPr>
        <w:rFonts w:ascii="Arial" w:hAnsi="Arial" w:hint="default"/>
        <w:color w:val="97989A"/>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84">
    <w:nsid w:val="75E816BC"/>
    <w:multiLevelType w:val="hybridMultilevel"/>
    <w:tmpl w:val="AD9A5D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5">
    <w:nsid w:val="7B7B70A5"/>
    <w:multiLevelType w:val="hybridMultilevel"/>
    <w:tmpl w:val="7CD8D8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nsid w:val="7E957310"/>
    <w:multiLevelType w:val="hybridMultilevel"/>
    <w:tmpl w:val="D8F84B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6"/>
  </w:num>
  <w:num w:numId="2">
    <w:abstractNumId w:val="81"/>
  </w:num>
  <w:num w:numId="3">
    <w:abstractNumId w:val="79"/>
  </w:num>
  <w:num w:numId="4">
    <w:abstractNumId w:val="0"/>
  </w:num>
  <w:num w:numId="5">
    <w:abstractNumId w:val="83"/>
  </w:num>
  <w:num w:numId="6">
    <w:abstractNumId w:val="74"/>
  </w:num>
  <w:num w:numId="7">
    <w:abstractNumId w:val="27"/>
  </w:num>
  <w:num w:numId="8">
    <w:abstractNumId w:val="10"/>
  </w:num>
  <w:num w:numId="9">
    <w:abstractNumId w:val="67"/>
  </w:num>
  <w:num w:numId="10">
    <w:abstractNumId w:val="15"/>
  </w:num>
  <w:num w:numId="11">
    <w:abstractNumId w:val="65"/>
  </w:num>
  <w:num w:numId="12">
    <w:abstractNumId w:val="75"/>
  </w:num>
  <w:num w:numId="13">
    <w:abstractNumId w:val="61"/>
  </w:num>
  <w:num w:numId="14">
    <w:abstractNumId w:val="31"/>
  </w:num>
  <w:num w:numId="15">
    <w:abstractNumId w:val="64"/>
  </w:num>
  <w:num w:numId="16">
    <w:abstractNumId w:val="16"/>
  </w:num>
  <w:num w:numId="17">
    <w:abstractNumId w:val="25"/>
  </w:num>
  <w:num w:numId="18">
    <w:abstractNumId w:val="24"/>
  </w:num>
  <w:num w:numId="19">
    <w:abstractNumId w:val="42"/>
  </w:num>
  <w:num w:numId="20">
    <w:abstractNumId w:val="2"/>
  </w:num>
  <w:num w:numId="21">
    <w:abstractNumId w:val="36"/>
  </w:num>
  <w:num w:numId="22">
    <w:abstractNumId w:val="14"/>
  </w:num>
  <w:num w:numId="23">
    <w:abstractNumId w:val="66"/>
  </w:num>
  <w:num w:numId="24">
    <w:abstractNumId w:val="19"/>
  </w:num>
  <w:num w:numId="25">
    <w:abstractNumId w:val="8"/>
  </w:num>
  <w:num w:numId="26">
    <w:abstractNumId w:val="57"/>
  </w:num>
  <w:num w:numId="27">
    <w:abstractNumId w:val="48"/>
  </w:num>
  <w:num w:numId="28">
    <w:abstractNumId w:val="32"/>
  </w:num>
  <w:num w:numId="29">
    <w:abstractNumId w:val="85"/>
  </w:num>
  <w:num w:numId="30">
    <w:abstractNumId w:val="47"/>
  </w:num>
  <w:num w:numId="31">
    <w:abstractNumId w:val="63"/>
  </w:num>
  <w:num w:numId="32">
    <w:abstractNumId w:val="78"/>
  </w:num>
  <w:num w:numId="33">
    <w:abstractNumId w:val="39"/>
  </w:num>
  <w:num w:numId="34">
    <w:abstractNumId w:val="71"/>
  </w:num>
  <w:num w:numId="35">
    <w:abstractNumId w:val="11"/>
  </w:num>
  <w:num w:numId="36">
    <w:abstractNumId w:val="86"/>
  </w:num>
  <w:num w:numId="37">
    <w:abstractNumId w:val="29"/>
  </w:num>
  <w:num w:numId="38">
    <w:abstractNumId w:val="69"/>
  </w:num>
  <w:num w:numId="39">
    <w:abstractNumId w:val="33"/>
  </w:num>
  <w:num w:numId="40">
    <w:abstractNumId w:val="38"/>
  </w:num>
  <w:num w:numId="41">
    <w:abstractNumId w:val="80"/>
  </w:num>
  <w:num w:numId="42">
    <w:abstractNumId w:val="45"/>
  </w:num>
  <w:num w:numId="43">
    <w:abstractNumId w:val="84"/>
  </w:num>
  <w:num w:numId="44">
    <w:abstractNumId w:val="28"/>
  </w:num>
  <w:num w:numId="45">
    <w:abstractNumId w:val="41"/>
  </w:num>
  <w:num w:numId="46">
    <w:abstractNumId w:val="13"/>
  </w:num>
  <w:num w:numId="47">
    <w:abstractNumId w:val="5"/>
  </w:num>
  <w:num w:numId="48">
    <w:abstractNumId w:val="7"/>
  </w:num>
  <w:num w:numId="49">
    <w:abstractNumId w:val="22"/>
  </w:num>
  <w:num w:numId="50">
    <w:abstractNumId w:val="59"/>
  </w:num>
  <w:num w:numId="51">
    <w:abstractNumId w:val="54"/>
  </w:num>
  <w:num w:numId="52">
    <w:abstractNumId w:val="82"/>
  </w:num>
  <w:num w:numId="53">
    <w:abstractNumId w:val="56"/>
  </w:num>
  <w:num w:numId="54">
    <w:abstractNumId w:val="34"/>
  </w:num>
  <w:num w:numId="55">
    <w:abstractNumId w:val="40"/>
  </w:num>
  <w:num w:numId="56">
    <w:abstractNumId w:val="68"/>
  </w:num>
  <w:num w:numId="57">
    <w:abstractNumId w:val="60"/>
  </w:num>
  <w:num w:numId="58">
    <w:abstractNumId w:val="17"/>
  </w:num>
  <w:num w:numId="59">
    <w:abstractNumId w:val="55"/>
  </w:num>
  <w:num w:numId="60">
    <w:abstractNumId w:val="73"/>
  </w:num>
  <w:num w:numId="61">
    <w:abstractNumId w:val="4"/>
  </w:num>
  <w:num w:numId="62">
    <w:abstractNumId w:val="76"/>
  </w:num>
  <w:num w:numId="63">
    <w:abstractNumId w:val="20"/>
  </w:num>
  <w:num w:numId="64">
    <w:abstractNumId w:val="23"/>
  </w:num>
  <w:num w:numId="65">
    <w:abstractNumId w:val="51"/>
  </w:num>
  <w:num w:numId="66">
    <w:abstractNumId w:val="49"/>
  </w:num>
  <w:num w:numId="67">
    <w:abstractNumId w:val="70"/>
  </w:num>
  <w:num w:numId="68">
    <w:abstractNumId w:val="52"/>
  </w:num>
  <w:num w:numId="69">
    <w:abstractNumId w:val="1"/>
  </w:num>
  <w:num w:numId="70">
    <w:abstractNumId w:val="58"/>
  </w:num>
  <w:num w:numId="71">
    <w:abstractNumId w:val="46"/>
  </w:num>
  <w:num w:numId="72">
    <w:abstractNumId w:val="3"/>
  </w:num>
  <w:num w:numId="73">
    <w:abstractNumId w:val="37"/>
  </w:num>
  <w:num w:numId="74">
    <w:abstractNumId w:val="44"/>
  </w:num>
  <w:num w:numId="75">
    <w:abstractNumId w:val="18"/>
  </w:num>
  <w:num w:numId="76">
    <w:abstractNumId w:val="12"/>
  </w:num>
  <w:num w:numId="77">
    <w:abstractNumId w:val="9"/>
  </w:num>
  <w:num w:numId="78">
    <w:abstractNumId w:val="77"/>
  </w:num>
  <w:num w:numId="79">
    <w:abstractNumId w:val="43"/>
  </w:num>
  <w:num w:numId="80">
    <w:abstractNumId w:val="72"/>
  </w:num>
  <w:num w:numId="81">
    <w:abstractNumId w:val="21"/>
  </w:num>
  <w:num w:numId="82">
    <w:abstractNumId w:val="30"/>
  </w:num>
  <w:num w:numId="83">
    <w:abstractNumId w:val="53"/>
  </w:num>
  <w:num w:numId="84">
    <w:abstractNumId w:val="62"/>
  </w:num>
  <w:num w:numId="85">
    <w:abstractNumId w:val="50"/>
  </w:num>
  <w:num w:numId="86">
    <w:abstractNumId w:val="6"/>
  </w:num>
  <w:num w:numId="87">
    <w:abstractNumId w:val="3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821"/>
    <w:rsid w:val="00074E73"/>
    <w:rsid w:val="00087E32"/>
    <w:rsid w:val="000B69E7"/>
    <w:rsid w:val="001E72F7"/>
    <w:rsid w:val="001F0911"/>
    <w:rsid w:val="00273CC1"/>
    <w:rsid w:val="00282992"/>
    <w:rsid w:val="003C0B4D"/>
    <w:rsid w:val="00446735"/>
    <w:rsid w:val="0055176D"/>
    <w:rsid w:val="00597E70"/>
    <w:rsid w:val="005A3CF1"/>
    <w:rsid w:val="005D44FF"/>
    <w:rsid w:val="00612369"/>
    <w:rsid w:val="00625F54"/>
    <w:rsid w:val="007925A9"/>
    <w:rsid w:val="0088786D"/>
    <w:rsid w:val="00893821"/>
    <w:rsid w:val="008B67B0"/>
    <w:rsid w:val="008D0AA0"/>
    <w:rsid w:val="009256DE"/>
    <w:rsid w:val="0092747F"/>
    <w:rsid w:val="00994FF3"/>
    <w:rsid w:val="00A1248B"/>
    <w:rsid w:val="00A514EC"/>
    <w:rsid w:val="00AE50FC"/>
    <w:rsid w:val="00B95F1C"/>
    <w:rsid w:val="00BC5BD4"/>
    <w:rsid w:val="00C62125"/>
    <w:rsid w:val="00CA0953"/>
    <w:rsid w:val="00D04B3A"/>
    <w:rsid w:val="00DD1442"/>
    <w:rsid w:val="00E04386"/>
    <w:rsid w:val="00E060A7"/>
    <w:rsid w:val="00E2580D"/>
    <w:rsid w:val="00FC4E7A"/>
    <w:rsid w:val="00FE1FA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3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3CF1"/>
    <w:rPr>
      <w:sz w:val="24"/>
    </w:rPr>
  </w:style>
  <w:style w:type="paragraph" w:styleId="Heading1">
    <w:name w:val="heading 1"/>
    <w:aliases w:val="H1,H11,Section Heading"/>
    <w:basedOn w:val="Normal"/>
    <w:next w:val="Normal"/>
    <w:link w:val="Heading1Char"/>
    <w:qFormat/>
    <w:rsid w:val="00E04386"/>
    <w:pPr>
      <w:pageBreakBefore/>
      <w:spacing w:before="480" w:after="0"/>
      <w:contextualSpacing/>
      <w:outlineLvl w:val="0"/>
    </w:pPr>
    <w:rPr>
      <w:rFonts w:asciiTheme="majorHAnsi" w:eastAsiaTheme="majorEastAsia" w:hAnsiTheme="majorHAnsi" w:cstheme="majorBidi"/>
      <w:b/>
      <w:bCs/>
      <w:sz w:val="36"/>
      <w:szCs w:val="28"/>
    </w:rPr>
  </w:style>
  <w:style w:type="paragraph" w:styleId="Heading2">
    <w:name w:val="heading 2"/>
    <w:aliases w:val="H21,H2,h2,l2,Heading 2  Section Sub"/>
    <w:basedOn w:val="Normal"/>
    <w:next w:val="Normal"/>
    <w:link w:val="Heading2Char"/>
    <w:unhideWhenUsed/>
    <w:qFormat/>
    <w:rsid w:val="005D44FF"/>
    <w:pPr>
      <w:keepNext/>
      <w:spacing w:before="200" w:after="0"/>
      <w:outlineLvl w:val="1"/>
    </w:pPr>
    <w:rPr>
      <w:rFonts w:asciiTheme="majorHAnsi" w:eastAsiaTheme="majorEastAsia" w:hAnsiTheme="majorHAnsi" w:cstheme="majorBidi"/>
      <w:b/>
      <w:bCs/>
      <w:sz w:val="32"/>
      <w:szCs w:val="26"/>
    </w:rPr>
  </w:style>
  <w:style w:type="paragraph" w:styleId="Heading3">
    <w:name w:val="heading 3"/>
    <w:aliases w:val="H3,H31,h3,l3,Sub Heading Section,1.2.3."/>
    <w:basedOn w:val="Normal"/>
    <w:next w:val="Normal"/>
    <w:link w:val="Heading3Char"/>
    <w:unhideWhenUsed/>
    <w:qFormat/>
    <w:rsid w:val="00B95F1C"/>
    <w:pPr>
      <w:keepNext/>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nhideWhenUsed/>
    <w:qFormat/>
    <w:rsid w:val="005A3CF1"/>
    <w:pPr>
      <w:spacing w:before="200" w:after="0"/>
      <w:outlineLvl w:val="3"/>
    </w:pPr>
    <w:rPr>
      <w:rFonts w:asciiTheme="majorHAnsi" w:eastAsiaTheme="majorEastAsia" w:hAnsiTheme="majorHAnsi" w:cstheme="majorBidi"/>
      <w:b/>
      <w:bCs/>
      <w:iCs/>
      <w:sz w:val="26"/>
    </w:rPr>
  </w:style>
  <w:style w:type="paragraph" w:styleId="Heading5">
    <w:name w:val="heading 5"/>
    <w:aliases w:val="H5"/>
    <w:basedOn w:val="Normal"/>
    <w:next w:val="Normal"/>
    <w:link w:val="Heading5Char"/>
    <w:unhideWhenUsed/>
    <w:qFormat/>
    <w:rsid w:val="005A3CF1"/>
    <w:pPr>
      <w:spacing w:before="200" w:after="0"/>
      <w:outlineLvl w:val="4"/>
    </w:pPr>
    <w:rPr>
      <w:rFonts w:asciiTheme="majorHAnsi" w:eastAsiaTheme="majorEastAsia" w:hAnsiTheme="majorHAnsi" w:cstheme="majorBidi"/>
      <w:b/>
      <w:bCs/>
    </w:rPr>
  </w:style>
  <w:style w:type="paragraph" w:styleId="Heading6">
    <w:name w:val="heading 6"/>
    <w:aliases w:val="H6"/>
    <w:basedOn w:val="Normal"/>
    <w:next w:val="Normal"/>
    <w:link w:val="Heading6Char"/>
    <w:unhideWhenUsed/>
    <w:qFormat/>
    <w:rsid w:val="001F0911"/>
    <w:pPr>
      <w:spacing w:after="0" w:line="271" w:lineRule="auto"/>
      <w:outlineLvl w:val="5"/>
    </w:pPr>
    <w:rPr>
      <w:rFonts w:asciiTheme="majorHAnsi" w:eastAsiaTheme="majorEastAsia" w:hAnsiTheme="majorHAnsi" w:cstheme="majorBidi"/>
      <w:b/>
      <w:bCs/>
      <w:i/>
      <w:iCs/>
      <w:color w:val="262626" w:themeColor="text1" w:themeTint="D9"/>
    </w:rPr>
  </w:style>
  <w:style w:type="paragraph" w:styleId="Heading7">
    <w:name w:val="heading 7"/>
    <w:aliases w:val="Heading 7 - Appendix A,Heading 7 - Appendix"/>
    <w:basedOn w:val="Normal"/>
    <w:next w:val="Normal"/>
    <w:link w:val="Heading7Char"/>
    <w:unhideWhenUsed/>
    <w:rsid w:val="005A3CF1"/>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nhideWhenUsed/>
    <w:rsid w:val="005A3CF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rsid w:val="005A3CF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Section Heading Char"/>
    <w:basedOn w:val="DefaultParagraphFont"/>
    <w:link w:val="Heading1"/>
    <w:rsid w:val="00E04386"/>
    <w:rPr>
      <w:rFonts w:asciiTheme="majorHAnsi" w:eastAsiaTheme="majorEastAsia" w:hAnsiTheme="majorHAnsi" w:cstheme="majorBidi"/>
      <w:b/>
      <w:bCs/>
      <w:sz w:val="36"/>
      <w:szCs w:val="28"/>
    </w:rPr>
  </w:style>
  <w:style w:type="character" w:customStyle="1" w:styleId="Heading2Char">
    <w:name w:val="Heading 2 Char"/>
    <w:aliases w:val="H21 Char,H2 Char,h2 Char,l2 Char,Heading 2  Section Sub Char"/>
    <w:basedOn w:val="DefaultParagraphFont"/>
    <w:link w:val="Heading2"/>
    <w:rsid w:val="005D44FF"/>
    <w:rPr>
      <w:rFonts w:asciiTheme="majorHAnsi" w:eastAsiaTheme="majorEastAsia" w:hAnsiTheme="majorHAnsi" w:cstheme="majorBidi"/>
      <w:b/>
      <w:bCs/>
      <w:sz w:val="32"/>
      <w:szCs w:val="26"/>
    </w:rPr>
  </w:style>
  <w:style w:type="character" w:customStyle="1" w:styleId="Heading3Char">
    <w:name w:val="Heading 3 Char"/>
    <w:aliases w:val="H3 Char,H31 Char,h3 Char,l3 Char,Sub Heading Section Char,1.2.3. Char"/>
    <w:basedOn w:val="DefaultParagraphFont"/>
    <w:link w:val="Heading3"/>
    <w:rsid w:val="00B95F1C"/>
    <w:rPr>
      <w:rFonts w:asciiTheme="majorHAnsi" w:eastAsiaTheme="majorEastAsia" w:hAnsiTheme="majorHAnsi" w:cstheme="majorBidi"/>
      <w:b/>
      <w:bCs/>
      <w:sz w:val="28"/>
    </w:rPr>
  </w:style>
  <w:style w:type="character" w:customStyle="1" w:styleId="Heading4Char">
    <w:name w:val="Heading 4 Char"/>
    <w:basedOn w:val="DefaultParagraphFont"/>
    <w:link w:val="Heading4"/>
    <w:rsid w:val="005A3CF1"/>
    <w:rPr>
      <w:rFonts w:asciiTheme="majorHAnsi" w:eastAsiaTheme="majorEastAsia" w:hAnsiTheme="majorHAnsi" w:cstheme="majorBidi"/>
      <w:b/>
      <w:bCs/>
      <w:iCs/>
      <w:sz w:val="26"/>
    </w:rPr>
  </w:style>
  <w:style w:type="character" w:customStyle="1" w:styleId="Heading5Char">
    <w:name w:val="Heading 5 Char"/>
    <w:aliases w:val="H5 Char"/>
    <w:basedOn w:val="DefaultParagraphFont"/>
    <w:link w:val="Heading5"/>
    <w:uiPriority w:val="99"/>
    <w:rsid w:val="005A3CF1"/>
    <w:rPr>
      <w:rFonts w:asciiTheme="majorHAnsi" w:eastAsiaTheme="majorEastAsia" w:hAnsiTheme="majorHAnsi" w:cstheme="majorBidi"/>
      <w:b/>
      <w:bCs/>
      <w:sz w:val="24"/>
    </w:rPr>
  </w:style>
  <w:style w:type="character" w:customStyle="1" w:styleId="Heading7Char">
    <w:name w:val="Heading 7 Char"/>
    <w:aliases w:val="Heading 7 - Appendix A Char,Heading 7 - Appendix Char"/>
    <w:basedOn w:val="DefaultParagraphFont"/>
    <w:link w:val="Heading7"/>
    <w:uiPriority w:val="99"/>
    <w:rsid w:val="005A3CF1"/>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5A3CF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5A3CF1"/>
    <w:rPr>
      <w:rFonts w:asciiTheme="majorHAnsi" w:eastAsiaTheme="majorEastAsia" w:hAnsiTheme="majorHAnsi" w:cstheme="majorBidi"/>
      <w:i/>
      <w:iCs/>
      <w:spacing w:val="5"/>
      <w:sz w:val="20"/>
      <w:szCs w:val="20"/>
    </w:rPr>
  </w:style>
  <w:style w:type="paragraph" w:styleId="Title">
    <w:name w:val="Title"/>
    <w:aliases w:val="Cover title"/>
    <w:basedOn w:val="Normal"/>
    <w:next w:val="Normal"/>
    <w:link w:val="TitleChar"/>
    <w:qFormat/>
    <w:rsid w:val="005A3CF1"/>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aliases w:val="Cover title Char"/>
    <w:basedOn w:val="DefaultParagraphFont"/>
    <w:link w:val="Title"/>
    <w:uiPriority w:val="99"/>
    <w:rsid w:val="005A3CF1"/>
    <w:rPr>
      <w:rFonts w:asciiTheme="majorHAnsi" w:eastAsiaTheme="majorEastAsia" w:hAnsiTheme="majorHAnsi" w:cstheme="majorBidi"/>
      <w:b/>
      <w:spacing w:val="5"/>
      <w:sz w:val="36"/>
      <w:szCs w:val="52"/>
    </w:rPr>
  </w:style>
  <w:style w:type="paragraph" w:styleId="Subtitle">
    <w:name w:val="Subtitle"/>
    <w:aliases w:val="Cover subtitle"/>
    <w:basedOn w:val="Normal"/>
    <w:next w:val="Normal"/>
    <w:link w:val="SubtitleChar"/>
    <w:qFormat/>
    <w:rsid w:val="005A3CF1"/>
    <w:pPr>
      <w:spacing w:after="600"/>
    </w:pPr>
    <w:rPr>
      <w:rFonts w:asciiTheme="majorHAnsi" w:eastAsiaTheme="majorEastAsia" w:hAnsiTheme="majorHAnsi" w:cstheme="majorBidi"/>
      <w:b/>
      <w:i/>
      <w:iCs/>
      <w:spacing w:val="13"/>
      <w:sz w:val="32"/>
      <w:szCs w:val="24"/>
    </w:rPr>
  </w:style>
  <w:style w:type="character" w:customStyle="1" w:styleId="SubtitleChar">
    <w:name w:val="Subtitle Char"/>
    <w:aliases w:val="Cover subtitle Char"/>
    <w:basedOn w:val="DefaultParagraphFont"/>
    <w:link w:val="Subtitle"/>
    <w:uiPriority w:val="11"/>
    <w:rsid w:val="005A3CF1"/>
    <w:rPr>
      <w:rFonts w:asciiTheme="majorHAnsi" w:eastAsiaTheme="majorEastAsia" w:hAnsiTheme="majorHAnsi" w:cstheme="majorBidi"/>
      <w:b/>
      <w:i/>
      <w:iCs/>
      <w:spacing w:val="13"/>
      <w:sz w:val="32"/>
      <w:szCs w:val="24"/>
    </w:rPr>
  </w:style>
  <w:style w:type="paragraph" w:styleId="TOCHeading">
    <w:name w:val="TOC Heading"/>
    <w:basedOn w:val="Heading1"/>
    <w:next w:val="Normal"/>
    <w:uiPriority w:val="39"/>
    <w:semiHidden/>
    <w:unhideWhenUsed/>
    <w:qFormat/>
    <w:rsid w:val="005A3CF1"/>
    <w:pPr>
      <w:outlineLvl w:val="9"/>
    </w:pPr>
    <w:rPr>
      <w:lang w:bidi="en-US"/>
    </w:rPr>
  </w:style>
  <w:style w:type="character" w:customStyle="1" w:styleId="Heading6Char">
    <w:name w:val="Heading 6 Char"/>
    <w:aliases w:val="H6 Char"/>
    <w:basedOn w:val="DefaultParagraphFont"/>
    <w:link w:val="Heading6"/>
    <w:uiPriority w:val="99"/>
    <w:rsid w:val="001F0911"/>
    <w:rPr>
      <w:rFonts w:asciiTheme="majorHAnsi" w:eastAsiaTheme="majorEastAsia" w:hAnsiTheme="majorHAnsi" w:cstheme="majorBidi"/>
      <w:b/>
      <w:bCs/>
      <w:i/>
      <w:iCs/>
      <w:color w:val="262626" w:themeColor="text1" w:themeTint="D9"/>
      <w:sz w:val="24"/>
    </w:rPr>
  </w:style>
  <w:style w:type="paragraph" w:styleId="TOC1">
    <w:name w:val="toc 1"/>
    <w:basedOn w:val="Normal"/>
    <w:next w:val="Normal"/>
    <w:autoRedefine/>
    <w:uiPriority w:val="39"/>
    <w:unhideWhenUsed/>
    <w:qFormat/>
    <w:rsid w:val="00893821"/>
    <w:pPr>
      <w:spacing w:after="100"/>
    </w:pPr>
  </w:style>
  <w:style w:type="paragraph" w:styleId="TOC2">
    <w:name w:val="toc 2"/>
    <w:basedOn w:val="Normal"/>
    <w:next w:val="Normal"/>
    <w:autoRedefine/>
    <w:uiPriority w:val="39"/>
    <w:unhideWhenUsed/>
    <w:qFormat/>
    <w:rsid w:val="00893821"/>
    <w:pPr>
      <w:spacing w:after="100"/>
      <w:ind w:left="240"/>
    </w:pPr>
  </w:style>
  <w:style w:type="paragraph" w:styleId="TOC3">
    <w:name w:val="toc 3"/>
    <w:basedOn w:val="Normal"/>
    <w:next w:val="Normal"/>
    <w:autoRedefine/>
    <w:uiPriority w:val="39"/>
    <w:unhideWhenUsed/>
    <w:qFormat/>
    <w:rsid w:val="00893821"/>
    <w:pPr>
      <w:spacing w:after="100"/>
      <w:ind w:left="480"/>
    </w:pPr>
  </w:style>
  <w:style w:type="paragraph" w:styleId="Header">
    <w:name w:val="header"/>
    <w:aliases w:val="Header1,Header11,Header12,Header13,Header111,Header121"/>
    <w:basedOn w:val="Normal"/>
    <w:link w:val="HeaderChar"/>
    <w:uiPriority w:val="99"/>
    <w:rsid w:val="00893821"/>
    <w:pPr>
      <w:tabs>
        <w:tab w:val="center" w:pos="4153"/>
        <w:tab w:val="right" w:pos="8306"/>
      </w:tabs>
      <w:spacing w:after="120" w:line="288" w:lineRule="auto"/>
    </w:pPr>
    <w:rPr>
      <w:rFonts w:ascii="Univers 45 Light" w:eastAsia="Times New Roman" w:hAnsi="Univers 45 Light" w:cs="Times New Roman"/>
      <w:sz w:val="16"/>
      <w:szCs w:val="24"/>
      <w:lang w:eastAsia="en-US"/>
    </w:rPr>
  </w:style>
  <w:style w:type="character" w:customStyle="1" w:styleId="HeaderChar">
    <w:name w:val="Header Char"/>
    <w:aliases w:val="Header1 Char1,Header11 Char1,Header12 Char1,Header13 Char1,Header111 Char1,Header121 Char1"/>
    <w:basedOn w:val="DefaultParagraphFont"/>
    <w:link w:val="Header"/>
    <w:uiPriority w:val="99"/>
    <w:rsid w:val="00893821"/>
    <w:rPr>
      <w:rFonts w:ascii="Univers 45 Light" w:eastAsia="Times New Roman" w:hAnsi="Univers 45 Light" w:cs="Times New Roman"/>
      <w:sz w:val="16"/>
      <w:szCs w:val="24"/>
      <w:lang w:eastAsia="en-US"/>
    </w:rPr>
  </w:style>
  <w:style w:type="paragraph" w:styleId="Footer">
    <w:name w:val="footer"/>
    <w:basedOn w:val="Normal"/>
    <w:link w:val="FooterChar"/>
    <w:uiPriority w:val="99"/>
    <w:rsid w:val="00893821"/>
    <w:pPr>
      <w:tabs>
        <w:tab w:val="center" w:pos="4153"/>
        <w:tab w:val="right" w:pos="8306"/>
      </w:tabs>
      <w:spacing w:after="0" w:line="240" w:lineRule="auto"/>
      <w:ind w:right="310"/>
    </w:pPr>
    <w:rPr>
      <w:rFonts w:ascii="Univers 45 Light" w:eastAsia="Times New Roman" w:hAnsi="Univers 45 Light" w:cs="Times New Roman"/>
      <w:bCs/>
      <w:color w:val="8AA5CB"/>
      <w:sz w:val="12"/>
      <w:szCs w:val="12"/>
      <w:lang w:val="en-US" w:eastAsia="en-US"/>
    </w:rPr>
  </w:style>
  <w:style w:type="character" w:customStyle="1" w:styleId="FooterChar">
    <w:name w:val="Footer Char"/>
    <w:basedOn w:val="DefaultParagraphFont"/>
    <w:link w:val="Footer"/>
    <w:uiPriority w:val="99"/>
    <w:rsid w:val="00893821"/>
    <w:rPr>
      <w:rFonts w:ascii="Univers 45 Light" w:eastAsia="Times New Roman" w:hAnsi="Univers 45 Light" w:cs="Times New Roman"/>
      <w:bCs/>
      <w:color w:val="8AA5CB"/>
      <w:sz w:val="12"/>
      <w:szCs w:val="12"/>
      <w:lang w:val="en-US" w:eastAsia="en-US"/>
    </w:rPr>
  </w:style>
  <w:style w:type="paragraph" w:styleId="BalloonText">
    <w:name w:val="Balloon Text"/>
    <w:basedOn w:val="Normal"/>
    <w:link w:val="BalloonTextChar"/>
    <w:rsid w:val="00893821"/>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893821"/>
    <w:rPr>
      <w:rFonts w:ascii="Tahoma" w:eastAsia="Times New Roman" w:hAnsi="Tahoma" w:cs="Tahoma"/>
      <w:sz w:val="16"/>
      <w:szCs w:val="16"/>
      <w:lang w:eastAsia="en-US"/>
    </w:rPr>
  </w:style>
  <w:style w:type="table" w:styleId="TableGrid">
    <w:name w:val="Table Grid"/>
    <w:basedOn w:val="TableNormal"/>
    <w:uiPriority w:val="39"/>
    <w:rsid w:val="00893821"/>
    <w:pPr>
      <w:spacing w:after="0" w:line="240" w:lineRule="auto"/>
    </w:pPr>
    <w:rPr>
      <w:rFonts w:ascii="Univers 45 Light" w:eastAsia="Times New Roman" w:hAnsi="Univers 45 Light" w:cs="Times New Roman"/>
      <w:sz w:val="20"/>
      <w:szCs w:val="20"/>
      <w:lang w:val="en-US" w:eastAsia="en-US"/>
    </w:rPr>
    <w:tblPr/>
  </w:style>
  <w:style w:type="paragraph" w:customStyle="1" w:styleId="Covertitledate">
    <w:name w:val="Cover title date"/>
    <w:basedOn w:val="Subtitle"/>
    <w:semiHidden/>
    <w:rsid w:val="00893821"/>
    <w:pPr>
      <w:spacing w:after="360" w:line="280" w:lineRule="atLeast"/>
      <w:jc w:val="right"/>
    </w:pPr>
    <w:rPr>
      <w:rFonts w:ascii="Univers 45 Light" w:eastAsia="Times New Roman" w:hAnsi="Univers 45 Light" w:cs="Arial"/>
      <w:b w:val="0"/>
      <w:i w:val="0"/>
      <w:iCs w:val="0"/>
      <w:color w:val="FFFFFF"/>
      <w:spacing w:val="0"/>
      <w:sz w:val="28"/>
      <w:lang w:eastAsia="en-US"/>
    </w:rPr>
  </w:style>
  <w:style w:type="paragraph" w:customStyle="1" w:styleId="Covertitleheader">
    <w:name w:val="Cover title header"/>
    <w:basedOn w:val="Normal"/>
    <w:semiHidden/>
    <w:rsid w:val="00893821"/>
    <w:pPr>
      <w:spacing w:before="240" w:after="360" w:line="200" w:lineRule="atLeast"/>
      <w:jc w:val="right"/>
    </w:pPr>
    <w:rPr>
      <w:rFonts w:ascii="Univers 45 Light" w:eastAsia="Times New Roman" w:hAnsi="Univers 45 Light" w:cs="Arial"/>
      <w:color w:val="FFFFFF"/>
      <w:sz w:val="18"/>
      <w:szCs w:val="24"/>
      <w:lang w:eastAsia="en-US"/>
    </w:rPr>
  </w:style>
  <w:style w:type="paragraph" w:customStyle="1" w:styleId="Covertitlefooter">
    <w:name w:val="Cover title footer"/>
    <w:basedOn w:val="Covertitleheader"/>
    <w:semiHidden/>
    <w:rsid w:val="00893821"/>
    <w:pPr>
      <w:spacing w:after="200"/>
    </w:pPr>
  </w:style>
  <w:style w:type="paragraph" w:customStyle="1" w:styleId="Tablebullet">
    <w:name w:val="Table bullet"/>
    <w:basedOn w:val="Bullet"/>
    <w:rsid w:val="00893821"/>
    <w:pPr>
      <w:spacing w:before="40" w:after="40"/>
    </w:pPr>
    <w:rPr>
      <w:noProof/>
      <w:sz w:val="18"/>
      <w:szCs w:val="18"/>
    </w:rPr>
  </w:style>
  <w:style w:type="paragraph" w:customStyle="1" w:styleId="Numberedbullet">
    <w:name w:val="Numbered bullet"/>
    <w:basedOn w:val="Normal"/>
    <w:rsid w:val="00893821"/>
    <w:pPr>
      <w:keepLines/>
      <w:numPr>
        <w:numId w:val="1"/>
      </w:numPr>
      <w:tabs>
        <w:tab w:val="clear" w:pos="360"/>
      </w:tabs>
      <w:spacing w:after="0" w:line="240" w:lineRule="auto"/>
      <w:ind w:left="289" w:hanging="289"/>
    </w:pPr>
    <w:rPr>
      <w:rFonts w:ascii="Univers 45 Light" w:eastAsia="Times New Roman" w:hAnsi="Univers 45 Light" w:cs="Times New Roman"/>
      <w:sz w:val="20"/>
      <w:szCs w:val="24"/>
      <w:lang w:eastAsia="en-US"/>
    </w:rPr>
  </w:style>
  <w:style w:type="paragraph" w:customStyle="1" w:styleId="Alphabullet">
    <w:name w:val="Alpha bullet"/>
    <w:basedOn w:val="Numberedbullet"/>
    <w:rsid w:val="00893821"/>
    <w:pPr>
      <w:numPr>
        <w:ilvl w:val="1"/>
      </w:numPr>
      <w:tabs>
        <w:tab w:val="clear" w:pos="720"/>
      </w:tabs>
      <w:ind w:left="289" w:hanging="289"/>
    </w:pPr>
  </w:style>
  <w:style w:type="numbering" w:customStyle="1" w:styleId="Text">
    <w:name w:val="Text"/>
    <w:uiPriority w:val="99"/>
    <w:rsid w:val="00893821"/>
    <w:pPr>
      <w:numPr>
        <w:numId w:val="8"/>
      </w:numPr>
    </w:pPr>
  </w:style>
  <w:style w:type="paragraph" w:customStyle="1" w:styleId="Tablebulletsub">
    <w:name w:val="Table bullet sub"/>
    <w:basedOn w:val="Bulletsub"/>
    <w:rsid w:val="00893821"/>
    <w:pPr>
      <w:numPr>
        <w:numId w:val="4"/>
      </w:numPr>
      <w:spacing w:before="40" w:after="40"/>
      <w:ind w:left="539" w:hanging="255"/>
    </w:pPr>
    <w:rPr>
      <w:noProof/>
      <w:sz w:val="18"/>
    </w:rPr>
  </w:style>
  <w:style w:type="paragraph" w:styleId="Revision">
    <w:name w:val="Revision"/>
    <w:hidden/>
    <w:uiPriority w:val="99"/>
    <w:semiHidden/>
    <w:rsid w:val="00893821"/>
    <w:pPr>
      <w:spacing w:after="0" w:line="240" w:lineRule="auto"/>
    </w:pPr>
    <w:rPr>
      <w:rFonts w:ascii="Univers 45 Light" w:eastAsia="Times New Roman" w:hAnsi="Univers 45 Light" w:cs="Times New Roman"/>
      <w:sz w:val="20"/>
      <w:szCs w:val="24"/>
      <w:lang w:val="en-GB" w:eastAsia="en-US"/>
    </w:rPr>
  </w:style>
  <w:style w:type="paragraph" w:customStyle="1" w:styleId="Bodytextnavyhighlight">
    <w:name w:val="Body text navy highlight"/>
    <w:basedOn w:val="BodyText1"/>
    <w:rsid w:val="00893821"/>
    <w:rPr>
      <w:b/>
      <w:color w:val="10CF9B" w:themeColor="accent4"/>
    </w:rPr>
  </w:style>
  <w:style w:type="paragraph" w:styleId="FootnoteText">
    <w:name w:val="footnote text"/>
    <w:aliases w:val="F1"/>
    <w:basedOn w:val="Normal"/>
    <w:link w:val="FootnoteTextChar"/>
    <w:uiPriority w:val="99"/>
    <w:rsid w:val="00893821"/>
    <w:pPr>
      <w:spacing w:after="40" w:line="288" w:lineRule="auto"/>
    </w:pPr>
    <w:rPr>
      <w:rFonts w:ascii="Univers 45 Light" w:eastAsia="Times New Roman" w:hAnsi="Univers 45 Light" w:cs="Times New Roman"/>
      <w:sz w:val="16"/>
      <w:szCs w:val="20"/>
      <w:lang w:eastAsia="en-US"/>
    </w:rPr>
  </w:style>
  <w:style w:type="character" w:customStyle="1" w:styleId="FootnoteTextChar">
    <w:name w:val="Footnote Text Char"/>
    <w:aliases w:val="F1 Char"/>
    <w:basedOn w:val="DefaultParagraphFont"/>
    <w:link w:val="FootnoteText"/>
    <w:uiPriority w:val="99"/>
    <w:rsid w:val="00893821"/>
    <w:rPr>
      <w:rFonts w:ascii="Univers 45 Light" w:eastAsia="Times New Roman" w:hAnsi="Univers 45 Light" w:cs="Times New Roman"/>
      <w:sz w:val="16"/>
      <w:szCs w:val="20"/>
      <w:lang w:eastAsia="en-US"/>
    </w:rPr>
  </w:style>
  <w:style w:type="character" w:styleId="FootnoteReference">
    <w:name w:val="footnote reference"/>
    <w:aliases w:val="fr,Endnote Reference-1"/>
    <w:basedOn w:val="DefaultParagraphFont"/>
    <w:uiPriority w:val="99"/>
    <w:rsid w:val="00893821"/>
    <w:rPr>
      <w:vertAlign w:val="superscript"/>
    </w:rPr>
  </w:style>
  <w:style w:type="paragraph" w:customStyle="1" w:styleId="Contentstitle">
    <w:name w:val="Contents title"/>
    <w:basedOn w:val="Normal"/>
    <w:semiHidden/>
    <w:rsid w:val="00893821"/>
    <w:pPr>
      <w:pageBreakBefore/>
      <w:spacing w:after="500" w:line="500" w:lineRule="atLeast"/>
    </w:pPr>
    <w:rPr>
      <w:rFonts w:ascii="Univers 45 Light" w:eastAsiaTheme="minorHAnsi" w:hAnsi="Univers 45 Light"/>
      <w:b/>
      <w:color w:val="00338D"/>
      <w:sz w:val="44"/>
      <w:lang w:eastAsia="en-US"/>
    </w:rPr>
  </w:style>
  <w:style w:type="character" w:styleId="Hyperlink">
    <w:name w:val="Hyperlink"/>
    <w:basedOn w:val="DefaultParagraphFont"/>
    <w:uiPriority w:val="99"/>
    <w:unhideWhenUsed/>
    <w:rsid w:val="00893821"/>
    <w:rPr>
      <w:rFonts w:ascii="Univers 45 Light" w:hAnsi="Univers 45 Light"/>
      <w:color w:val="0F6FC6" w:themeColor="accent1"/>
      <w:sz w:val="20"/>
      <w:u w:val="single"/>
    </w:rPr>
  </w:style>
  <w:style w:type="paragraph" w:customStyle="1" w:styleId="Source">
    <w:name w:val="Source"/>
    <w:basedOn w:val="BodyText1"/>
    <w:rsid w:val="00893821"/>
    <w:pPr>
      <w:tabs>
        <w:tab w:val="left" w:pos="1134"/>
      </w:tabs>
      <w:spacing w:before="40"/>
      <w:ind w:left="851" w:hanging="851"/>
    </w:pPr>
    <w:rPr>
      <w:sz w:val="12"/>
    </w:rPr>
  </w:style>
  <w:style w:type="paragraph" w:styleId="TOC4">
    <w:name w:val="toc 4"/>
    <w:aliases w:val="Appendix"/>
    <w:basedOn w:val="TOC1"/>
    <w:next w:val="Normal"/>
    <w:autoRedefine/>
    <w:uiPriority w:val="39"/>
    <w:rsid w:val="00893821"/>
    <w:pPr>
      <w:tabs>
        <w:tab w:val="left" w:pos="851"/>
        <w:tab w:val="left" w:pos="1701"/>
        <w:tab w:val="right" w:pos="9016"/>
      </w:tabs>
      <w:spacing w:after="0" w:line="240" w:lineRule="auto"/>
      <w:ind w:left="400" w:hanging="851"/>
    </w:pPr>
    <w:rPr>
      <w:rFonts w:eastAsia="Times New Roman" w:cs="Times New Roman"/>
      <w:caps/>
      <w:sz w:val="20"/>
      <w:szCs w:val="20"/>
      <w:lang w:eastAsia="en-US"/>
    </w:rPr>
  </w:style>
  <w:style w:type="numbering" w:styleId="111111">
    <w:name w:val="Outline List 2"/>
    <w:basedOn w:val="NoList"/>
    <w:semiHidden/>
    <w:rsid w:val="00893821"/>
    <w:pPr>
      <w:numPr>
        <w:numId w:val="2"/>
      </w:numPr>
    </w:pPr>
  </w:style>
  <w:style w:type="paragraph" w:customStyle="1" w:styleId="Image">
    <w:name w:val="Image"/>
    <w:basedOn w:val="Normal"/>
    <w:next w:val="Heading1"/>
    <w:semiHidden/>
    <w:rsid w:val="00893821"/>
    <w:pPr>
      <w:pageBreakBefore/>
      <w:framePr w:w="2665" w:h="6685" w:hRule="exact" w:wrap="around" w:vAnchor="page" w:hAnchor="page" w:x="766" w:yAlign="top"/>
      <w:spacing w:after="0" w:line="288" w:lineRule="auto"/>
      <w:ind w:right="-6"/>
      <w:jc w:val="center"/>
    </w:pPr>
    <w:rPr>
      <w:rFonts w:ascii="Univers 45 Light" w:eastAsia="Times New Roman" w:hAnsi="Univers 45 Light" w:cs="Times New Roman"/>
      <w:sz w:val="18"/>
      <w:szCs w:val="24"/>
      <w:lang w:eastAsia="en-US"/>
    </w:rPr>
  </w:style>
  <w:style w:type="numbering" w:styleId="1ai">
    <w:name w:val="Outline List 1"/>
    <w:basedOn w:val="NoList"/>
    <w:semiHidden/>
    <w:rsid w:val="00893821"/>
    <w:pPr>
      <w:numPr>
        <w:numId w:val="3"/>
      </w:numPr>
    </w:pPr>
  </w:style>
  <w:style w:type="paragraph" w:styleId="Caption">
    <w:name w:val="caption"/>
    <w:basedOn w:val="Normal"/>
    <w:next w:val="Normal"/>
    <w:unhideWhenUsed/>
    <w:qFormat/>
    <w:rsid w:val="00893821"/>
    <w:pPr>
      <w:keepNext/>
      <w:spacing w:before="140" w:after="140" w:line="240" w:lineRule="auto"/>
    </w:pPr>
    <w:rPr>
      <w:rFonts w:ascii="Univers 45 Light" w:eastAsia="Univers 45 Light" w:hAnsi="Univers 45 Light" w:cs="Times New Roman"/>
      <w:bCs/>
      <w:color w:val="00338D"/>
      <w:sz w:val="20"/>
      <w:szCs w:val="20"/>
      <w:lang w:eastAsia="en-US"/>
    </w:rPr>
  </w:style>
  <w:style w:type="table" w:styleId="Table3Deffects1">
    <w:name w:val="Table 3D effects 1"/>
    <w:basedOn w:val="TableNormal"/>
    <w:semiHidden/>
    <w:rsid w:val="00893821"/>
    <w:pPr>
      <w:spacing w:after="0" w:line="240" w:lineRule="auto"/>
    </w:pPr>
    <w:rPr>
      <w:rFonts w:ascii="Univers 45 Light" w:eastAsia="Times New Roman" w:hAnsi="Univers 45 Light" w:cs="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93821"/>
    <w:pPr>
      <w:spacing w:after="0" w:line="240" w:lineRule="auto"/>
    </w:pPr>
    <w:rPr>
      <w:rFonts w:ascii="Univers 45 Light" w:eastAsia="Times New Roman" w:hAnsi="Univers 45 Light" w:cs="Times New Roman"/>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93821"/>
    <w:pPr>
      <w:spacing w:after="0" w:line="240" w:lineRule="auto"/>
    </w:pPr>
    <w:rPr>
      <w:rFonts w:ascii="Univers 45 Light" w:eastAsia="Times New Roman" w:hAnsi="Univers 45 Light" w:cs="Times New Roman"/>
      <w:color w:val="FFFFFF"/>
      <w:sz w:val="20"/>
      <w:szCs w:val="20"/>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link w:val="MacroTextChar"/>
    <w:semiHidden/>
    <w:rsid w:val="0089382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en-US"/>
    </w:rPr>
  </w:style>
  <w:style w:type="character" w:customStyle="1" w:styleId="MacroTextChar">
    <w:name w:val="Macro Text Char"/>
    <w:basedOn w:val="DefaultParagraphFont"/>
    <w:link w:val="MacroText"/>
    <w:semiHidden/>
    <w:rsid w:val="00893821"/>
    <w:rPr>
      <w:rFonts w:ascii="Courier New" w:eastAsia="Times New Roman" w:hAnsi="Courier New" w:cs="Times New Roman"/>
      <w:sz w:val="20"/>
      <w:szCs w:val="20"/>
      <w:lang w:val="en-GB" w:eastAsia="en-US"/>
    </w:rPr>
  </w:style>
  <w:style w:type="paragraph" w:styleId="TableofAuthorities">
    <w:name w:val="table of authorities"/>
    <w:basedOn w:val="Normal"/>
    <w:next w:val="Normal"/>
    <w:semiHidden/>
    <w:rsid w:val="00893821"/>
    <w:pPr>
      <w:spacing w:after="0" w:line="240" w:lineRule="auto"/>
      <w:ind w:left="240" w:hanging="240"/>
    </w:pPr>
    <w:rPr>
      <w:rFonts w:ascii="Univers 45 Light" w:eastAsia="Times New Roman" w:hAnsi="Univers 45 Light" w:cs="Times New Roman"/>
      <w:sz w:val="20"/>
      <w:szCs w:val="24"/>
      <w:lang w:eastAsia="en-US"/>
    </w:rPr>
  </w:style>
  <w:style w:type="paragraph" w:styleId="TableofFigures">
    <w:name w:val="table of figures"/>
    <w:basedOn w:val="Normal"/>
    <w:next w:val="Normal"/>
    <w:rsid w:val="00893821"/>
    <w:pPr>
      <w:spacing w:after="0" w:line="240" w:lineRule="auto"/>
    </w:pPr>
    <w:rPr>
      <w:rFonts w:ascii="Univers 45 Light" w:eastAsia="Times New Roman" w:hAnsi="Univers 45 Light" w:cs="Times New Roman"/>
      <w:sz w:val="20"/>
      <w:szCs w:val="24"/>
      <w:lang w:eastAsia="en-US"/>
    </w:rPr>
  </w:style>
  <w:style w:type="paragraph" w:styleId="TOAHeading">
    <w:name w:val="toa heading"/>
    <w:basedOn w:val="Normal"/>
    <w:next w:val="Normal"/>
    <w:semiHidden/>
    <w:rsid w:val="00893821"/>
    <w:pPr>
      <w:spacing w:before="120" w:after="0" w:line="240" w:lineRule="auto"/>
    </w:pPr>
    <w:rPr>
      <w:rFonts w:ascii="Univers 45 Light" w:eastAsia="Times New Roman" w:hAnsi="Univers 45 Light" w:cs="Times New Roman"/>
      <w:b/>
      <w:bCs/>
      <w:sz w:val="20"/>
      <w:szCs w:val="24"/>
      <w:lang w:eastAsia="en-US"/>
    </w:rPr>
  </w:style>
  <w:style w:type="paragraph" w:customStyle="1" w:styleId="Tableheading">
    <w:name w:val="Table heading"/>
    <w:rsid w:val="00893821"/>
    <w:pPr>
      <w:keepNext/>
      <w:spacing w:before="40" w:after="40" w:line="240" w:lineRule="auto"/>
    </w:pPr>
    <w:rPr>
      <w:rFonts w:ascii="Univers 45 Light" w:eastAsia="Times New Roman" w:hAnsi="Univers 45 Light" w:cs="Arial"/>
      <w:b/>
      <w:color w:val="FFFFFF"/>
      <w:sz w:val="18"/>
      <w:szCs w:val="24"/>
      <w:lang w:val="en-GB" w:eastAsia="en-GB"/>
    </w:rPr>
  </w:style>
  <w:style w:type="paragraph" w:customStyle="1" w:styleId="Contactname">
    <w:name w:val="Contact name"/>
    <w:basedOn w:val="Normal"/>
    <w:next w:val="Normal"/>
    <w:semiHidden/>
    <w:qFormat/>
    <w:rsid w:val="00893821"/>
    <w:pPr>
      <w:spacing w:before="240" w:after="0" w:line="240" w:lineRule="atLeast"/>
    </w:pPr>
    <w:rPr>
      <w:rFonts w:ascii="Univers 45 Light" w:eastAsiaTheme="minorHAnsi" w:hAnsi="Univers 45 Light"/>
      <w:b/>
      <w:color w:val="00338D"/>
      <w:sz w:val="20"/>
      <w:lang w:eastAsia="en-US"/>
    </w:rPr>
  </w:style>
  <w:style w:type="paragraph" w:customStyle="1" w:styleId="Contacttelephone">
    <w:name w:val="Contact telephone"/>
    <w:basedOn w:val="Normal"/>
    <w:next w:val="Contactemail"/>
    <w:semiHidden/>
    <w:qFormat/>
    <w:rsid w:val="00893821"/>
    <w:pPr>
      <w:spacing w:after="0" w:line="240" w:lineRule="atLeast"/>
    </w:pPr>
    <w:rPr>
      <w:rFonts w:ascii="Univers 45 Light" w:eastAsiaTheme="minorHAnsi" w:hAnsi="Univers 45 Light"/>
      <w:color w:val="000000" w:themeColor="text1"/>
      <w:sz w:val="20"/>
      <w:lang w:eastAsia="en-US"/>
    </w:rPr>
  </w:style>
  <w:style w:type="paragraph" w:customStyle="1" w:styleId="Contactemail">
    <w:name w:val="Contact email"/>
    <w:basedOn w:val="Normal"/>
    <w:next w:val="Contactname"/>
    <w:semiHidden/>
    <w:qFormat/>
    <w:rsid w:val="00893821"/>
    <w:pPr>
      <w:spacing w:after="0" w:line="240" w:lineRule="atLeast"/>
    </w:pPr>
    <w:rPr>
      <w:rFonts w:ascii="Univers 45 Light" w:eastAsiaTheme="minorHAnsi" w:hAnsi="Univers 45 Light"/>
      <w:color w:val="000000" w:themeColor="text1"/>
      <w:sz w:val="20"/>
      <w:lang w:eastAsia="en-US"/>
    </w:rPr>
  </w:style>
  <w:style w:type="paragraph" w:customStyle="1" w:styleId="Disclaimer">
    <w:name w:val="Disclaimer"/>
    <w:basedOn w:val="Normal"/>
    <w:unhideWhenUsed/>
    <w:qFormat/>
    <w:rsid w:val="00893821"/>
    <w:pPr>
      <w:framePr w:wrap="around" w:vAnchor="page" w:hAnchor="page" w:x="664" w:y="12003"/>
      <w:spacing w:before="120" w:after="0" w:line="240" w:lineRule="auto"/>
    </w:pPr>
    <w:rPr>
      <w:rFonts w:ascii="Univers 45 Light" w:eastAsiaTheme="minorHAnsi" w:hAnsi="Univers 45 Light"/>
      <w:color w:val="000000" w:themeColor="text1"/>
      <w:sz w:val="16"/>
      <w:lang w:eastAsia="en-US"/>
    </w:rPr>
  </w:style>
  <w:style w:type="paragraph" w:customStyle="1" w:styleId="Bulletsub">
    <w:name w:val="Bullet sub"/>
    <w:basedOn w:val="Normal"/>
    <w:rsid w:val="00893821"/>
    <w:pPr>
      <w:numPr>
        <w:numId w:val="5"/>
      </w:numPr>
      <w:spacing w:after="0" w:line="240" w:lineRule="auto"/>
      <w:ind w:left="568" w:hanging="284"/>
    </w:pPr>
    <w:rPr>
      <w:rFonts w:ascii="Univers 45 Light" w:eastAsiaTheme="minorHAnsi" w:hAnsi="Univers 45 Light"/>
      <w:sz w:val="20"/>
      <w:lang w:eastAsia="en-US"/>
    </w:rPr>
  </w:style>
  <w:style w:type="character" w:customStyle="1" w:styleId="Contactbold">
    <w:name w:val="Contact bold"/>
    <w:basedOn w:val="DefaultParagraphFont"/>
    <w:semiHidden/>
    <w:qFormat/>
    <w:rsid w:val="00893821"/>
    <w:rPr>
      <w:rFonts w:ascii="Univers 45 Light" w:hAnsi="Univers 45 Light"/>
      <w:b/>
      <w:color w:val="000000" w:themeColor="text1"/>
      <w:sz w:val="20"/>
    </w:rPr>
  </w:style>
  <w:style w:type="paragraph" w:customStyle="1" w:styleId="Bodytextpurplehighlight">
    <w:name w:val="Body text purple highlight"/>
    <w:basedOn w:val="Bodytextnavyhighlight"/>
    <w:rsid w:val="00893821"/>
    <w:rPr>
      <w:color w:val="0F6FC6" w:themeColor="accent1"/>
    </w:rPr>
  </w:style>
  <w:style w:type="paragraph" w:customStyle="1" w:styleId="BodyText1">
    <w:name w:val="Body Text1"/>
    <w:basedOn w:val="Normal"/>
    <w:qFormat/>
    <w:rsid w:val="00893821"/>
    <w:pPr>
      <w:spacing w:before="140" w:after="280" w:line="240" w:lineRule="auto"/>
    </w:pPr>
    <w:rPr>
      <w:rFonts w:ascii="Univers 45 Light" w:eastAsiaTheme="minorHAnsi" w:hAnsi="Univers 45 Light"/>
      <w:color w:val="000000" w:themeColor="text1"/>
      <w:sz w:val="20"/>
      <w:lang w:eastAsia="en-US"/>
    </w:rPr>
  </w:style>
  <w:style w:type="paragraph" w:customStyle="1" w:styleId="Introparagraph">
    <w:name w:val="Intro paragraph"/>
    <w:basedOn w:val="Normal"/>
    <w:next w:val="BodyText1"/>
    <w:rsid w:val="00893821"/>
    <w:pPr>
      <w:keepNext/>
      <w:spacing w:after="288" w:line="240" w:lineRule="auto"/>
    </w:pPr>
    <w:rPr>
      <w:rFonts w:eastAsiaTheme="minorHAnsi"/>
      <w:color w:val="0F6FC6" w:themeColor="accent1"/>
      <w:sz w:val="28"/>
      <w:lang w:eastAsia="en-US"/>
    </w:rPr>
  </w:style>
  <w:style w:type="paragraph" w:customStyle="1" w:styleId="Subheading">
    <w:name w:val="Subheading"/>
    <w:basedOn w:val="Normal"/>
    <w:next w:val="BodyText1"/>
    <w:rsid w:val="00893821"/>
    <w:pPr>
      <w:keepNext/>
      <w:spacing w:before="140" w:after="140" w:line="240" w:lineRule="auto"/>
    </w:pPr>
    <w:rPr>
      <w:rFonts w:ascii="Univers 45 Light" w:eastAsiaTheme="minorHAnsi" w:hAnsi="Univers 45 Light"/>
      <w:color w:val="04617B" w:themeColor="text2"/>
      <w:sz w:val="20"/>
      <w:lang w:eastAsia="en-US"/>
    </w:rPr>
  </w:style>
  <w:style w:type="paragraph" w:customStyle="1" w:styleId="Bodytextprebullet">
    <w:name w:val="Body text pre bullet"/>
    <w:basedOn w:val="BodyText1"/>
    <w:rsid w:val="00893821"/>
    <w:pPr>
      <w:keepNext/>
      <w:spacing w:after="140"/>
    </w:pPr>
  </w:style>
  <w:style w:type="paragraph" w:customStyle="1" w:styleId="Bullet">
    <w:name w:val="Bullet"/>
    <w:basedOn w:val="Normal"/>
    <w:link w:val="BulletChar"/>
    <w:autoRedefine/>
    <w:rsid w:val="00893821"/>
    <w:pPr>
      <w:numPr>
        <w:numId w:val="6"/>
      </w:numPr>
      <w:spacing w:before="70" w:after="70" w:line="240" w:lineRule="auto"/>
      <w:ind w:left="284"/>
    </w:pPr>
    <w:rPr>
      <w:rFonts w:ascii="Univers 45 Light" w:eastAsiaTheme="minorHAnsi" w:hAnsi="Univers 45 Light"/>
      <w:sz w:val="20"/>
      <w:lang w:eastAsia="en-US"/>
    </w:rPr>
  </w:style>
  <w:style w:type="paragraph" w:customStyle="1" w:styleId="Bulletlast">
    <w:name w:val="Bullet last"/>
    <w:basedOn w:val="Bullet"/>
    <w:next w:val="BodyText1"/>
    <w:link w:val="BulletlastChar"/>
    <w:rsid w:val="00893821"/>
    <w:pPr>
      <w:spacing w:after="280"/>
    </w:pPr>
  </w:style>
  <w:style w:type="paragraph" w:customStyle="1" w:styleId="Note">
    <w:name w:val="Note"/>
    <w:basedOn w:val="Source"/>
    <w:rsid w:val="00893821"/>
    <w:pPr>
      <w:spacing w:after="0"/>
    </w:pPr>
  </w:style>
  <w:style w:type="paragraph" w:customStyle="1" w:styleId="Tabletext">
    <w:name w:val="Table text"/>
    <w:basedOn w:val="Normal"/>
    <w:rsid w:val="00893821"/>
    <w:pPr>
      <w:spacing w:before="40" w:after="40" w:line="240" w:lineRule="auto"/>
    </w:pPr>
    <w:rPr>
      <w:rFonts w:ascii="Univers 45 Light" w:eastAsiaTheme="minorHAnsi" w:hAnsi="Univers 45 Light"/>
      <w:color w:val="000000" w:themeColor="text1"/>
      <w:sz w:val="18"/>
      <w:lang w:eastAsia="en-US"/>
    </w:rPr>
  </w:style>
  <w:style w:type="paragraph" w:customStyle="1" w:styleId="Tabletextleft">
    <w:name w:val="Table text left"/>
    <w:basedOn w:val="Tabletext"/>
    <w:rsid w:val="00893821"/>
  </w:style>
  <w:style w:type="paragraph" w:customStyle="1" w:styleId="Tabletextright">
    <w:name w:val="Table text right"/>
    <w:basedOn w:val="Tabletext"/>
    <w:qFormat/>
    <w:rsid w:val="00893821"/>
    <w:pPr>
      <w:jc w:val="right"/>
    </w:pPr>
  </w:style>
  <w:style w:type="table" w:customStyle="1" w:styleId="KPMGtable">
    <w:name w:val="_KPMG table"/>
    <w:basedOn w:val="TableNormal"/>
    <w:rsid w:val="00893821"/>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893821"/>
    <w:pPr>
      <w:keepNext/>
      <w:spacing w:before="40" w:after="40" w:line="240" w:lineRule="auto"/>
    </w:pPr>
    <w:rPr>
      <w:rFonts w:ascii="Univers 45 Light" w:eastAsia="Times New Roman" w:hAnsi="Univers 45 Light" w:cs="Arial"/>
      <w:b/>
      <w:color w:val="FFFFFF"/>
      <w:sz w:val="18"/>
      <w:szCs w:val="24"/>
      <w:lang w:val="en-GB" w:eastAsia="en-GB"/>
    </w:rPr>
  </w:style>
  <w:style w:type="paragraph" w:customStyle="1" w:styleId="Termsheading">
    <w:name w:val="Terms heading"/>
    <w:basedOn w:val="Normal"/>
    <w:semiHidden/>
    <w:qFormat/>
    <w:rsid w:val="00893821"/>
    <w:pPr>
      <w:pageBreakBefore/>
      <w:spacing w:after="0" w:line="240" w:lineRule="auto"/>
    </w:pPr>
    <w:rPr>
      <w:rFonts w:ascii="Univers 45 Light" w:eastAsiaTheme="minorHAnsi" w:hAnsi="Univers 45 Light"/>
      <w:b/>
      <w:color w:val="000000" w:themeColor="text1"/>
      <w:lang w:eastAsia="en-US"/>
    </w:rPr>
  </w:style>
  <w:style w:type="paragraph" w:customStyle="1" w:styleId="Termslevel1">
    <w:name w:val="_Terms level 1"/>
    <w:next w:val="Termslevel2"/>
    <w:semiHidden/>
    <w:locked/>
    <w:rsid w:val="00893821"/>
    <w:pPr>
      <w:numPr>
        <w:numId w:val="7"/>
      </w:numPr>
      <w:tabs>
        <w:tab w:val="left" w:pos="426"/>
      </w:tabs>
      <w:spacing w:before="170" w:after="0" w:line="240" w:lineRule="auto"/>
      <w:ind w:left="426" w:hanging="426"/>
    </w:pPr>
    <w:rPr>
      <w:rFonts w:ascii="Univers 45 Light" w:eastAsia="Times New Roman" w:hAnsi="Univers 45 Light" w:cs="Arial"/>
      <w:b/>
      <w:sz w:val="17"/>
      <w:szCs w:val="24"/>
      <w:lang w:val="en-GB" w:eastAsia="en-GB"/>
    </w:rPr>
  </w:style>
  <w:style w:type="paragraph" w:customStyle="1" w:styleId="Termslevel2">
    <w:name w:val="_Terms level 2"/>
    <w:basedOn w:val="Termslevel1"/>
    <w:next w:val="Termslevel3"/>
    <w:semiHidden/>
    <w:locked/>
    <w:rsid w:val="00893821"/>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rsid w:val="00893821"/>
    <w:pPr>
      <w:numPr>
        <w:ilvl w:val="2"/>
        <w:numId w:val="7"/>
      </w:numPr>
      <w:tabs>
        <w:tab w:val="clear" w:pos="737"/>
        <w:tab w:val="num" w:pos="360"/>
      </w:tabs>
      <w:spacing w:after="0" w:line="240" w:lineRule="atLeast"/>
      <w:ind w:left="0" w:firstLine="0"/>
    </w:pPr>
    <w:rPr>
      <w:rFonts w:eastAsia="Times New Roman" w:cs="Arial"/>
      <w:sz w:val="14"/>
      <w:szCs w:val="24"/>
      <w:lang w:eastAsia="en-GB"/>
    </w:rPr>
  </w:style>
  <w:style w:type="paragraph" w:customStyle="1" w:styleId="Tablecolumnleft">
    <w:name w:val="Table column left"/>
    <w:basedOn w:val="Tabletext"/>
    <w:rsid w:val="00893821"/>
    <w:pPr>
      <w:keepNext/>
    </w:pPr>
    <w:rPr>
      <w:lang w:eastAsia="en-GB"/>
    </w:rPr>
  </w:style>
  <w:style w:type="paragraph" w:styleId="CommentText">
    <w:name w:val="annotation text"/>
    <w:basedOn w:val="Normal"/>
    <w:link w:val="CommentTextChar"/>
    <w:uiPriority w:val="99"/>
    <w:rsid w:val="00893821"/>
    <w:pPr>
      <w:spacing w:after="0" w:line="240" w:lineRule="auto"/>
    </w:pPr>
    <w:rPr>
      <w:rFonts w:ascii="Univers 45 Light" w:eastAsia="Times New Roman" w:hAnsi="Univers 45 Light" w:cs="Times New Roman"/>
      <w:sz w:val="20"/>
      <w:szCs w:val="20"/>
      <w:lang w:eastAsia="en-US"/>
    </w:rPr>
  </w:style>
  <w:style w:type="character" w:customStyle="1" w:styleId="CommentTextChar">
    <w:name w:val="Comment Text Char"/>
    <w:basedOn w:val="DefaultParagraphFont"/>
    <w:link w:val="CommentText"/>
    <w:uiPriority w:val="99"/>
    <w:rsid w:val="00893821"/>
    <w:rPr>
      <w:rFonts w:ascii="Univers 45 Light" w:eastAsia="Times New Roman" w:hAnsi="Univers 45 Light" w:cs="Times New Roman"/>
      <w:sz w:val="20"/>
      <w:szCs w:val="20"/>
      <w:lang w:eastAsia="en-US"/>
    </w:rPr>
  </w:style>
  <w:style w:type="character" w:styleId="CommentReference">
    <w:name w:val="annotation reference"/>
    <w:basedOn w:val="DefaultParagraphFont"/>
    <w:uiPriority w:val="99"/>
    <w:rsid w:val="00893821"/>
    <w:rPr>
      <w:sz w:val="16"/>
      <w:szCs w:val="16"/>
    </w:rPr>
  </w:style>
  <w:style w:type="paragraph" w:customStyle="1" w:styleId="Tablecolumnright">
    <w:name w:val="Table column right"/>
    <w:basedOn w:val="Tabletextright"/>
    <w:rsid w:val="00893821"/>
    <w:rPr>
      <w:lang w:eastAsia="en-GB"/>
    </w:rPr>
  </w:style>
  <w:style w:type="paragraph" w:customStyle="1" w:styleId="Tableheadingright">
    <w:name w:val="Table heading right"/>
    <w:basedOn w:val="Tableheadingleft"/>
    <w:rsid w:val="00893821"/>
    <w:pPr>
      <w:jc w:val="right"/>
    </w:pPr>
  </w:style>
  <w:style w:type="paragraph" w:customStyle="1" w:styleId="Tablesubtitle">
    <w:name w:val="Table subtitle"/>
    <w:basedOn w:val="Tabletext"/>
    <w:rsid w:val="00893821"/>
    <w:pPr>
      <w:keepNext/>
    </w:pPr>
    <w:rPr>
      <w:b/>
      <w:color w:val="10CF9B" w:themeColor="accent4"/>
      <w:lang w:eastAsia="en-GB"/>
    </w:rPr>
  </w:style>
  <w:style w:type="paragraph" w:styleId="CommentSubject">
    <w:name w:val="annotation subject"/>
    <w:basedOn w:val="CommentText"/>
    <w:next w:val="CommentText"/>
    <w:link w:val="CommentSubjectChar"/>
    <w:rsid w:val="00893821"/>
    <w:rPr>
      <w:b/>
      <w:bCs/>
    </w:rPr>
  </w:style>
  <w:style w:type="character" w:customStyle="1" w:styleId="CommentSubjectChar">
    <w:name w:val="Comment Subject Char"/>
    <w:basedOn w:val="CommentTextChar"/>
    <w:link w:val="CommentSubject"/>
    <w:rsid w:val="00893821"/>
    <w:rPr>
      <w:rFonts w:ascii="Univers 45 Light" w:eastAsia="Times New Roman" w:hAnsi="Univers 45 Light" w:cs="Times New Roman"/>
      <w:b/>
      <w:bCs/>
      <w:sz w:val="20"/>
      <w:szCs w:val="20"/>
      <w:lang w:eastAsia="en-US"/>
    </w:rPr>
  </w:style>
  <w:style w:type="paragraph" w:customStyle="1" w:styleId="Appendixheader">
    <w:name w:val="Appendix header"/>
    <w:basedOn w:val="Normal"/>
    <w:rsid w:val="00893821"/>
    <w:pPr>
      <w:pageBreakBefore/>
      <w:numPr>
        <w:numId w:val="9"/>
      </w:numPr>
      <w:tabs>
        <w:tab w:val="left" w:pos="1985"/>
      </w:tabs>
      <w:spacing w:after="0" w:line="240" w:lineRule="auto"/>
      <w:ind w:left="1985" w:hanging="1985"/>
    </w:pPr>
    <w:rPr>
      <w:rFonts w:ascii="Univers 45 Light" w:eastAsia="Times New Roman" w:hAnsi="Univers 45 Light" w:cs="Times New Roman"/>
      <w:color w:val="10CF9B" w:themeColor="accent4"/>
      <w:sz w:val="28"/>
      <w:szCs w:val="28"/>
      <w:lang w:eastAsia="en-US"/>
    </w:rPr>
  </w:style>
  <w:style w:type="paragraph" w:customStyle="1" w:styleId="Graphic">
    <w:name w:val="Graphic"/>
    <w:basedOn w:val="Normal"/>
    <w:next w:val="Source"/>
    <w:qFormat/>
    <w:rsid w:val="00893821"/>
    <w:pPr>
      <w:spacing w:before="140" w:after="140" w:line="240" w:lineRule="auto"/>
      <w:jc w:val="center"/>
    </w:pPr>
    <w:rPr>
      <w:rFonts w:ascii="Univers 45 Light" w:eastAsia="Times New Roman" w:hAnsi="Univers 45 Light" w:cs="Times New Roman"/>
      <w:noProof/>
      <w:sz w:val="20"/>
      <w:szCs w:val="24"/>
      <w:lang w:eastAsia="en-GB"/>
    </w:rPr>
  </w:style>
  <w:style w:type="paragraph" w:styleId="TOC5">
    <w:name w:val="toc 5"/>
    <w:basedOn w:val="Normal"/>
    <w:next w:val="Normal"/>
    <w:autoRedefine/>
    <w:uiPriority w:val="39"/>
    <w:rsid w:val="00893821"/>
    <w:pPr>
      <w:spacing w:after="0" w:line="240" w:lineRule="auto"/>
      <w:ind w:left="600"/>
    </w:pPr>
    <w:rPr>
      <w:rFonts w:eastAsia="Times New Roman" w:cs="Times New Roman"/>
      <w:sz w:val="20"/>
      <w:szCs w:val="20"/>
      <w:lang w:eastAsia="en-US"/>
    </w:rPr>
  </w:style>
  <w:style w:type="paragraph" w:styleId="TOC6">
    <w:name w:val="toc 6"/>
    <w:basedOn w:val="Normal"/>
    <w:next w:val="Normal"/>
    <w:autoRedefine/>
    <w:uiPriority w:val="39"/>
    <w:rsid w:val="00893821"/>
    <w:pPr>
      <w:spacing w:after="0" w:line="240" w:lineRule="auto"/>
      <w:ind w:left="800"/>
    </w:pPr>
    <w:rPr>
      <w:rFonts w:eastAsia="Times New Roman" w:cs="Times New Roman"/>
      <w:sz w:val="20"/>
      <w:szCs w:val="20"/>
      <w:lang w:eastAsia="en-US"/>
    </w:rPr>
  </w:style>
  <w:style w:type="paragraph" w:styleId="TOC7">
    <w:name w:val="toc 7"/>
    <w:basedOn w:val="Normal"/>
    <w:next w:val="Normal"/>
    <w:autoRedefine/>
    <w:uiPriority w:val="39"/>
    <w:rsid w:val="00893821"/>
    <w:pPr>
      <w:spacing w:after="0" w:line="240" w:lineRule="auto"/>
      <w:ind w:left="1000"/>
    </w:pPr>
    <w:rPr>
      <w:rFonts w:eastAsia="Times New Roman" w:cs="Times New Roman"/>
      <w:sz w:val="20"/>
      <w:szCs w:val="20"/>
      <w:lang w:eastAsia="en-US"/>
    </w:rPr>
  </w:style>
  <w:style w:type="paragraph" w:styleId="TOC8">
    <w:name w:val="toc 8"/>
    <w:basedOn w:val="Normal"/>
    <w:next w:val="Normal"/>
    <w:autoRedefine/>
    <w:uiPriority w:val="39"/>
    <w:rsid w:val="00893821"/>
    <w:pPr>
      <w:spacing w:after="0" w:line="240" w:lineRule="auto"/>
      <w:ind w:left="1200"/>
    </w:pPr>
    <w:rPr>
      <w:rFonts w:eastAsia="Times New Roman" w:cs="Times New Roman"/>
      <w:sz w:val="20"/>
      <w:szCs w:val="20"/>
      <w:lang w:eastAsia="en-US"/>
    </w:rPr>
  </w:style>
  <w:style w:type="paragraph" w:styleId="TOC9">
    <w:name w:val="toc 9"/>
    <w:basedOn w:val="Normal"/>
    <w:next w:val="Normal"/>
    <w:autoRedefine/>
    <w:uiPriority w:val="39"/>
    <w:rsid w:val="00893821"/>
    <w:pPr>
      <w:spacing w:after="0" w:line="240" w:lineRule="auto"/>
      <w:ind w:left="1400"/>
    </w:pPr>
    <w:rPr>
      <w:rFonts w:eastAsia="Times New Roman" w:cs="Times New Roman"/>
      <w:sz w:val="20"/>
      <w:szCs w:val="20"/>
      <w:lang w:eastAsia="en-US"/>
    </w:rPr>
  </w:style>
  <w:style w:type="character" w:styleId="PlaceholderText">
    <w:name w:val="Placeholder Text"/>
    <w:basedOn w:val="DefaultParagraphFont"/>
    <w:uiPriority w:val="99"/>
    <w:semiHidden/>
    <w:rsid w:val="00893821"/>
    <w:rPr>
      <w:color w:val="808080"/>
    </w:rPr>
  </w:style>
  <w:style w:type="paragraph" w:styleId="BodyText">
    <w:name w:val="Body Text"/>
    <w:aliases w:val="cover"/>
    <w:basedOn w:val="Normal"/>
    <w:link w:val="BodyTextChar"/>
    <w:rsid w:val="00893821"/>
    <w:pPr>
      <w:spacing w:after="120" w:line="240" w:lineRule="auto"/>
    </w:pPr>
    <w:rPr>
      <w:rFonts w:ascii="Univers 45 Light" w:eastAsia="Times New Roman" w:hAnsi="Univers 45 Light" w:cs="Times New Roman"/>
      <w:sz w:val="20"/>
      <w:szCs w:val="24"/>
      <w:lang w:eastAsia="en-US"/>
    </w:rPr>
  </w:style>
  <w:style w:type="character" w:customStyle="1" w:styleId="BodyTextChar">
    <w:name w:val="Body Text Char"/>
    <w:aliases w:val="cover Char"/>
    <w:basedOn w:val="DefaultParagraphFont"/>
    <w:link w:val="BodyText"/>
    <w:rsid w:val="00893821"/>
    <w:rPr>
      <w:rFonts w:ascii="Univers 45 Light" w:eastAsia="Times New Roman" w:hAnsi="Univers 45 Light" w:cs="Times New Roman"/>
      <w:sz w:val="20"/>
      <w:szCs w:val="24"/>
      <w:lang w:eastAsia="en-US"/>
    </w:rPr>
  </w:style>
  <w:style w:type="character" w:customStyle="1" w:styleId="Style1">
    <w:name w:val="Style1"/>
    <w:basedOn w:val="DefaultParagraphFont"/>
    <w:uiPriority w:val="1"/>
    <w:rsid w:val="00893821"/>
    <w:rPr>
      <w:rFonts w:ascii="Univers 45 Light" w:hAnsi="Univers 45 Light"/>
      <w:b/>
      <w:color w:val="FFFFFF" w:themeColor="background1"/>
    </w:rPr>
  </w:style>
  <w:style w:type="character" w:customStyle="1" w:styleId="Style2">
    <w:name w:val="Style2"/>
    <w:basedOn w:val="DefaultParagraphFont"/>
    <w:uiPriority w:val="1"/>
    <w:rsid w:val="00893821"/>
    <w:rPr>
      <w:rFonts w:ascii="Univers 45 Light" w:hAnsi="Univers 45 Light"/>
      <w:b/>
      <w:color w:val="FFFFFF" w:themeColor="background1"/>
      <w:sz w:val="60"/>
    </w:rPr>
  </w:style>
  <w:style w:type="character" w:customStyle="1" w:styleId="Style3">
    <w:name w:val="Style3"/>
    <w:basedOn w:val="DefaultParagraphFont"/>
    <w:uiPriority w:val="1"/>
    <w:rsid w:val="00893821"/>
    <w:rPr>
      <w:rFonts w:ascii="Univers 45 Light" w:hAnsi="Univers 45 Light"/>
      <w:b/>
      <w:color w:val="FFFFFF" w:themeColor="background1"/>
      <w:sz w:val="60"/>
    </w:rPr>
  </w:style>
  <w:style w:type="paragraph" w:customStyle="1" w:styleId="BodyText11">
    <w:name w:val="Body Text11"/>
    <w:aliases w:val="b,Letter Body,Memo Body,body,bd,b-heading 1/heading 2,heading1body-heading2body,Body,b14,BD,body1,b-heading,Fax Body,Bod,bo,full cell text,by,body text,Report Body,B,bullets,OpinBody,Proposal Body,memh3o body,memo body,paragraph,block,*Body"/>
    <w:basedOn w:val="Normal"/>
    <w:link w:val="BodytextChar1"/>
    <w:rsid w:val="00893821"/>
    <w:pPr>
      <w:suppressAutoHyphens/>
      <w:spacing w:after="260" w:line="300" w:lineRule="exact"/>
      <w:jc w:val="both"/>
    </w:pPr>
    <w:rPr>
      <w:rFonts w:ascii="Times New Roman" w:eastAsia="Times New Roman" w:hAnsi="Times New Roman" w:cs="Times New Roman"/>
      <w:sz w:val="22"/>
      <w:szCs w:val="20"/>
      <w:lang w:eastAsia="en-US"/>
    </w:rPr>
  </w:style>
  <w:style w:type="paragraph" w:customStyle="1" w:styleId="Bullet1">
    <w:name w:val="Bullet 1"/>
    <w:aliases w:val="b1,Bullet for no #'s,first level bullet,*Body 1"/>
    <w:basedOn w:val="Normal"/>
    <w:rsid w:val="00893821"/>
    <w:pPr>
      <w:numPr>
        <w:numId w:val="10"/>
      </w:numPr>
      <w:suppressAutoHyphens/>
      <w:spacing w:after="260" w:line="280" w:lineRule="atLeast"/>
    </w:pPr>
    <w:rPr>
      <w:rFonts w:ascii="Univers 45 Light" w:eastAsia="Calibri" w:hAnsi="Univers 45 Light" w:cs="Times New Roman"/>
      <w:sz w:val="20"/>
      <w:szCs w:val="20"/>
      <w:lang w:val="en-US" w:eastAsia="en-US"/>
    </w:rPr>
  </w:style>
  <w:style w:type="character" w:customStyle="1" w:styleId="BodytextChar1">
    <w:name w:val="Body text Char1"/>
    <w:aliases w:val="b Char1,Letter Body Char1,Memo Body Char1,body Char1,bd Char1,b-heading 1/heading 2 Char1,heading1body-heading2body Char1,Body Char1,b14 Char1,BD Char1,body1 Char,b-heading Char1,Fax Body Char1,Bod Char1,bo Char1,full cell text Char"/>
    <w:basedOn w:val="DefaultParagraphFont"/>
    <w:link w:val="BodyText11"/>
    <w:rsid w:val="00893821"/>
    <w:rPr>
      <w:rFonts w:ascii="Times New Roman" w:eastAsia="Times New Roman" w:hAnsi="Times New Roman" w:cs="Times New Roman"/>
      <w:szCs w:val="20"/>
      <w:lang w:eastAsia="en-US"/>
    </w:rPr>
  </w:style>
  <w:style w:type="paragraph" w:customStyle="1" w:styleId="BodyProposal">
    <w:name w:val="*Body Proposal"/>
    <w:basedOn w:val="Normal"/>
    <w:link w:val="BodyProposalChar"/>
    <w:rsid w:val="00893821"/>
    <w:pPr>
      <w:spacing w:after="240" w:line="240" w:lineRule="atLeast"/>
      <w:jc w:val="both"/>
    </w:pPr>
    <w:rPr>
      <w:rFonts w:ascii="Times New Roman" w:eastAsia="MS Mincho" w:hAnsi="Times New Roman" w:cs="Times New Roman"/>
      <w:sz w:val="22"/>
      <w:lang w:eastAsia="en-US"/>
    </w:rPr>
  </w:style>
  <w:style w:type="character" w:customStyle="1" w:styleId="BodyProposalChar">
    <w:name w:val="*Body Proposal Char"/>
    <w:basedOn w:val="DefaultParagraphFont"/>
    <w:link w:val="BodyProposal"/>
    <w:rsid w:val="00893821"/>
    <w:rPr>
      <w:rFonts w:ascii="Times New Roman" w:eastAsia="MS Mincho" w:hAnsi="Times New Roman" w:cs="Times New Roman"/>
      <w:lang w:eastAsia="en-US"/>
    </w:rPr>
  </w:style>
  <w:style w:type="table" w:customStyle="1" w:styleId="LightList-Accent11">
    <w:name w:val="Light List - Accent 11"/>
    <w:basedOn w:val="TableNormal"/>
    <w:uiPriority w:val="61"/>
    <w:rsid w:val="00893821"/>
    <w:pPr>
      <w:spacing w:after="0" w:line="240" w:lineRule="auto"/>
    </w:pPr>
    <w:rPr>
      <w:rFonts w:ascii="Times New Roman" w:eastAsia="Times New Roman" w:hAnsi="Times New Roman" w:cs="Times New Roman"/>
      <w:sz w:val="20"/>
      <w:szCs w:val="20"/>
      <w:lang w:val="en-US" w:eastAsia="en-US"/>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paragraph" w:styleId="ListBullet">
    <w:name w:val="List Bullet"/>
    <w:aliases w:val="KPMG List Bullet"/>
    <w:basedOn w:val="Normal"/>
    <w:next w:val="BodyText"/>
    <w:link w:val="ListBulletChar"/>
    <w:rsid w:val="00893821"/>
    <w:pPr>
      <w:spacing w:after="130" w:line="280" w:lineRule="exact"/>
      <w:contextualSpacing/>
    </w:pPr>
    <w:rPr>
      <w:rFonts w:ascii="Univers 45 Light" w:eastAsia="Times New Roman" w:hAnsi="Univers 45 Light" w:cs="Times New Roman"/>
      <w:sz w:val="18"/>
      <w:lang w:eastAsia="en-US"/>
    </w:rPr>
  </w:style>
  <w:style w:type="character" w:customStyle="1" w:styleId="ListBulletChar">
    <w:name w:val="List Bullet Char"/>
    <w:aliases w:val="KPMG List Bullet Char"/>
    <w:basedOn w:val="DefaultParagraphFont"/>
    <w:link w:val="ListBullet"/>
    <w:rsid w:val="00893821"/>
    <w:rPr>
      <w:rFonts w:ascii="Univers 45 Light" w:eastAsia="Times New Roman" w:hAnsi="Univers 45 Light" w:cs="Times New Roman"/>
      <w:sz w:val="18"/>
      <w:lang w:eastAsia="en-US"/>
    </w:rPr>
  </w:style>
  <w:style w:type="paragraph" w:styleId="ListParagraph">
    <w:name w:val="List Paragraph"/>
    <w:basedOn w:val="Normal"/>
    <w:link w:val="ListParagraphChar"/>
    <w:uiPriority w:val="34"/>
    <w:qFormat/>
    <w:rsid w:val="005A3CF1"/>
    <w:pPr>
      <w:ind w:left="720"/>
      <w:contextualSpacing/>
    </w:pPr>
  </w:style>
  <w:style w:type="paragraph" w:customStyle="1" w:styleId="ExhibitNumber">
    <w:name w:val="Exhibit Number"/>
    <w:basedOn w:val="Normal"/>
    <w:next w:val="ExhibitTitle"/>
    <w:rsid w:val="00893821"/>
    <w:pPr>
      <w:keepNext/>
      <w:spacing w:before="120" w:after="0" w:line="240" w:lineRule="auto"/>
      <w:jc w:val="both"/>
    </w:pPr>
    <w:rPr>
      <w:rFonts w:ascii="Arial" w:eastAsia="Times New Roman" w:hAnsi="Arial" w:cs="Arial"/>
      <w:b/>
      <w:bCs/>
      <w:sz w:val="19"/>
      <w:szCs w:val="24"/>
      <w:lang w:val="en-US" w:eastAsia="en-US"/>
    </w:rPr>
  </w:style>
  <w:style w:type="paragraph" w:customStyle="1" w:styleId="ExhibitTitle">
    <w:name w:val="Exhibit Title"/>
    <w:basedOn w:val="ExhibitNumber"/>
    <w:next w:val="Normal"/>
    <w:rsid w:val="00893821"/>
    <w:pPr>
      <w:pBdr>
        <w:bottom w:val="single" w:sz="4" w:space="1" w:color="auto"/>
      </w:pBdr>
      <w:spacing w:before="0" w:after="120"/>
    </w:pPr>
  </w:style>
  <w:style w:type="character" w:customStyle="1" w:styleId="ListParagraphChar">
    <w:name w:val="List Paragraph Char"/>
    <w:link w:val="ListParagraph"/>
    <w:uiPriority w:val="34"/>
    <w:locked/>
    <w:rsid w:val="00893821"/>
  </w:style>
  <w:style w:type="table" w:styleId="MediumList2-Accent1">
    <w:name w:val="Medium List 2 Accent 1"/>
    <w:basedOn w:val="TableNormal"/>
    <w:rsid w:val="00893821"/>
    <w:pPr>
      <w:spacing w:after="0" w:line="240" w:lineRule="auto"/>
    </w:pPr>
    <w:rPr>
      <w:rFonts w:asciiTheme="majorHAnsi" w:eastAsiaTheme="majorEastAsia" w:hAnsiTheme="majorHAnsi" w:cstheme="majorBidi"/>
      <w:color w:val="000000" w:themeColor="text1"/>
      <w:sz w:val="20"/>
      <w:szCs w:val="20"/>
      <w:lang w:eastAsia="en-CA"/>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ppendix5">
    <w:name w:val="Appendix 5"/>
    <w:basedOn w:val="Heading5"/>
    <w:next w:val="BodyText"/>
    <w:uiPriority w:val="99"/>
    <w:rsid w:val="00893821"/>
    <w:pPr>
      <w:keepNext/>
      <w:spacing w:before="240" w:after="240" w:line="240" w:lineRule="auto"/>
    </w:pPr>
    <w:rPr>
      <w:rFonts w:ascii="Times New Roman" w:eastAsia="Times New Roman" w:hAnsi="Times New Roman" w:cs="Times New Roman"/>
      <w:bCs w:val="0"/>
      <w:color w:val="000000"/>
      <w:kern w:val="24"/>
      <w:szCs w:val="20"/>
      <w:lang w:eastAsia="en-US"/>
    </w:rPr>
  </w:style>
  <w:style w:type="paragraph" w:customStyle="1" w:styleId="font15">
    <w:name w:val="font15"/>
    <w:basedOn w:val="Normal"/>
    <w:rsid w:val="00893821"/>
    <w:pPr>
      <w:spacing w:before="100" w:beforeAutospacing="1" w:after="100" w:afterAutospacing="1" w:line="240" w:lineRule="auto"/>
    </w:pPr>
    <w:rPr>
      <w:rFonts w:ascii="Univers 45 Light" w:eastAsia="Times New Roman" w:hAnsi="Univers 45 Light" w:cs="Times New Roman"/>
      <w:sz w:val="16"/>
      <w:szCs w:val="16"/>
      <w:lang w:val="en-US" w:eastAsia="en-US"/>
    </w:rPr>
  </w:style>
  <w:style w:type="paragraph" w:customStyle="1" w:styleId="Bullet10">
    <w:name w:val="*Bullet 1"/>
    <w:basedOn w:val="Normal"/>
    <w:uiPriority w:val="99"/>
    <w:rsid w:val="00893821"/>
    <w:pPr>
      <w:numPr>
        <w:numId w:val="11"/>
      </w:numPr>
      <w:tabs>
        <w:tab w:val="left" w:pos="360"/>
      </w:tabs>
      <w:spacing w:after="120" w:line="240" w:lineRule="atLeast"/>
      <w:jc w:val="both"/>
    </w:pPr>
    <w:rPr>
      <w:rFonts w:ascii="Univers 45 Light" w:eastAsia="Calibri" w:hAnsi="Univers 45 Light" w:cs="Times New Roman"/>
      <w:color w:val="000000"/>
      <w:sz w:val="19"/>
      <w:szCs w:val="19"/>
      <w:lang w:eastAsia="en-US"/>
    </w:rPr>
  </w:style>
  <w:style w:type="paragraph" w:customStyle="1" w:styleId="Level1">
    <w:name w:val="Level 1"/>
    <w:basedOn w:val="Normal"/>
    <w:uiPriority w:val="99"/>
    <w:rsid w:val="00893821"/>
    <w:pPr>
      <w:widowControl w:val="0"/>
      <w:autoSpaceDE w:val="0"/>
      <w:autoSpaceDN w:val="0"/>
      <w:adjustRightInd w:val="0"/>
      <w:spacing w:after="0" w:line="240" w:lineRule="auto"/>
      <w:ind w:left="1140" w:hanging="630"/>
    </w:pPr>
    <w:rPr>
      <w:rFonts w:ascii="Times New Roman" w:eastAsia="Times New Roman" w:hAnsi="Times New Roman" w:cs="Times New Roman"/>
      <w:sz w:val="20"/>
      <w:szCs w:val="24"/>
      <w:lang w:val="en-US" w:eastAsia="en-US"/>
    </w:rPr>
  </w:style>
  <w:style w:type="character" w:customStyle="1" w:styleId="HeaderChar1">
    <w:name w:val="Header Char1"/>
    <w:aliases w:val="Header1 Char,Header11 Char,Header12 Char,Header13 Char,Header111 Char,Header121 Char"/>
    <w:uiPriority w:val="99"/>
    <w:locked/>
    <w:rsid w:val="00893821"/>
    <w:rPr>
      <w:rFonts w:ascii="Times New Roman" w:eastAsia="Times New Roman" w:hAnsi="Times New Roman" w:cs="Times New Roman"/>
      <w:sz w:val="24"/>
      <w:szCs w:val="24"/>
      <w:lang w:val="en-US"/>
    </w:rPr>
  </w:style>
  <w:style w:type="character" w:styleId="PageNumber">
    <w:name w:val="page number"/>
    <w:uiPriority w:val="99"/>
    <w:rsid w:val="00893821"/>
    <w:rPr>
      <w:rFonts w:cs="Times New Roman"/>
    </w:rPr>
  </w:style>
  <w:style w:type="paragraph" w:styleId="BodyTextIndent">
    <w:name w:val="Body Text Indent"/>
    <w:basedOn w:val="Normal"/>
    <w:link w:val="BodyTextIndentChar"/>
    <w:uiPriority w:val="99"/>
    <w:rsid w:val="00893821"/>
    <w:pPr>
      <w:widowControl w:val="0"/>
      <w:tabs>
        <w:tab w:val="left" w:pos="-1440"/>
        <w:tab w:val="left" w:pos="-720"/>
        <w:tab w:val="left" w:pos="0"/>
        <w:tab w:val="left" w:pos="510"/>
        <w:tab w:val="left" w:pos="1140"/>
        <w:tab w:val="left" w:pos="2160"/>
      </w:tabs>
      <w:autoSpaceDE w:val="0"/>
      <w:autoSpaceDN w:val="0"/>
      <w:adjustRightInd w:val="0"/>
      <w:spacing w:after="0" w:line="240" w:lineRule="auto"/>
      <w:ind w:left="1140"/>
      <w:jc w:val="both"/>
    </w:pPr>
    <w:rPr>
      <w:rFonts w:ascii="Arial" w:eastAsia="Times New Roman" w:hAnsi="Arial" w:cs="Times New Roman"/>
      <w:color w:val="000000"/>
      <w:sz w:val="22"/>
      <w:lang w:eastAsia="en-US"/>
    </w:rPr>
  </w:style>
  <w:style w:type="character" w:customStyle="1" w:styleId="BodyTextIndentChar">
    <w:name w:val="Body Text Indent Char"/>
    <w:basedOn w:val="DefaultParagraphFont"/>
    <w:link w:val="BodyTextIndent"/>
    <w:uiPriority w:val="99"/>
    <w:rsid w:val="00893821"/>
    <w:rPr>
      <w:rFonts w:ascii="Arial" w:eastAsia="Times New Roman" w:hAnsi="Arial" w:cs="Times New Roman"/>
      <w:color w:val="000000"/>
      <w:lang w:eastAsia="en-US"/>
    </w:rPr>
  </w:style>
  <w:style w:type="paragraph" w:styleId="BodyTextIndent2">
    <w:name w:val="Body Text Indent 2"/>
    <w:basedOn w:val="Normal"/>
    <w:link w:val="BodyTextIndent2Char"/>
    <w:uiPriority w:val="99"/>
    <w:rsid w:val="00893821"/>
    <w:pPr>
      <w:widowControl w:val="0"/>
      <w:tabs>
        <w:tab w:val="left" w:pos="-1440"/>
        <w:tab w:val="left" w:pos="-720"/>
        <w:tab w:val="left" w:pos="0"/>
        <w:tab w:val="left" w:pos="510"/>
        <w:tab w:val="left" w:pos="1140"/>
        <w:tab w:val="left" w:pos="2160"/>
      </w:tabs>
      <w:autoSpaceDE w:val="0"/>
      <w:autoSpaceDN w:val="0"/>
      <w:adjustRightInd w:val="0"/>
      <w:spacing w:after="0" w:line="240" w:lineRule="auto"/>
      <w:ind w:left="1140"/>
      <w:jc w:val="both"/>
    </w:pPr>
    <w:rPr>
      <w:rFonts w:ascii="Arial" w:eastAsia="Times New Roman" w:hAnsi="Arial" w:cs="Times New Roman"/>
      <w:szCs w:val="24"/>
      <w:lang w:val="en-US" w:eastAsia="en-US"/>
    </w:rPr>
  </w:style>
  <w:style w:type="character" w:customStyle="1" w:styleId="BodyTextIndent2Char">
    <w:name w:val="Body Text Indent 2 Char"/>
    <w:basedOn w:val="DefaultParagraphFont"/>
    <w:link w:val="BodyTextIndent2"/>
    <w:uiPriority w:val="99"/>
    <w:rsid w:val="00893821"/>
    <w:rPr>
      <w:rFonts w:ascii="Arial" w:eastAsia="Times New Roman" w:hAnsi="Arial" w:cs="Times New Roman"/>
      <w:sz w:val="24"/>
      <w:szCs w:val="24"/>
      <w:lang w:val="en-US" w:eastAsia="en-US"/>
    </w:rPr>
  </w:style>
  <w:style w:type="paragraph" w:styleId="BodyTextIndent3">
    <w:name w:val="Body Text Indent 3"/>
    <w:basedOn w:val="Normal"/>
    <w:link w:val="BodyTextIndent3Char"/>
    <w:uiPriority w:val="99"/>
    <w:rsid w:val="00893821"/>
    <w:pPr>
      <w:widowControl w:val="0"/>
      <w:tabs>
        <w:tab w:val="left" w:pos="-1440"/>
        <w:tab w:val="left" w:pos="-720"/>
        <w:tab w:val="left" w:pos="510"/>
        <w:tab w:val="left" w:pos="1140"/>
        <w:tab w:val="left" w:pos="1170"/>
      </w:tabs>
      <w:autoSpaceDE w:val="0"/>
      <w:autoSpaceDN w:val="0"/>
      <w:adjustRightInd w:val="0"/>
      <w:spacing w:after="0" w:line="240" w:lineRule="auto"/>
      <w:ind w:left="1170"/>
      <w:jc w:val="both"/>
    </w:pPr>
    <w:rPr>
      <w:rFonts w:ascii="Arial" w:eastAsia="Times New Roman" w:hAnsi="Arial" w:cs="Times New Roman"/>
      <w:color w:val="000000"/>
      <w:sz w:val="22"/>
      <w:lang w:eastAsia="en-US"/>
    </w:rPr>
  </w:style>
  <w:style w:type="character" w:customStyle="1" w:styleId="BodyTextIndent3Char">
    <w:name w:val="Body Text Indent 3 Char"/>
    <w:basedOn w:val="DefaultParagraphFont"/>
    <w:link w:val="BodyTextIndent3"/>
    <w:uiPriority w:val="99"/>
    <w:rsid w:val="00893821"/>
    <w:rPr>
      <w:rFonts w:ascii="Arial" w:eastAsia="Times New Roman" w:hAnsi="Arial" w:cs="Times New Roman"/>
      <w:color w:val="000000"/>
      <w:lang w:eastAsia="en-US"/>
    </w:rPr>
  </w:style>
  <w:style w:type="paragraph" w:styleId="BodyText2">
    <w:name w:val="Body Text 2"/>
    <w:basedOn w:val="Normal"/>
    <w:link w:val="BodyText2Char"/>
    <w:uiPriority w:val="99"/>
    <w:rsid w:val="00893821"/>
    <w:pPr>
      <w:widowControl w:val="0"/>
      <w:tabs>
        <w:tab w:val="left" w:pos="-1440"/>
        <w:tab w:val="left" w:pos="-720"/>
        <w:tab w:val="left" w:pos="0"/>
        <w:tab w:val="left" w:pos="510"/>
        <w:tab w:val="left" w:pos="1140"/>
        <w:tab w:val="left" w:pos="2160"/>
      </w:tabs>
      <w:autoSpaceDE w:val="0"/>
      <w:autoSpaceDN w:val="0"/>
      <w:adjustRightInd w:val="0"/>
      <w:spacing w:after="0" w:line="240" w:lineRule="auto"/>
      <w:jc w:val="both"/>
    </w:pPr>
    <w:rPr>
      <w:rFonts w:ascii="Arial" w:eastAsia="Times New Roman" w:hAnsi="Arial" w:cs="Arial"/>
      <w:color w:val="000000"/>
      <w:sz w:val="22"/>
      <w:lang w:eastAsia="en-US"/>
    </w:rPr>
  </w:style>
  <w:style w:type="character" w:customStyle="1" w:styleId="BodyText2Char">
    <w:name w:val="Body Text 2 Char"/>
    <w:basedOn w:val="DefaultParagraphFont"/>
    <w:link w:val="BodyText2"/>
    <w:uiPriority w:val="99"/>
    <w:rsid w:val="00893821"/>
    <w:rPr>
      <w:rFonts w:ascii="Arial" w:eastAsia="Times New Roman" w:hAnsi="Arial" w:cs="Arial"/>
      <w:color w:val="000000"/>
      <w:lang w:eastAsia="en-US"/>
    </w:rPr>
  </w:style>
  <w:style w:type="paragraph" w:styleId="BodyText3">
    <w:name w:val="Body Text 3"/>
    <w:basedOn w:val="Normal"/>
    <w:link w:val="BodyText3Char"/>
    <w:uiPriority w:val="99"/>
    <w:rsid w:val="00893821"/>
    <w:pPr>
      <w:widowControl w:val="0"/>
      <w:tabs>
        <w:tab w:val="left" w:pos="-1440"/>
        <w:tab w:val="left" w:pos="-720"/>
        <w:tab w:val="left" w:pos="0"/>
        <w:tab w:val="left" w:pos="240"/>
        <w:tab w:val="left" w:pos="1440"/>
      </w:tabs>
      <w:autoSpaceDE w:val="0"/>
      <w:autoSpaceDN w:val="0"/>
      <w:adjustRightInd w:val="0"/>
      <w:spacing w:after="0" w:line="240" w:lineRule="auto"/>
    </w:pPr>
    <w:rPr>
      <w:rFonts w:ascii="Arial" w:eastAsia="Times New Roman" w:hAnsi="Arial" w:cs="Times New Roman"/>
      <w:sz w:val="22"/>
      <w:lang w:eastAsia="en-US"/>
    </w:rPr>
  </w:style>
  <w:style w:type="character" w:customStyle="1" w:styleId="BodyText3Char">
    <w:name w:val="Body Text 3 Char"/>
    <w:basedOn w:val="DefaultParagraphFont"/>
    <w:link w:val="BodyText3"/>
    <w:uiPriority w:val="99"/>
    <w:rsid w:val="00893821"/>
    <w:rPr>
      <w:rFonts w:ascii="Arial" w:eastAsia="Times New Roman" w:hAnsi="Arial" w:cs="Times New Roman"/>
      <w:lang w:eastAsia="en-US"/>
    </w:rPr>
  </w:style>
  <w:style w:type="paragraph" w:styleId="BlockText">
    <w:name w:val="Block Text"/>
    <w:basedOn w:val="Normal"/>
    <w:uiPriority w:val="99"/>
    <w:rsid w:val="00893821"/>
    <w:pPr>
      <w:widowControl w:val="0"/>
      <w:autoSpaceDE w:val="0"/>
      <w:autoSpaceDN w:val="0"/>
      <w:adjustRightInd w:val="0"/>
      <w:spacing w:after="0" w:line="240" w:lineRule="auto"/>
      <w:ind w:left="720" w:right="756"/>
    </w:pPr>
    <w:rPr>
      <w:rFonts w:ascii="Arial" w:eastAsia="Times New Roman" w:hAnsi="Arial" w:cs="Times New Roman"/>
      <w:i/>
      <w:sz w:val="22"/>
      <w:szCs w:val="20"/>
      <w:lang w:val="en-US" w:eastAsia="en-US"/>
    </w:rPr>
  </w:style>
  <w:style w:type="character" w:styleId="FollowedHyperlink">
    <w:name w:val="FollowedHyperlink"/>
    <w:rsid w:val="00893821"/>
    <w:rPr>
      <w:rFonts w:cs="Times New Roman"/>
      <w:color w:val="800080"/>
      <w:u w:val="single"/>
    </w:rPr>
  </w:style>
  <w:style w:type="paragraph" w:styleId="HTMLPreformatted">
    <w:name w:val="HTML Preformatted"/>
    <w:basedOn w:val="Normal"/>
    <w:link w:val="HTMLPreformattedChar"/>
    <w:uiPriority w:val="99"/>
    <w:rsid w:val="00893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893821"/>
    <w:rPr>
      <w:rFonts w:ascii="Courier New" w:eastAsia="Times New Roman" w:hAnsi="Courier New" w:cs="Times New Roman"/>
      <w:sz w:val="20"/>
      <w:szCs w:val="20"/>
      <w:lang w:eastAsia="en-US"/>
    </w:rPr>
  </w:style>
  <w:style w:type="paragraph" w:customStyle="1" w:styleId="ThirdBullet">
    <w:name w:val="Third Bullet"/>
    <w:basedOn w:val="Normal"/>
    <w:uiPriority w:val="99"/>
    <w:rsid w:val="00893821"/>
    <w:pPr>
      <w:numPr>
        <w:numId w:val="13"/>
      </w:numPr>
      <w:spacing w:after="0" w:line="240" w:lineRule="auto"/>
    </w:pPr>
    <w:rPr>
      <w:rFonts w:ascii="Times New Roman" w:eastAsia="Times New Roman" w:hAnsi="Times New Roman" w:cs="Times New Roman"/>
      <w:szCs w:val="20"/>
      <w:lang w:eastAsia="en-US"/>
    </w:rPr>
  </w:style>
  <w:style w:type="paragraph" w:customStyle="1" w:styleId="a">
    <w:name w:val="_"/>
    <w:uiPriority w:val="99"/>
    <w:rsid w:val="00893821"/>
    <w:pPr>
      <w:autoSpaceDE w:val="0"/>
      <w:autoSpaceDN w:val="0"/>
      <w:adjustRightInd w:val="0"/>
      <w:spacing w:after="0" w:line="240" w:lineRule="auto"/>
      <w:ind w:left="-1440"/>
    </w:pPr>
    <w:rPr>
      <w:rFonts w:ascii="Arial" w:eastAsia="Times New Roman" w:hAnsi="Arial" w:cs="Times New Roman"/>
      <w:sz w:val="20"/>
      <w:szCs w:val="24"/>
      <w:lang w:val="en-US" w:eastAsia="en-US"/>
    </w:rPr>
  </w:style>
  <w:style w:type="paragraph" w:styleId="DocumentMap">
    <w:name w:val="Document Map"/>
    <w:basedOn w:val="Normal"/>
    <w:link w:val="DocumentMapChar"/>
    <w:uiPriority w:val="99"/>
    <w:semiHidden/>
    <w:rsid w:val="00893821"/>
    <w:pPr>
      <w:widowControl w:val="0"/>
      <w:shd w:val="clear" w:color="auto" w:fill="000080"/>
      <w:autoSpaceDE w:val="0"/>
      <w:autoSpaceDN w:val="0"/>
      <w:adjustRightInd w:val="0"/>
      <w:spacing w:after="0" w:line="240" w:lineRule="auto"/>
    </w:pPr>
    <w:rPr>
      <w:rFonts w:ascii="Tahoma" w:eastAsia="Times New Roman" w:hAnsi="Tahoma" w:cs="Times New Roman"/>
      <w:szCs w:val="24"/>
      <w:lang w:val="en-US" w:eastAsia="en-US"/>
    </w:rPr>
  </w:style>
  <w:style w:type="character" w:customStyle="1" w:styleId="DocumentMapChar">
    <w:name w:val="Document Map Char"/>
    <w:basedOn w:val="DefaultParagraphFont"/>
    <w:link w:val="DocumentMap"/>
    <w:uiPriority w:val="99"/>
    <w:semiHidden/>
    <w:rsid w:val="00893821"/>
    <w:rPr>
      <w:rFonts w:ascii="Tahoma" w:eastAsia="Times New Roman" w:hAnsi="Tahoma" w:cs="Times New Roman"/>
      <w:sz w:val="24"/>
      <w:szCs w:val="24"/>
      <w:shd w:val="clear" w:color="auto" w:fill="000080"/>
      <w:lang w:val="en-US" w:eastAsia="en-US"/>
    </w:rPr>
  </w:style>
  <w:style w:type="paragraph" w:customStyle="1" w:styleId="a0">
    <w:name w:val=""/>
    <w:uiPriority w:val="99"/>
    <w:rsid w:val="00893821"/>
    <w:pPr>
      <w:autoSpaceDE w:val="0"/>
      <w:autoSpaceDN w:val="0"/>
      <w:adjustRightInd w:val="0"/>
      <w:spacing w:after="0" w:line="240" w:lineRule="auto"/>
      <w:ind w:left="1440"/>
    </w:pPr>
    <w:rPr>
      <w:rFonts w:ascii="Arial" w:eastAsia="Times New Roman" w:hAnsi="Arial" w:cs="Times New Roman"/>
      <w:sz w:val="20"/>
      <w:szCs w:val="24"/>
      <w:lang w:val="en-US" w:eastAsia="en-US"/>
    </w:rPr>
  </w:style>
  <w:style w:type="paragraph" w:customStyle="1" w:styleId="a1">
    <w:name w:val=""/>
    <w:uiPriority w:val="99"/>
    <w:rsid w:val="00893821"/>
    <w:pPr>
      <w:autoSpaceDE w:val="0"/>
      <w:autoSpaceDN w:val="0"/>
      <w:adjustRightInd w:val="0"/>
      <w:spacing w:after="0" w:line="240" w:lineRule="auto"/>
      <w:ind w:left="1440"/>
    </w:pPr>
    <w:rPr>
      <w:rFonts w:ascii="Arial" w:eastAsia="Times New Roman" w:hAnsi="Arial" w:cs="Times New Roman"/>
      <w:sz w:val="20"/>
      <w:szCs w:val="24"/>
      <w:lang w:val="en-US" w:eastAsia="en-US"/>
    </w:rPr>
  </w:style>
  <w:style w:type="paragraph" w:styleId="List">
    <w:name w:val="List"/>
    <w:basedOn w:val="Normal"/>
    <w:uiPriority w:val="99"/>
    <w:rsid w:val="00893821"/>
    <w:pPr>
      <w:autoSpaceDE w:val="0"/>
      <w:autoSpaceDN w:val="0"/>
      <w:spacing w:after="0" w:line="240" w:lineRule="auto"/>
      <w:ind w:left="360" w:hanging="360"/>
    </w:pPr>
    <w:rPr>
      <w:rFonts w:ascii="Times New Roman" w:eastAsia="Times New Roman" w:hAnsi="Times New Roman" w:cs="Times New Roman"/>
      <w:sz w:val="20"/>
      <w:szCs w:val="20"/>
      <w:lang w:val="en-US" w:eastAsia="en-US"/>
    </w:rPr>
  </w:style>
  <w:style w:type="paragraph" w:customStyle="1" w:styleId="BulletIndent1">
    <w:name w:val="Bullet Indent +1"/>
    <w:basedOn w:val="Normal"/>
    <w:uiPriority w:val="99"/>
    <w:rsid w:val="00893821"/>
    <w:pPr>
      <w:numPr>
        <w:numId w:val="12"/>
      </w:numPr>
      <w:spacing w:after="60" w:line="240" w:lineRule="auto"/>
      <w:ind w:left="2160"/>
    </w:pPr>
    <w:rPr>
      <w:rFonts w:ascii="Times New Roman" w:eastAsia="Times New Roman" w:hAnsi="Times New Roman" w:cs="Times New Roman"/>
      <w:noProof/>
      <w:szCs w:val="20"/>
      <w:lang w:eastAsia="en-US"/>
    </w:rPr>
  </w:style>
  <w:style w:type="paragraph" w:customStyle="1" w:styleId="Quicka">
    <w:name w:val="Quick a."/>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val="en-US" w:eastAsia="en-US"/>
    </w:rPr>
  </w:style>
  <w:style w:type="paragraph" w:customStyle="1" w:styleId="Quick1">
    <w:name w:val="Quick 1."/>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val="en-US" w:eastAsia="en-US"/>
    </w:rPr>
  </w:style>
  <w:style w:type="paragraph" w:customStyle="1" w:styleId="1">
    <w:name w:val="_1"/>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val="en-US" w:eastAsia="en-US"/>
    </w:rPr>
  </w:style>
  <w:style w:type="paragraph" w:customStyle="1" w:styleId="SecondBullet">
    <w:name w:val="Second Bullet"/>
    <w:basedOn w:val="Normal"/>
    <w:uiPriority w:val="99"/>
    <w:rsid w:val="00893821"/>
    <w:pPr>
      <w:numPr>
        <w:numId w:val="14"/>
      </w:numPr>
      <w:spacing w:before="100" w:after="0" w:line="240" w:lineRule="auto"/>
      <w:jc w:val="both"/>
    </w:pPr>
    <w:rPr>
      <w:rFonts w:ascii="Arial" w:eastAsia="Times New Roman" w:hAnsi="Arial" w:cs="Times New Roman"/>
      <w:sz w:val="22"/>
      <w:lang w:eastAsia="en-US"/>
    </w:rPr>
  </w:style>
  <w:style w:type="paragraph" w:customStyle="1" w:styleId="FirstBullet">
    <w:name w:val="First Bullet"/>
    <w:basedOn w:val="Normal"/>
    <w:rsid w:val="00893821"/>
    <w:pPr>
      <w:numPr>
        <w:numId w:val="15"/>
      </w:numPr>
      <w:spacing w:before="140" w:after="0" w:line="240" w:lineRule="auto"/>
      <w:jc w:val="both"/>
    </w:pPr>
    <w:rPr>
      <w:rFonts w:ascii="Arial" w:eastAsia="Times New Roman" w:hAnsi="Arial" w:cs="Times New Roman"/>
      <w:sz w:val="22"/>
      <w:lang w:eastAsia="en-US"/>
    </w:rPr>
  </w:style>
  <w:style w:type="paragraph" w:customStyle="1" w:styleId="GPICBody">
    <w:name w:val="GPIC Body"/>
    <w:basedOn w:val="Normal"/>
    <w:uiPriority w:val="99"/>
    <w:rsid w:val="00893821"/>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n-US"/>
    </w:rPr>
  </w:style>
  <w:style w:type="paragraph" w:customStyle="1" w:styleId="Level2">
    <w:name w:val="Level 2"/>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eastAsia="en-US"/>
    </w:rPr>
  </w:style>
  <w:style w:type="paragraph" w:customStyle="1" w:styleId="a2">
    <w:name w:val="!"/>
    <w:uiPriority w:val="99"/>
    <w:rsid w:val="00893821"/>
    <w:pPr>
      <w:autoSpaceDE w:val="0"/>
      <w:autoSpaceDN w:val="0"/>
      <w:adjustRightInd w:val="0"/>
      <w:spacing w:after="0" w:line="240" w:lineRule="auto"/>
    </w:pPr>
    <w:rPr>
      <w:rFonts w:ascii="Arial" w:eastAsia="Times New Roman" w:hAnsi="Arial" w:cs="Times New Roman"/>
      <w:sz w:val="20"/>
      <w:szCs w:val="24"/>
      <w:lang w:val="en-US" w:eastAsia="en-US"/>
    </w:rPr>
  </w:style>
  <w:style w:type="paragraph" w:styleId="PlainText">
    <w:name w:val="Plain Text"/>
    <w:basedOn w:val="Normal"/>
    <w:link w:val="PlainTextChar"/>
    <w:uiPriority w:val="99"/>
    <w:rsid w:val="00893821"/>
    <w:pPr>
      <w:spacing w:after="0" w:line="240" w:lineRule="auto"/>
    </w:pPr>
    <w:rPr>
      <w:rFonts w:ascii="Courier" w:eastAsia="Times New Roman" w:hAnsi="Courier" w:cs="Times New Roman"/>
      <w:szCs w:val="20"/>
      <w:lang w:eastAsia="en-US"/>
    </w:rPr>
  </w:style>
  <w:style w:type="character" w:customStyle="1" w:styleId="PlainTextChar">
    <w:name w:val="Plain Text Char"/>
    <w:basedOn w:val="DefaultParagraphFont"/>
    <w:link w:val="PlainText"/>
    <w:uiPriority w:val="99"/>
    <w:rsid w:val="00893821"/>
    <w:rPr>
      <w:rFonts w:ascii="Courier" w:eastAsia="Times New Roman" w:hAnsi="Courier" w:cs="Times New Roman"/>
      <w:sz w:val="24"/>
      <w:szCs w:val="20"/>
      <w:lang w:eastAsia="en-US"/>
    </w:rPr>
  </w:style>
  <w:style w:type="character" w:styleId="Strong">
    <w:name w:val="Strong"/>
    <w:uiPriority w:val="22"/>
    <w:qFormat/>
    <w:rsid w:val="005A3CF1"/>
    <w:rPr>
      <w:b/>
      <w:bCs/>
    </w:rPr>
  </w:style>
  <w:style w:type="paragraph" w:styleId="NormalWeb">
    <w:name w:val="Normal (Web)"/>
    <w:basedOn w:val="Normal"/>
    <w:uiPriority w:val="99"/>
    <w:rsid w:val="00893821"/>
    <w:pPr>
      <w:spacing w:before="100" w:beforeAutospacing="1" w:after="100" w:afterAutospacing="1" w:line="240" w:lineRule="auto"/>
    </w:pPr>
    <w:rPr>
      <w:rFonts w:ascii="Arial Unicode MS" w:eastAsia="Arial Unicode MS" w:hAnsi="Arial Unicode MS" w:cs="Arial Unicode MS"/>
      <w:szCs w:val="24"/>
      <w:lang w:val="en-US" w:eastAsia="en-US"/>
    </w:rPr>
  </w:style>
  <w:style w:type="character" w:styleId="Emphasis">
    <w:name w:val="Emphasis"/>
    <w:uiPriority w:val="20"/>
    <w:qFormat/>
    <w:rsid w:val="005A3CF1"/>
    <w:rPr>
      <w:b/>
      <w:bCs/>
      <w:i/>
      <w:iCs/>
      <w:spacing w:val="10"/>
      <w:bdr w:val="none" w:sz="0" w:space="0" w:color="auto"/>
      <w:shd w:val="clear" w:color="auto" w:fill="auto"/>
    </w:rPr>
  </w:style>
  <w:style w:type="paragraph" w:customStyle="1" w:styleId="bullet0">
    <w:name w:val="bullet"/>
    <w:basedOn w:val="Normal"/>
    <w:uiPriority w:val="99"/>
    <w:rsid w:val="00893821"/>
    <w:pPr>
      <w:tabs>
        <w:tab w:val="num" w:pos="720"/>
      </w:tabs>
      <w:spacing w:after="0" w:line="240" w:lineRule="auto"/>
      <w:ind w:left="720" w:hanging="360"/>
    </w:pPr>
    <w:rPr>
      <w:rFonts w:ascii="Times New Roman" w:eastAsia="Times New Roman" w:hAnsi="Times New Roman" w:cs="Times New Roman"/>
      <w:szCs w:val="20"/>
      <w:lang w:eastAsia="en-US"/>
    </w:rPr>
  </w:style>
  <w:style w:type="paragraph" w:customStyle="1" w:styleId="bulletindent">
    <w:name w:val="bullet indent"/>
    <w:basedOn w:val="Normal"/>
    <w:uiPriority w:val="99"/>
    <w:rsid w:val="00893821"/>
    <w:pPr>
      <w:tabs>
        <w:tab w:val="num" w:pos="576"/>
      </w:tabs>
      <w:spacing w:after="0" w:line="240" w:lineRule="auto"/>
      <w:ind w:left="576" w:hanging="216"/>
    </w:pPr>
    <w:rPr>
      <w:rFonts w:ascii="Times New Roman" w:eastAsia="Times New Roman" w:hAnsi="Times New Roman" w:cs="Times New Roman"/>
      <w:szCs w:val="20"/>
      <w:lang w:eastAsia="en-US"/>
    </w:rPr>
  </w:style>
  <w:style w:type="paragraph" w:customStyle="1" w:styleId="number">
    <w:name w:val="number"/>
    <w:basedOn w:val="Normal"/>
    <w:uiPriority w:val="99"/>
    <w:rsid w:val="00893821"/>
    <w:pPr>
      <w:tabs>
        <w:tab w:val="num" w:pos="360"/>
      </w:tabs>
      <w:spacing w:after="0" w:line="240" w:lineRule="auto"/>
      <w:ind w:left="360" w:hanging="360"/>
    </w:pPr>
    <w:rPr>
      <w:rFonts w:ascii="Times New Roman" w:eastAsia="Times New Roman" w:hAnsi="Times New Roman" w:cs="Times New Roman"/>
      <w:szCs w:val="20"/>
      <w:lang w:eastAsia="en-US"/>
    </w:rPr>
  </w:style>
  <w:style w:type="paragraph" w:customStyle="1" w:styleId="BulletIndent2">
    <w:name w:val="Bullet Indent +2"/>
    <w:basedOn w:val="NormalIndent2"/>
    <w:uiPriority w:val="99"/>
    <w:rsid w:val="00893821"/>
  </w:style>
  <w:style w:type="paragraph" w:customStyle="1" w:styleId="NormalIndent2">
    <w:name w:val="Normal Indent +2"/>
    <w:basedOn w:val="Normal"/>
    <w:autoRedefine/>
    <w:uiPriority w:val="99"/>
    <w:rsid w:val="00893821"/>
    <w:pPr>
      <w:spacing w:after="0" w:line="240" w:lineRule="auto"/>
      <w:ind w:left="720"/>
    </w:pPr>
    <w:rPr>
      <w:rFonts w:ascii="Times New Roman" w:eastAsia="Times New Roman" w:hAnsi="Times New Roman" w:cs="Times New Roman"/>
      <w:bCs/>
      <w:szCs w:val="20"/>
      <w:lang w:val="en-US" w:eastAsia="en-US"/>
    </w:rPr>
  </w:style>
  <w:style w:type="paragraph" w:customStyle="1" w:styleId="BulletIndent3">
    <w:name w:val="Bullet Indent +3"/>
    <w:autoRedefine/>
    <w:uiPriority w:val="99"/>
    <w:rsid w:val="00893821"/>
    <w:pPr>
      <w:tabs>
        <w:tab w:val="num" w:pos="1440"/>
      </w:tabs>
      <w:spacing w:before="120" w:after="0" w:line="240" w:lineRule="auto"/>
      <w:ind w:left="1440" w:hanging="720"/>
    </w:pPr>
    <w:rPr>
      <w:rFonts w:ascii="Times New Roman" w:eastAsia="Times New Roman" w:hAnsi="Times New Roman" w:cs="Times New Roman"/>
      <w:noProof/>
      <w:sz w:val="24"/>
      <w:szCs w:val="20"/>
      <w:lang w:val="en-US" w:eastAsia="en-US"/>
    </w:rPr>
  </w:style>
  <w:style w:type="character" w:styleId="HTMLAcronym">
    <w:name w:val="HTML Acronym"/>
    <w:uiPriority w:val="99"/>
    <w:rsid w:val="00893821"/>
    <w:rPr>
      <w:rFonts w:cs="Times New Roman"/>
      <w:color w:val="666666"/>
    </w:rPr>
  </w:style>
  <w:style w:type="character" w:customStyle="1" w:styleId="CharChar">
    <w:name w:val="Char Char"/>
    <w:uiPriority w:val="99"/>
    <w:rsid w:val="00893821"/>
    <w:rPr>
      <w:rFonts w:ascii="Arial" w:hAnsi="Arial"/>
      <w:color w:val="000000"/>
      <w:sz w:val="22"/>
      <w:lang w:val="en-GB" w:eastAsia="en-US"/>
    </w:rPr>
  </w:style>
  <w:style w:type="paragraph" w:customStyle="1" w:styleId="1AutoList1">
    <w:name w:val="1AutoList1"/>
    <w:uiPriority w:val="99"/>
    <w:rsid w:val="0089382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eastAsia="en-US"/>
    </w:rPr>
  </w:style>
  <w:style w:type="paragraph" w:customStyle="1" w:styleId="BodyText22">
    <w:name w:val="Body Text 22"/>
    <w:basedOn w:val="Normal"/>
    <w:uiPriority w:val="99"/>
    <w:rsid w:val="00893821"/>
    <w:pPr>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fr-CA" w:eastAsia="en-CA"/>
    </w:rPr>
  </w:style>
  <w:style w:type="character" w:customStyle="1" w:styleId="title1">
    <w:name w:val="title1"/>
    <w:uiPriority w:val="99"/>
    <w:rsid w:val="00893821"/>
    <w:rPr>
      <w:rFonts w:ascii="Arial" w:hAnsi="Arial"/>
      <w:b/>
      <w:color w:val="000000"/>
      <w:sz w:val="21"/>
    </w:rPr>
  </w:style>
  <w:style w:type="paragraph" w:customStyle="1" w:styleId="Appendix1">
    <w:name w:val="Appendix 1"/>
    <w:basedOn w:val="Heading1"/>
    <w:next w:val="BodyText"/>
    <w:uiPriority w:val="99"/>
    <w:rsid w:val="00893821"/>
    <w:pPr>
      <w:keepNext/>
      <w:pBdr>
        <w:bottom w:val="single" w:sz="6" w:space="18" w:color="000000"/>
      </w:pBdr>
      <w:tabs>
        <w:tab w:val="num" w:pos="720"/>
      </w:tabs>
      <w:spacing w:after="960" w:line="240" w:lineRule="auto"/>
      <w:ind w:left="720" w:hanging="720"/>
      <w:contextualSpacing w:val="0"/>
    </w:pPr>
    <w:rPr>
      <w:rFonts w:ascii="Times New Roman" w:eastAsia="Times New Roman" w:hAnsi="Times New Roman" w:cs="Times New Roman"/>
      <w:bCs w:val="0"/>
      <w:i/>
      <w:kern w:val="24"/>
      <w:sz w:val="72"/>
      <w:szCs w:val="20"/>
      <w:lang w:eastAsia="en-US"/>
    </w:rPr>
  </w:style>
  <w:style w:type="paragraph" w:customStyle="1" w:styleId="Appendix3">
    <w:name w:val="Appendix 3"/>
    <w:basedOn w:val="Heading3"/>
    <w:next w:val="BodyText"/>
    <w:uiPriority w:val="99"/>
    <w:rsid w:val="00893821"/>
    <w:pPr>
      <w:numPr>
        <w:ilvl w:val="2"/>
        <w:numId w:val="16"/>
      </w:numPr>
      <w:spacing w:before="240" w:after="240" w:line="240" w:lineRule="auto"/>
    </w:pPr>
    <w:rPr>
      <w:rFonts w:ascii="Times New Roman" w:eastAsia="Times New Roman" w:hAnsi="Times New Roman" w:cs="Times New Roman"/>
      <w:bCs w:val="0"/>
      <w:i/>
      <w:noProof/>
      <w:szCs w:val="20"/>
      <w:lang w:val="en-US" w:eastAsia="en-US"/>
    </w:rPr>
  </w:style>
  <w:style w:type="paragraph" w:customStyle="1" w:styleId="Level3">
    <w:name w:val="Level 3"/>
    <w:uiPriority w:val="99"/>
    <w:rsid w:val="00893821"/>
    <w:pPr>
      <w:autoSpaceDE w:val="0"/>
      <w:autoSpaceDN w:val="0"/>
      <w:adjustRightInd w:val="0"/>
      <w:spacing w:after="0" w:line="240" w:lineRule="auto"/>
      <w:ind w:left="2160"/>
    </w:pPr>
    <w:rPr>
      <w:rFonts w:ascii="Arial" w:eastAsia="Times New Roman" w:hAnsi="Arial" w:cs="Times New Roman"/>
      <w:sz w:val="20"/>
      <w:szCs w:val="24"/>
      <w:lang w:val="en-US" w:eastAsia="en-US"/>
    </w:rPr>
  </w:style>
  <w:style w:type="paragraph" w:customStyle="1" w:styleId="Level4">
    <w:name w:val="Level 4"/>
    <w:uiPriority w:val="99"/>
    <w:rsid w:val="00893821"/>
    <w:pPr>
      <w:autoSpaceDE w:val="0"/>
      <w:autoSpaceDN w:val="0"/>
      <w:adjustRightInd w:val="0"/>
      <w:spacing w:after="0" w:line="240" w:lineRule="auto"/>
      <w:ind w:left="2880"/>
    </w:pPr>
    <w:rPr>
      <w:rFonts w:ascii="Arial" w:eastAsia="Times New Roman" w:hAnsi="Arial" w:cs="Times New Roman"/>
      <w:sz w:val="20"/>
      <w:szCs w:val="24"/>
      <w:lang w:val="en-US" w:eastAsia="en-US"/>
    </w:rPr>
  </w:style>
  <w:style w:type="paragraph" w:customStyle="1" w:styleId="Level5">
    <w:name w:val="Level 5"/>
    <w:uiPriority w:val="99"/>
    <w:rsid w:val="00893821"/>
    <w:pPr>
      <w:autoSpaceDE w:val="0"/>
      <w:autoSpaceDN w:val="0"/>
      <w:adjustRightInd w:val="0"/>
      <w:spacing w:after="0" w:line="240" w:lineRule="auto"/>
      <w:ind w:left="3600"/>
    </w:pPr>
    <w:rPr>
      <w:rFonts w:ascii="Arial" w:eastAsia="Times New Roman" w:hAnsi="Arial" w:cs="Times New Roman"/>
      <w:sz w:val="20"/>
      <w:szCs w:val="24"/>
      <w:lang w:val="en-US" w:eastAsia="en-US"/>
    </w:rPr>
  </w:style>
  <w:style w:type="paragraph" w:customStyle="1" w:styleId="Level6">
    <w:name w:val="Level 6"/>
    <w:uiPriority w:val="99"/>
    <w:rsid w:val="00893821"/>
    <w:pPr>
      <w:autoSpaceDE w:val="0"/>
      <w:autoSpaceDN w:val="0"/>
      <w:adjustRightInd w:val="0"/>
      <w:spacing w:after="0" w:line="240" w:lineRule="auto"/>
      <w:ind w:left="4320"/>
    </w:pPr>
    <w:rPr>
      <w:rFonts w:ascii="Arial" w:eastAsia="Times New Roman" w:hAnsi="Arial" w:cs="Times New Roman"/>
      <w:sz w:val="20"/>
      <w:szCs w:val="24"/>
      <w:lang w:val="en-US" w:eastAsia="en-US"/>
    </w:rPr>
  </w:style>
  <w:style w:type="paragraph" w:customStyle="1" w:styleId="Level7">
    <w:name w:val="Level 7"/>
    <w:uiPriority w:val="99"/>
    <w:rsid w:val="00893821"/>
    <w:pPr>
      <w:autoSpaceDE w:val="0"/>
      <w:autoSpaceDN w:val="0"/>
      <w:adjustRightInd w:val="0"/>
      <w:spacing w:after="0" w:line="240" w:lineRule="auto"/>
      <w:ind w:left="5040"/>
    </w:pPr>
    <w:rPr>
      <w:rFonts w:ascii="Arial" w:eastAsia="Times New Roman" w:hAnsi="Arial" w:cs="Times New Roman"/>
      <w:sz w:val="20"/>
      <w:szCs w:val="24"/>
      <w:lang w:val="en-US" w:eastAsia="en-US"/>
    </w:rPr>
  </w:style>
  <w:style w:type="paragraph" w:customStyle="1" w:styleId="Level8">
    <w:name w:val="Level 8"/>
    <w:uiPriority w:val="99"/>
    <w:rsid w:val="00893821"/>
    <w:pPr>
      <w:autoSpaceDE w:val="0"/>
      <w:autoSpaceDN w:val="0"/>
      <w:adjustRightInd w:val="0"/>
      <w:spacing w:after="0" w:line="240" w:lineRule="auto"/>
      <w:ind w:left="5760"/>
    </w:pPr>
    <w:rPr>
      <w:rFonts w:ascii="Arial" w:eastAsia="Times New Roman" w:hAnsi="Arial" w:cs="Times New Roman"/>
      <w:sz w:val="20"/>
      <w:szCs w:val="24"/>
      <w:lang w:val="en-US" w:eastAsia="en-US"/>
    </w:rPr>
  </w:style>
  <w:style w:type="paragraph" w:customStyle="1" w:styleId="Level9">
    <w:name w:val="Level 9"/>
    <w:uiPriority w:val="99"/>
    <w:rsid w:val="00893821"/>
    <w:pPr>
      <w:autoSpaceDE w:val="0"/>
      <w:autoSpaceDN w:val="0"/>
      <w:adjustRightInd w:val="0"/>
      <w:spacing w:after="0" w:line="240" w:lineRule="auto"/>
      <w:ind w:left="-1440"/>
    </w:pPr>
    <w:rPr>
      <w:rFonts w:ascii="Arial" w:eastAsia="Times New Roman" w:hAnsi="Arial" w:cs="Times New Roman"/>
      <w:b/>
      <w:bCs/>
      <w:sz w:val="20"/>
      <w:szCs w:val="24"/>
      <w:lang w:val="en-US" w:eastAsia="en-US"/>
    </w:rPr>
  </w:style>
  <w:style w:type="paragraph" w:customStyle="1" w:styleId="Outline0131">
    <w:name w:val="Outline013_1"/>
    <w:uiPriority w:val="99"/>
    <w:rsid w:val="0089382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Arial" w:eastAsia="Times New Roman" w:hAnsi="Arial" w:cs="Times New Roman"/>
      <w:sz w:val="24"/>
      <w:szCs w:val="24"/>
      <w:lang w:val="en-US" w:eastAsia="en-US"/>
    </w:rPr>
  </w:style>
  <w:style w:type="character" w:customStyle="1" w:styleId="ti">
    <w:name w:val="ti"/>
    <w:uiPriority w:val="99"/>
    <w:rsid w:val="00893821"/>
  </w:style>
  <w:style w:type="character" w:customStyle="1" w:styleId="displaytext1">
    <w:name w:val="displaytext1"/>
    <w:uiPriority w:val="99"/>
    <w:rsid w:val="00893821"/>
  </w:style>
  <w:style w:type="paragraph" w:customStyle="1" w:styleId="Default">
    <w:name w:val="Default"/>
    <w:uiPriority w:val="99"/>
    <w:rsid w:val="00893821"/>
    <w:pPr>
      <w:autoSpaceDE w:val="0"/>
      <w:autoSpaceDN w:val="0"/>
      <w:adjustRightInd w:val="0"/>
      <w:spacing w:after="0" w:line="240" w:lineRule="auto"/>
    </w:pPr>
    <w:rPr>
      <w:rFonts w:ascii="Myriad" w:eastAsia="Times New Roman" w:hAnsi="Myriad" w:cs="Myriad"/>
      <w:color w:val="000000"/>
      <w:sz w:val="24"/>
      <w:szCs w:val="24"/>
      <w:lang w:val="en-US" w:eastAsia="en-US"/>
    </w:rPr>
  </w:style>
  <w:style w:type="paragraph" w:customStyle="1" w:styleId="listparagraph0">
    <w:name w:val="listparagraph"/>
    <w:basedOn w:val="Normal"/>
    <w:uiPriority w:val="99"/>
    <w:rsid w:val="00893821"/>
    <w:pPr>
      <w:autoSpaceDE w:val="0"/>
      <w:autoSpaceDN w:val="0"/>
      <w:spacing w:after="0" w:line="240" w:lineRule="auto"/>
      <w:ind w:left="720"/>
    </w:pPr>
    <w:rPr>
      <w:rFonts w:ascii="Times New Roman" w:eastAsia="Times New Roman" w:hAnsi="Times New Roman" w:cs="Times New Roman"/>
      <w:sz w:val="20"/>
      <w:szCs w:val="20"/>
      <w:lang w:eastAsia="en-CA"/>
    </w:rPr>
  </w:style>
  <w:style w:type="character" w:customStyle="1" w:styleId="ft">
    <w:name w:val="ft"/>
    <w:uiPriority w:val="99"/>
    <w:rsid w:val="00893821"/>
  </w:style>
  <w:style w:type="paragraph" w:customStyle="1" w:styleId="Nonindent">
    <w:name w:val="Nonindent"/>
    <w:basedOn w:val="Normal"/>
    <w:uiPriority w:val="99"/>
    <w:rsid w:val="00893821"/>
    <w:pPr>
      <w:spacing w:after="0" w:line="240" w:lineRule="auto"/>
    </w:pPr>
    <w:rPr>
      <w:rFonts w:ascii="Arial" w:eastAsia="Times New Roman" w:hAnsi="Arial" w:cs="Times New Roman"/>
      <w:szCs w:val="20"/>
      <w:lang w:eastAsia="en-US"/>
    </w:rPr>
  </w:style>
  <w:style w:type="paragraph" w:customStyle="1" w:styleId="StyleNonindent10pt">
    <w:name w:val="Style Nonindent + 10 pt"/>
    <w:basedOn w:val="Nonindent"/>
    <w:uiPriority w:val="99"/>
    <w:rsid w:val="00893821"/>
    <w:rPr>
      <w:sz w:val="20"/>
    </w:rPr>
  </w:style>
  <w:style w:type="paragraph" w:styleId="NormalIndent">
    <w:name w:val="Normal Indent"/>
    <w:basedOn w:val="Normal"/>
    <w:uiPriority w:val="99"/>
    <w:rsid w:val="00893821"/>
    <w:pPr>
      <w:spacing w:after="0" w:line="240" w:lineRule="auto"/>
      <w:ind w:left="720"/>
    </w:pPr>
    <w:rPr>
      <w:rFonts w:ascii="Times New Roman" w:eastAsia="Times New Roman" w:hAnsi="Times New Roman" w:cs="Times New Roman"/>
      <w:szCs w:val="20"/>
      <w:lang w:eastAsia="en-US"/>
    </w:rPr>
  </w:style>
  <w:style w:type="paragraph" w:styleId="ListBullet3">
    <w:name w:val="List Bullet 3"/>
    <w:basedOn w:val="Normal"/>
    <w:autoRedefine/>
    <w:uiPriority w:val="99"/>
    <w:rsid w:val="00893821"/>
    <w:pPr>
      <w:tabs>
        <w:tab w:val="num" w:pos="926"/>
      </w:tabs>
      <w:spacing w:after="0" w:line="240" w:lineRule="auto"/>
      <w:ind w:left="926" w:hanging="360"/>
    </w:pPr>
    <w:rPr>
      <w:rFonts w:ascii="Arial" w:eastAsia="Times New Roman" w:hAnsi="Arial" w:cs="Arial"/>
      <w:sz w:val="20"/>
      <w:szCs w:val="20"/>
      <w:lang w:eastAsia="en-US"/>
    </w:rPr>
  </w:style>
  <w:style w:type="character" w:customStyle="1" w:styleId="HeaderChar2">
    <w:name w:val="Header Char2"/>
    <w:aliases w:val="Header Char Char1"/>
    <w:uiPriority w:val="99"/>
    <w:rsid w:val="00893821"/>
    <w:rPr>
      <w:sz w:val="24"/>
    </w:rPr>
  </w:style>
  <w:style w:type="paragraph" w:styleId="NoSpacing">
    <w:name w:val="No Spacing"/>
    <w:basedOn w:val="Normal"/>
    <w:uiPriority w:val="99"/>
    <w:qFormat/>
    <w:rsid w:val="005A3CF1"/>
    <w:pPr>
      <w:spacing w:after="0" w:line="240" w:lineRule="auto"/>
    </w:pPr>
  </w:style>
  <w:style w:type="character" w:customStyle="1" w:styleId="FootnoteTextChar1">
    <w:name w:val="Footnote Text Char1"/>
    <w:uiPriority w:val="99"/>
    <w:semiHidden/>
    <w:rsid w:val="00893821"/>
    <w:rPr>
      <w:lang w:val="en-US" w:eastAsia="en-US"/>
    </w:rPr>
  </w:style>
  <w:style w:type="character" w:styleId="HTMLTypewriter">
    <w:name w:val="HTML Typewriter"/>
    <w:uiPriority w:val="99"/>
    <w:rsid w:val="00893821"/>
    <w:rPr>
      <w:rFonts w:ascii="Arial Unicode MS" w:eastAsia="Arial Unicode MS" w:hAnsi="Arial Unicode MS" w:cs="Times New Roman"/>
      <w:sz w:val="20"/>
    </w:rPr>
  </w:style>
  <w:style w:type="paragraph" w:customStyle="1" w:styleId="1Heading">
    <w:name w:val="1Heading"/>
    <w:basedOn w:val="Normal"/>
    <w:uiPriority w:val="99"/>
    <w:rsid w:val="00893821"/>
    <w:pPr>
      <w:widowControl w:val="0"/>
      <w:tabs>
        <w:tab w:val="left" w:pos="720"/>
      </w:tabs>
      <w:autoSpaceDE w:val="0"/>
      <w:autoSpaceDN w:val="0"/>
      <w:adjustRightInd w:val="0"/>
      <w:spacing w:after="0" w:line="240" w:lineRule="auto"/>
    </w:pPr>
    <w:rPr>
      <w:rFonts w:ascii="Arial" w:eastAsia="Times New Roman" w:hAnsi="Arial" w:cs="Times New Roman"/>
      <w:b/>
      <w:sz w:val="28"/>
      <w:szCs w:val="28"/>
      <w:u w:val="single"/>
      <w:lang w:val="en-US" w:eastAsia="en-US"/>
    </w:rPr>
  </w:style>
  <w:style w:type="paragraph" w:customStyle="1" w:styleId="Table-text">
    <w:name w:val="Table-text"/>
    <w:basedOn w:val="Normal"/>
    <w:uiPriority w:val="99"/>
    <w:rsid w:val="00893821"/>
    <w:pPr>
      <w:tabs>
        <w:tab w:val="left" w:pos="144"/>
        <w:tab w:val="left" w:pos="360"/>
        <w:tab w:val="left" w:pos="720"/>
        <w:tab w:val="left" w:pos="1584"/>
        <w:tab w:val="left" w:pos="1800"/>
        <w:tab w:val="left" w:pos="2340"/>
      </w:tabs>
      <w:spacing w:before="40" w:after="0"/>
    </w:pPr>
    <w:rPr>
      <w:rFonts w:ascii="Arial Narrow" w:eastAsia="Times New Roman" w:hAnsi="Arial Narrow" w:cs="Times New Roman"/>
      <w:sz w:val="18"/>
      <w:szCs w:val="24"/>
      <w:lang w:eastAsia="en-US"/>
    </w:rPr>
  </w:style>
  <w:style w:type="paragraph" w:customStyle="1" w:styleId="PRATableText">
    <w:name w:val="PRA Table Text"/>
    <w:basedOn w:val="Normal"/>
    <w:uiPriority w:val="99"/>
    <w:rsid w:val="00893821"/>
    <w:pPr>
      <w:tabs>
        <w:tab w:val="left" w:pos="144"/>
      </w:tabs>
      <w:spacing w:after="0" w:line="240" w:lineRule="auto"/>
    </w:pPr>
    <w:rPr>
      <w:rFonts w:ascii="Arial" w:eastAsia="Times New Roman" w:hAnsi="Arial" w:cs="Times New Roman"/>
      <w:sz w:val="20"/>
      <w:szCs w:val="20"/>
      <w:lang w:val="en-US" w:eastAsia="en-US"/>
    </w:rPr>
  </w:style>
  <w:style w:type="paragraph" w:customStyle="1" w:styleId="ColEngAngl">
    <w:name w:val="ColEngAngl"/>
    <w:basedOn w:val="Normal"/>
    <w:uiPriority w:val="99"/>
    <w:rsid w:val="00893821"/>
    <w:pPr>
      <w:spacing w:before="120" w:after="0" w:line="240" w:lineRule="auto"/>
    </w:pPr>
    <w:rPr>
      <w:rFonts w:ascii="Times New Roman" w:eastAsia="MS Mincho" w:hAnsi="Times New Roman" w:cs="Times New Roman"/>
      <w:szCs w:val="24"/>
      <w:lang w:eastAsia="en-US"/>
    </w:rPr>
  </w:style>
  <w:style w:type="paragraph" w:customStyle="1" w:styleId="pratabletext0">
    <w:name w:val="pratabletext"/>
    <w:basedOn w:val="Normal"/>
    <w:uiPriority w:val="99"/>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styleId="EndnoteText">
    <w:name w:val="endnote text"/>
    <w:basedOn w:val="Normal"/>
    <w:link w:val="EndnoteTextChar"/>
    <w:uiPriority w:val="99"/>
    <w:rsid w:val="0089382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en-US" w:eastAsia="en-US"/>
    </w:rPr>
  </w:style>
  <w:style w:type="character" w:customStyle="1" w:styleId="EndnoteTextChar">
    <w:name w:val="Endnote Text Char"/>
    <w:basedOn w:val="DefaultParagraphFont"/>
    <w:link w:val="EndnoteText"/>
    <w:uiPriority w:val="99"/>
    <w:rsid w:val="00893821"/>
    <w:rPr>
      <w:rFonts w:ascii="Courier New" w:eastAsia="Times New Roman" w:hAnsi="Courier New" w:cs="Times New Roman"/>
      <w:sz w:val="24"/>
      <w:szCs w:val="20"/>
      <w:lang w:val="en-US" w:eastAsia="en-US"/>
    </w:rPr>
  </w:style>
  <w:style w:type="table" w:customStyle="1" w:styleId="TableGrid10">
    <w:name w:val="Table Grid1"/>
    <w:uiPriority w:val="99"/>
    <w:rsid w:val="00893821"/>
    <w:pPr>
      <w:spacing w:after="0" w:line="240" w:lineRule="auto"/>
    </w:pPr>
    <w:rPr>
      <w:rFonts w:ascii="Arial" w:eastAsia="Times New Roman" w:hAnsi="Arial" w:cs="OptimaLTStd"/>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uiPriority w:val="99"/>
    <w:rsid w:val="00893821"/>
    <w:pPr>
      <w:widowControl w:val="0"/>
      <w:autoSpaceDE w:val="0"/>
      <w:autoSpaceDN w:val="0"/>
      <w:adjustRightInd w:val="0"/>
      <w:spacing w:after="0" w:line="240" w:lineRule="auto"/>
    </w:pPr>
    <w:rPr>
      <w:rFonts w:ascii="Calibri" w:eastAsia="Times New Roman"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uiPriority w:val="99"/>
    <w:rsid w:val="00893821"/>
    <w:pPr>
      <w:overflowPunct w:val="0"/>
      <w:autoSpaceDE w:val="0"/>
      <w:autoSpaceDN w:val="0"/>
      <w:adjustRightInd w:val="0"/>
      <w:spacing w:after="0" w:line="240" w:lineRule="auto"/>
    </w:pPr>
    <w:rPr>
      <w:rFonts w:ascii="Arial" w:eastAsia="Times New Roman" w:hAnsi="Arial" w:cs="Arial"/>
      <w:szCs w:val="24"/>
      <w:lang w:val="en-US" w:eastAsia="en-US"/>
    </w:rPr>
  </w:style>
  <w:style w:type="paragraph" w:customStyle="1" w:styleId="Car1CharCharChar">
    <w:name w:val="Car1 Char Char Char"/>
    <w:basedOn w:val="Normal"/>
    <w:uiPriority w:val="99"/>
    <w:rsid w:val="00893821"/>
    <w:pPr>
      <w:spacing w:after="160" w:line="240" w:lineRule="exact"/>
    </w:pPr>
    <w:rPr>
      <w:rFonts w:ascii="Verdana" w:eastAsia="Times New Roman" w:hAnsi="Verdana" w:cs="Verdana"/>
      <w:sz w:val="20"/>
      <w:szCs w:val="20"/>
      <w:lang w:eastAsia="en-US"/>
    </w:rPr>
  </w:style>
  <w:style w:type="paragraph" w:customStyle="1" w:styleId="bulletedlist">
    <w:name w:val="bulleted list"/>
    <w:basedOn w:val="Normal"/>
    <w:link w:val="bulletedlistChar1"/>
    <w:rsid w:val="00893821"/>
    <w:pPr>
      <w:widowControl w:val="0"/>
      <w:numPr>
        <w:numId w:val="17"/>
      </w:numPr>
      <w:autoSpaceDE w:val="0"/>
      <w:autoSpaceDN w:val="0"/>
      <w:adjustRightInd w:val="0"/>
      <w:spacing w:before="120" w:after="120" w:line="240" w:lineRule="auto"/>
    </w:pPr>
    <w:rPr>
      <w:rFonts w:ascii="Times New Roman" w:eastAsia="Calibri" w:hAnsi="Times New Roman" w:cs="Times New Roman"/>
      <w:szCs w:val="24"/>
      <w:lang w:eastAsia="en-US"/>
    </w:rPr>
  </w:style>
  <w:style w:type="paragraph" w:customStyle="1" w:styleId="secondlevelbulletedlist">
    <w:name w:val="second level bulleted list"/>
    <w:basedOn w:val="bulletedlist"/>
    <w:link w:val="secondlevelbulletedlistChar"/>
    <w:rsid w:val="00893821"/>
    <w:pPr>
      <w:numPr>
        <w:ilvl w:val="1"/>
      </w:numPr>
      <w:tabs>
        <w:tab w:val="clear" w:pos="1080"/>
        <w:tab w:val="num" w:pos="720"/>
      </w:tabs>
      <w:ind w:left="720" w:hanging="432"/>
    </w:pPr>
    <w:rPr>
      <w:bCs/>
    </w:rPr>
  </w:style>
  <w:style w:type="character" w:customStyle="1" w:styleId="bulletedlistChar1">
    <w:name w:val="bulleted list Char1"/>
    <w:link w:val="bulletedlist"/>
    <w:rsid w:val="00893821"/>
    <w:rPr>
      <w:rFonts w:ascii="Times New Roman" w:eastAsia="Calibri" w:hAnsi="Times New Roman" w:cs="Times New Roman"/>
      <w:sz w:val="24"/>
      <w:szCs w:val="24"/>
      <w:lang w:eastAsia="en-US"/>
    </w:rPr>
  </w:style>
  <w:style w:type="numbering" w:customStyle="1" w:styleId="StyleNumbered">
    <w:name w:val="Style Numbered"/>
    <w:basedOn w:val="NoList"/>
    <w:rsid w:val="00893821"/>
    <w:pPr>
      <w:numPr>
        <w:numId w:val="18"/>
      </w:numPr>
    </w:pPr>
  </w:style>
  <w:style w:type="paragraph" w:customStyle="1" w:styleId="footnote">
    <w:name w:val="footnote"/>
    <w:basedOn w:val="FootnoteText"/>
    <w:link w:val="footnoteChar"/>
    <w:qFormat/>
    <w:rsid w:val="00893821"/>
    <w:pPr>
      <w:spacing w:before="60" w:after="60" w:line="240" w:lineRule="auto"/>
    </w:pPr>
    <w:rPr>
      <w:rFonts w:ascii="Times New Roman" w:hAnsi="Times New Roman"/>
      <w:sz w:val="20"/>
      <w:lang w:val="en-US"/>
    </w:rPr>
  </w:style>
  <w:style w:type="character" w:customStyle="1" w:styleId="footnoteChar">
    <w:name w:val="footnote Char"/>
    <w:basedOn w:val="FootnoteTextChar"/>
    <w:link w:val="footnote"/>
    <w:rsid w:val="00893821"/>
    <w:rPr>
      <w:rFonts w:ascii="Times New Roman" w:eastAsia="Times New Roman" w:hAnsi="Times New Roman" w:cs="Times New Roman"/>
      <w:sz w:val="20"/>
      <w:szCs w:val="20"/>
      <w:lang w:val="en-US" w:eastAsia="en-US"/>
    </w:rPr>
  </w:style>
  <w:style w:type="character" w:customStyle="1" w:styleId="secondlevelbulletedlistChar">
    <w:name w:val="second level bulleted list Char"/>
    <w:link w:val="secondlevelbulletedlist"/>
    <w:rsid w:val="00893821"/>
    <w:rPr>
      <w:rFonts w:ascii="Times New Roman" w:eastAsia="Calibri" w:hAnsi="Times New Roman" w:cs="Times New Roman"/>
      <w:bCs/>
      <w:sz w:val="24"/>
      <w:szCs w:val="24"/>
      <w:lang w:eastAsia="en-US"/>
    </w:rPr>
  </w:style>
  <w:style w:type="character" w:customStyle="1" w:styleId="A7">
    <w:name w:val="A7"/>
    <w:uiPriority w:val="99"/>
    <w:rsid w:val="00893821"/>
    <w:rPr>
      <w:rFonts w:cs="Swiss 72 1 BT"/>
      <w:color w:val="000000"/>
      <w:sz w:val="18"/>
      <w:szCs w:val="18"/>
    </w:rPr>
  </w:style>
  <w:style w:type="table" w:customStyle="1" w:styleId="MediumList2-Accent11">
    <w:name w:val="Medium List 2 - Accent 11"/>
    <w:basedOn w:val="TableNormal"/>
    <w:next w:val="MediumList2-Accent1"/>
    <w:rsid w:val="00893821"/>
    <w:pPr>
      <w:spacing w:after="0" w:line="240" w:lineRule="auto"/>
    </w:pPr>
    <w:rPr>
      <w:rFonts w:ascii="Calibri" w:eastAsia="Times New Roman" w:hAnsi="Calibri" w:cs="Times New Roman"/>
      <w:color w:val="000000"/>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rsid w:val="00893821"/>
    <w:pPr>
      <w:spacing w:after="0" w:line="240" w:lineRule="auto"/>
    </w:pPr>
    <w:rPr>
      <w:rFonts w:ascii="Calibri" w:eastAsia="Times New Roman" w:hAnsi="Calibri" w:cs="Times New Roman"/>
      <w:color w:val="000000"/>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rsid w:val="00893821"/>
    <w:pPr>
      <w:spacing w:after="0" w:line="240" w:lineRule="auto"/>
    </w:pPr>
    <w:rPr>
      <w:rFonts w:ascii="Calibri" w:eastAsia="Times New Roman" w:hAnsi="Calibri" w:cs="Times New Roman"/>
      <w:color w:val="000000"/>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KPMGtable1">
    <w:name w:val="_KPMG table1"/>
    <w:basedOn w:val="TableNormal"/>
    <w:rsid w:val="00893821"/>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numbering" w:customStyle="1" w:styleId="NoList1">
    <w:name w:val="No List1"/>
    <w:next w:val="NoList"/>
    <w:uiPriority w:val="99"/>
    <w:semiHidden/>
    <w:unhideWhenUsed/>
    <w:rsid w:val="00893821"/>
  </w:style>
  <w:style w:type="table" w:customStyle="1" w:styleId="TableGrid30">
    <w:name w:val="Table Grid3"/>
    <w:basedOn w:val="TableNormal"/>
    <w:next w:val="TableGrid"/>
    <w:uiPriority w:val="59"/>
    <w:rsid w:val="00893821"/>
    <w:pPr>
      <w:spacing w:after="0" w:line="240" w:lineRule="auto"/>
    </w:pPr>
    <w:rPr>
      <w:rFonts w:ascii="Univers 45 Light" w:eastAsia="Times New Roman" w:hAnsi="Univers 45 Light" w:cs="Times New Roman"/>
      <w:sz w:val="20"/>
      <w:szCs w:val="20"/>
      <w:lang w:val="en-US" w:eastAsia="en-US"/>
    </w:rPr>
    <w:tblPr/>
  </w:style>
  <w:style w:type="table" w:customStyle="1" w:styleId="Table3Deffects11">
    <w:name w:val="Table 3D effects 11"/>
    <w:basedOn w:val="TableNormal"/>
    <w:next w:val="Table3Deffects1"/>
    <w:semiHidden/>
    <w:rsid w:val="00893821"/>
    <w:pPr>
      <w:spacing w:after="0" w:line="240" w:lineRule="auto"/>
    </w:pPr>
    <w:rPr>
      <w:rFonts w:ascii="Univers 45 Light" w:eastAsia="Times New Roman" w:hAnsi="Univers 45 Light" w:cs="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893821"/>
    <w:pPr>
      <w:spacing w:after="0" w:line="240" w:lineRule="auto"/>
    </w:pPr>
    <w:rPr>
      <w:rFonts w:ascii="Univers 45 Light" w:eastAsia="Times New Roman" w:hAnsi="Univers 45 Light" w:cs="Times New Roman"/>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893821"/>
    <w:pPr>
      <w:spacing w:after="0" w:line="240" w:lineRule="auto"/>
    </w:pPr>
    <w:rPr>
      <w:rFonts w:ascii="Univers 45 Light" w:eastAsia="Times New Roman" w:hAnsi="Univers 45 Light" w:cs="Times New Roman"/>
      <w:color w:val="FFFFFF"/>
      <w:sz w:val="20"/>
      <w:szCs w:val="20"/>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893821"/>
    <w:pPr>
      <w:spacing w:after="0" w:line="240" w:lineRule="auto"/>
    </w:pPr>
    <w:rPr>
      <w:rFonts w:ascii="Univers 45 Light" w:eastAsia="Times New Roman" w:hAnsi="Univers 45 Light" w:cs="Times New Roman"/>
      <w:sz w:val="20"/>
      <w:szCs w:val="20"/>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893821"/>
    <w:pPr>
      <w:spacing w:after="0" w:line="240" w:lineRule="auto"/>
    </w:pPr>
    <w:rPr>
      <w:rFonts w:ascii="Univers 45 Light" w:eastAsia="Times New Roman" w:hAnsi="Univers 45 Light" w:cs="Times New Roman"/>
      <w:sz w:val="20"/>
      <w:szCs w:val="2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893821"/>
    <w:pPr>
      <w:spacing w:after="0" w:line="240" w:lineRule="auto"/>
    </w:pPr>
    <w:rPr>
      <w:rFonts w:ascii="Univers 45 Light" w:eastAsia="Times New Roman" w:hAnsi="Univers 45 Light" w:cs="Times New Roman"/>
      <w:sz w:val="20"/>
      <w:szCs w:val="20"/>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893821"/>
    <w:pPr>
      <w:spacing w:after="0" w:line="240" w:lineRule="auto"/>
    </w:pPr>
    <w:rPr>
      <w:rFonts w:ascii="Univers 45 Light" w:eastAsia="Times New Roman" w:hAnsi="Univers 45 Light" w:cs="Times New Roman"/>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893821"/>
    <w:pPr>
      <w:spacing w:after="0" w:line="240" w:lineRule="auto"/>
    </w:pPr>
    <w:rPr>
      <w:rFonts w:ascii="Univers 45 Light" w:eastAsia="Times New Roman" w:hAnsi="Univers 45 Light" w:cs="Times New Roman"/>
      <w:sz w:val="20"/>
      <w:szCs w:val="20"/>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893821"/>
    <w:pPr>
      <w:spacing w:after="0" w:line="240" w:lineRule="auto"/>
    </w:pPr>
    <w:rPr>
      <w:rFonts w:ascii="Univers 45 Light" w:eastAsia="Times New Roman" w:hAnsi="Univers 45 Light" w:cs="Times New Roman"/>
      <w:sz w:val="20"/>
      <w:szCs w:val="20"/>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PMGtable2">
    <w:name w:val="_KPMG table2"/>
    <w:basedOn w:val="TableNormal"/>
    <w:rsid w:val="00893821"/>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Contactheading">
    <w:name w:val="Contact heading"/>
    <w:basedOn w:val="Normal"/>
    <w:semiHidden/>
    <w:qFormat/>
    <w:rsid w:val="00893821"/>
    <w:pPr>
      <w:spacing w:after="0" w:line="240" w:lineRule="atLeast"/>
      <w:jc w:val="both"/>
    </w:pPr>
    <w:rPr>
      <w:rFonts w:ascii="Univers 45 Light" w:eastAsia="Univers 45 Light" w:hAnsi="Univers 45 Light" w:cs="Times New Roman"/>
      <w:b/>
      <w:color w:val="000000"/>
      <w:sz w:val="20"/>
      <w:lang w:eastAsia="en-US"/>
    </w:rPr>
  </w:style>
  <w:style w:type="character" w:customStyle="1" w:styleId="sous-titre-1">
    <w:name w:val="sous-titre-1"/>
    <w:basedOn w:val="DefaultParagraphFont"/>
    <w:rsid w:val="00893821"/>
  </w:style>
  <w:style w:type="character" w:customStyle="1" w:styleId="texte-italic">
    <w:name w:val="texte-italic"/>
    <w:basedOn w:val="DefaultParagraphFont"/>
    <w:rsid w:val="00893821"/>
  </w:style>
  <w:style w:type="character" w:styleId="HTMLCite">
    <w:name w:val="HTML Cite"/>
    <w:basedOn w:val="DefaultParagraphFont"/>
    <w:uiPriority w:val="99"/>
    <w:semiHidden/>
    <w:unhideWhenUsed/>
    <w:rsid w:val="00893821"/>
    <w:rPr>
      <w:i/>
      <w:iCs/>
    </w:rPr>
  </w:style>
  <w:style w:type="paragraph" w:customStyle="1" w:styleId="schedule">
    <w:name w:val="schedule"/>
    <w:basedOn w:val="Normal"/>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customStyle="1" w:styleId="scheduletext">
    <w:name w:val="scheduletext"/>
    <w:basedOn w:val="Normal"/>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customStyle="1" w:styleId="highlight">
    <w:name w:val="highlight"/>
    <w:basedOn w:val="DefaultParagraphFont"/>
    <w:rsid w:val="00893821"/>
  </w:style>
  <w:style w:type="paragraph" w:customStyle="1" w:styleId="labelled">
    <w:name w:val="labelled"/>
    <w:basedOn w:val="Normal"/>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customStyle="1" w:styleId="label">
    <w:name w:val="label"/>
    <w:basedOn w:val="DefaultParagraphFont"/>
    <w:rsid w:val="00893821"/>
  </w:style>
  <w:style w:type="character" w:customStyle="1" w:styleId="spc">
    <w:name w:val="spc"/>
    <w:basedOn w:val="DefaultParagraphFont"/>
    <w:rsid w:val="00893821"/>
  </w:style>
  <w:style w:type="character" w:customStyle="1" w:styleId="contenttitle">
    <w:name w:val="contenttitle"/>
    <w:basedOn w:val="DefaultParagraphFont"/>
    <w:rsid w:val="00893821"/>
  </w:style>
  <w:style w:type="paragraph" w:customStyle="1" w:styleId="Reporttext">
    <w:name w:val="Report text"/>
    <w:basedOn w:val="Normal"/>
    <w:rsid w:val="00893821"/>
    <w:pPr>
      <w:autoSpaceDE w:val="0"/>
      <w:autoSpaceDN w:val="0"/>
      <w:adjustRightInd w:val="0"/>
      <w:spacing w:after="0" w:line="240" w:lineRule="auto"/>
    </w:pPr>
    <w:rPr>
      <w:rFonts w:ascii="Times New Roman" w:eastAsia="Times New Roman" w:hAnsi="Times New Roman" w:cs="Times New Roman"/>
      <w:szCs w:val="24"/>
      <w:lang w:val="en-AU" w:eastAsia="en-US"/>
    </w:rPr>
  </w:style>
  <w:style w:type="character" w:customStyle="1" w:styleId="bodytext0">
    <w:name w:val="bodytext"/>
    <w:basedOn w:val="DefaultParagraphFont"/>
    <w:rsid w:val="00893821"/>
  </w:style>
  <w:style w:type="character" w:customStyle="1" w:styleId="apple-tab-span">
    <w:name w:val="apple-tab-span"/>
    <w:basedOn w:val="DefaultParagraphFont"/>
    <w:rsid w:val="00893821"/>
    <w:rPr>
      <w:rFonts w:ascii="Arial" w:hAnsi="Arial" w:cs="Arial" w:hint="default"/>
      <w:sz w:val="24"/>
      <w:szCs w:val="24"/>
    </w:rPr>
  </w:style>
  <w:style w:type="character" w:customStyle="1" w:styleId="citationtext">
    <w:name w:val="citation_text"/>
    <w:basedOn w:val="DefaultParagraphFont"/>
    <w:rsid w:val="00893821"/>
  </w:style>
  <w:style w:type="character" w:customStyle="1" w:styleId="apple-converted-space">
    <w:name w:val="apple-converted-space"/>
    <w:basedOn w:val="DefaultParagraphFont"/>
    <w:rsid w:val="00893821"/>
  </w:style>
  <w:style w:type="character" w:customStyle="1" w:styleId="field-content">
    <w:name w:val="field-content"/>
    <w:basedOn w:val="DefaultParagraphFont"/>
    <w:rsid w:val="00893821"/>
  </w:style>
  <w:style w:type="character" w:customStyle="1" w:styleId="bkciteavail">
    <w:name w:val="bk_cite_avail"/>
    <w:basedOn w:val="DefaultParagraphFont"/>
    <w:rsid w:val="00893821"/>
  </w:style>
  <w:style w:type="character" w:styleId="IntenseEmphasis">
    <w:name w:val="Intense Emphasis"/>
    <w:uiPriority w:val="21"/>
    <w:qFormat/>
    <w:rsid w:val="005A3CF1"/>
    <w:rPr>
      <w:b/>
      <w:bCs/>
    </w:rPr>
  </w:style>
  <w:style w:type="paragraph" w:customStyle="1" w:styleId="Style4">
    <w:name w:val="Style4"/>
    <w:basedOn w:val="Bullet"/>
    <w:link w:val="Style4Char"/>
    <w:autoRedefine/>
    <w:rsid w:val="00893821"/>
  </w:style>
  <w:style w:type="paragraph" w:customStyle="1" w:styleId="Style5">
    <w:name w:val="Style5"/>
    <w:basedOn w:val="Bulletlast"/>
    <w:link w:val="Style5Char"/>
    <w:autoRedefine/>
    <w:rsid w:val="00893821"/>
    <w:rPr>
      <w:lang w:val="en"/>
    </w:rPr>
  </w:style>
  <w:style w:type="character" w:customStyle="1" w:styleId="BulletChar">
    <w:name w:val="Bullet Char"/>
    <w:basedOn w:val="DefaultParagraphFont"/>
    <w:link w:val="Bullet"/>
    <w:rsid w:val="00893821"/>
    <w:rPr>
      <w:rFonts w:ascii="Univers 45 Light" w:eastAsiaTheme="minorHAnsi" w:hAnsi="Univers 45 Light"/>
      <w:sz w:val="20"/>
      <w:lang w:eastAsia="en-US"/>
    </w:rPr>
  </w:style>
  <w:style w:type="character" w:customStyle="1" w:styleId="Style4Char">
    <w:name w:val="Style4 Char"/>
    <w:basedOn w:val="BulletChar"/>
    <w:link w:val="Style4"/>
    <w:rsid w:val="00893821"/>
    <w:rPr>
      <w:rFonts w:ascii="Univers 45 Light" w:eastAsiaTheme="minorHAnsi" w:hAnsi="Univers 45 Light"/>
      <w:sz w:val="20"/>
      <w:lang w:eastAsia="en-US"/>
    </w:rPr>
  </w:style>
  <w:style w:type="character" w:customStyle="1" w:styleId="BulletlastChar">
    <w:name w:val="Bullet last Char"/>
    <w:basedOn w:val="BulletChar"/>
    <w:link w:val="Bulletlast"/>
    <w:rsid w:val="00893821"/>
    <w:rPr>
      <w:rFonts w:ascii="Univers 45 Light" w:eastAsiaTheme="minorHAnsi" w:hAnsi="Univers 45 Light"/>
      <w:sz w:val="20"/>
      <w:lang w:eastAsia="en-US"/>
    </w:rPr>
  </w:style>
  <w:style w:type="character" w:customStyle="1" w:styleId="Style5Char">
    <w:name w:val="Style5 Char"/>
    <w:basedOn w:val="BulletlastChar"/>
    <w:link w:val="Style5"/>
    <w:rsid w:val="00893821"/>
    <w:rPr>
      <w:rFonts w:ascii="Univers 45 Light" w:eastAsiaTheme="minorHAnsi" w:hAnsi="Univers 45 Light"/>
      <w:sz w:val="20"/>
      <w:lang w:val="en" w:eastAsia="en-US"/>
    </w:rPr>
  </w:style>
  <w:style w:type="paragraph" w:styleId="Quote">
    <w:name w:val="Quote"/>
    <w:basedOn w:val="Normal"/>
    <w:next w:val="Normal"/>
    <w:link w:val="QuoteChar"/>
    <w:uiPriority w:val="29"/>
    <w:rsid w:val="005A3CF1"/>
    <w:pPr>
      <w:spacing w:before="200" w:after="0"/>
      <w:ind w:left="360" w:right="360"/>
    </w:pPr>
    <w:rPr>
      <w:i/>
      <w:iCs/>
    </w:rPr>
  </w:style>
  <w:style w:type="character" w:customStyle="1" w:styleId="QuoteChar">
    <w:name w:val="Quote Char"/>
    <w:basedOn w:val="DefaultParagraphFont"/>
    <w:link w:val="Quote"/>
    <w:uiPriority w:val="29"/>
    <w:rsid w:val="005A3CF1"/>
    <w:rPr>
      <w:i/>
      <w:iCs/>
    </w:rPr>
  </w:style>
  <w:style w:type="paragraph" w:styleId="IntenseQuote">
    <w:name w:val="Intense Quote"/>
    <w:basedOn w:val="Normal"/>
    <w:next w:val="Normal"/>
    <w:link w:val="IntenseQuoteChar"/>
    <w:uiPriority w:val="30"/>
    <w:rsid w:val="005A3CF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CF1"/>
    <w:rPr>
      <w:b/>
      <w:bCs/>
      <w:i/>
      <w:iCs/>
    </w:rPr>
  </w:style>
  <w:style w:type="character" w:styleId="SubtleEmphasis">
    <w:name w:val="Subtle Emphasis"/>
    <w:uiPriority w:val="19"/>
    <w:rsid w:val="005A3CF1"/>
    <w:rPr>
      <w:i/>
      <w:iCs/>
    </w:rPr>
  </w:style>
  <w:style w:type="character" w:styleId="SubtleReference">
    <w:name w:val="Subtle Reference"/>
    <w:uiPriority w:val="31"/>
    <w:rsid w:val="005A3CF1"/>
    <w:rPr>
      <w:smallCaps/>
    </w:rPr>
  </w:style>
  <w:style w:type="character" w:styleId="IntenseReference">
    <w:name w:val="Intense Reference"/>
    <w:uiPriority w:val="32"/>
    <w:rsid w:val="005A3CF1"/>
    <w:rPr>
      <w:smallCaps/>
      <w:spacing w:val="5"/>
      <w:u w:val="single"/>
    </w:rPr>
  </w:style>
  <w:style w:type="character" w:styleId="BookTitle">
    <w:name w:val="Book Title"/>
    <w:uiPriority w:val="33"/>
    <w:rsid w:val="005A3CF1"/>
    <w:rPr>
      <w:i/>
      <w:iCs/>
      <w:smallCaps/>
      <w:spacing w:val="5"/>
    </w:rPr>
  </w:style>
  <w:style w:type="table" w:styleId="LightList">
    <w:name w:val="Light List"/>
    <w:basedOn w:val="TableNormal"/>
    <w:uiPriority w:val="61"/>
    <w:rsid w:val="00FE1F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6">
    <w:name w:val="Style6"/>
    <w:basedOn w:val="TableNormal"/>
    <w:uiPriority w:val="99"/>
    <w:rsid w:val="00FE1FA4"/>
    <w:pPr>
      <w:spacing w:after="0" w:line="240" w:lineRule="auto"/>
    </w:pP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able of figures" w:uiPriority="0"/>
    <w:lsdException w:name="table of authorities" w:uiPriority="0"/>
    <w:lsdException w:name="macro"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Outline List 1" w:uiPriority="0"/>
    <w:lsdException w:name="Outline List 2"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0"/>
    <w:lsdException w:name="Table Grid" w:semiHidden="0" w:uiPriority="3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0"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A3CF1"/>
    <w:rPr>
      <w:sz w:val="24"/>
    </w:rPr>
  </w:style>
  <w:style w:type="paragraph" w:styleId="Heading1">
    <w:name w:val="heading 1"/>
    <w:aliases w:val="H1,H11,Section Heading"/>
    <w:basedOn w:val="Normal"/>
    <w:next w:val="Normal"/>
    <w:link w:val="Heading1Char"/>
    <w:qFormat/>
    <w:rsid w:val="00E04386"/>
    <w:pPr>
      <w:pageBreakBefore/>
      <w:spacing w:before="480" w:after="0"/>
      <w:contextualSpacing/>
      <w:outlineLvl w:val="0"/>
    </w:pPr>
    <w:rPr>
      <w:rFonts w:asciiTheme="majorHAnsi" w:eastAsiaTheme="majorEastAsia" w:hAnsiTheme="majorHAnsi" w:cstheme="majorBidi"/>
      <w:b/>
      <w:bCs/>
      <w:sz w:val="36"/>
      <w:szCs w:val="28"/>
    </w:rPr>
  </w:style>
  <w:style w:type="paragraph" w:styleId="Heading2">
    <w:name w:val="heading 2"/>
    <w:aliases w:val="H21,H2,h2,l2,Heading 2  Section Sub"/>
    <w:basedOn w:val="Normal"/>
    <w:next w:val="Normal"/>
    <w:link w:val="Heading2Char"/>
    <w:unhideWhenUsed/>
    <w:qFormat/>
    <w:rsid w:val="005D44FF"/>
    <w:pPr>
      <w:keepNext/>
      <w:spacing w:before="200" w:after="0"/>
      <w:outlineLvl w:val="1"/>
    </w:pPr>
    <w:rPr>
      <w:rFonts w:asciiTheme="majorHAnsi" w:eastAsiaTheme="majorEastAsia" w:hAnsiTheme="majorHAnsi" w:cstheme="majorBidi"/>
      <w:b/>
      <w:bCs/>
      <w:sz w:val="32"/>
      <w:szCs w:val="26"/>
    </w:rPr>
  </w:style>
  <w:style w:type="paragraph" w:styleId="Heading3">
    <w:name w:val="heading 3"/>
    <w:aliases w:val="H3,H31,h3,l3,Sub Heading Section,1.2.3."/>
    <w:basedOn w:val="Normal"/>
    <w:next w:val="Normal"/>
    <w:link w:val="Heading3Char"/>
    <w:unhideWhenUsed/>
    <w:qFormat/>
    <w:rsid w:val="00B95F1C"/>
    <w:pPr>
      <w:keepNext/>
      <w:spacing w:before="200" w:after="0" w:line="271" w:lineRule="auto"/>
      <w:outlineLvl w:val="2"/>
    </w:pPr>
    <w:rPr>
      <w:rFonts w:asciiTheme="majorHAnsi" w:eastAsiaTheme="majorEastAsia" w:hAnsiTheme="majorHAnsi" w:cstheme="majorBidi"/>
      <w:b/>
      <w:bCs/>
      <w:sz w:val="28"/>
    </w:rPr>
  </w:style>
  <w:style w:type="paragraph" w:styleId="Heading4">
    <w:name w:val="heading 4"/>
    <w:basedOn w:val="Normal"/>
    <w:next w:val="Normal"/>
    <w:link w:val="Heading4Char"/>
    <w:unhideWhenUsed/>
    <w:qFormat/>
    <w:rsid w:val="005A3CF1"/>
    <w:pPr>
      <w:spacing w:before="200" w:after="0"/>
      <w:outlineLvl w:val="3"/>
    </w:pPr>
    <w:rPr>
      <w:rFonts w:asciiTheme="majorHAnsi" w:eastAsiaTheme="majorEastAsia" w:hAnsiTheme="majorHAnsi" w:cstheme="majorBidi"/>
      <w:b/>
      <w:bCs/>
      <w:iCs/>
      <w:sz w:val="26"/>
    </w:rPr>
  </w:style>
  <w:style w:type="paragraph" w:styleId="Heading5">
    <w:name w:val="heading 5"/>
    <w:aliases w:val="H5"/>
    <w:basedOn w:val="Normal"/>
    <w:next w:val="Normal"/>
    <w:link w:val="Heading5Char"/>
    <w:unhideWhenUsed/>
    <w:qFormat/>
    <w:rsid w:val="005A3CF1"/>
    <w:pPr>
      <w:spacing w:before="200" w:after="0"/>
      <w:outlineLvl w:val="4"/>
    </w:pPr>
    <w:rPr>
      <w:rFonts w:asciiTheme="majorHAnsi" w:eastAsiaTheme="majorEastAsia" w:hAnsiTheme="majorHAnsi" w:cstheme="majorBidi"/>
      <w:b/>
      <w:bCs/>
    </w:rPr>
  </w:style>
  <w:style w:type="paragraph" w:styleId="Heading6">
    <w:name w:val="heading 6"/>
    <w:aliases w:val="H6"/>
    <w:basedOn w:val="Normal"/>
    <w:next w:val="Normal"/>
    <w:link w:val="Heading6Char"/>
    <w:unhideWhenUsed/>
    <w:qFormat/>
    <w:rsid w:val="001F0911"/>
    <w:pPr>
      <w:spacing w:after="0" w:line="271" w:lineRule="auto"/>
      <w:outlineLvl w:val="5"/>
    </w:pPr>
    <w:rPr>
      <w:rFonts w:asciiTheme="majorHAnsi" w:eastAsiaTheme="majorEastAsia" w:hAnsiTheme="majorHAnsi" w:cstheme="majorBidi"/>
      <w:b/>
      <w:bCs/>
      <w:i/>
      <w:iCs/>
      <w:color w:val="262626" w:themeColor="text1" w:themeTint="D9"/>
    </w:rPr>
  </w:style>
  <w:style w:type="paragraph" w:styleId="Heading7">
    <w:name w:val="heading 7"/>
    <w:aliases w:val="Heading 7 - Appendix A,Heading 7 - Appendix"/>
    <w:basedOn w:val="Normal"/>
    <w:next w:val="Normal"/>
    <w:link w:val="Heading7Char"/>
    <w:unhideWhenUsed/>
    <w:rsid w:val="005A3CF1"/>
    <w:pPr>
      <w:spacing w:after="0"/>
      <w:outlineLvl w:val="6"/>
    </w:pPr>
    <w:rPr>
      <w:rFonts w:asciiTheme="majorHAnsi" w:eastAsiaTheme="majorEastAsia" w:hAnsiTheme="majorHAnsi" w:cstheme="majorBidi"/>
      <w:i/>
      <w:iCs/>
      <w:sz w:val="22"/>
    </w:rPr>
  </w:style>
  <w:style w:type="paragraph" w:styleId="Heading8">
    <w:name w:val="heading 8"/>
    <w:basedOn w:val="Normal"/>
    <w:next w:val="Normal"/>
    <w:link w:val="Heading8Char"/>
    <w:unhideWhenUsed/>
    <w:rsid w:val="005A3CF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nhideWhenUsed/>
    <w:rsid w:val="005A3CF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Section Heading Char"/>
    <w:basedOn w:val="DefaultParagraphFont"/>
    <w:link w:val="Heading1"/>
    <w:rsid w:val="00E04386"/>
    <w:rPr>
      <w:rFonts w:asciiTheme="majorHAnsi" w:eastAsiaTheme="majorEastAsia" w:hAnsiTheme="majorHAnsi" w:cstheme="majorBidi"/>
      <w:b/>
      <w:bCs/>
      <w:sz w:val="36"/>
      <w:szCs w:val="28"/>
    </w:rPr>
  </w:style>
  <w:style w:type="character" w:customStyle="1" w:styleId="Heading2Char">
    <w:name w:val="Heading 2 Char"/>
    <w:aliases w:val="H21 Char,H2 Char,h2 Char,l2 Char,Heading 2  Section Sub Char"/>
    <w:basedOn w:val="DefaultParagraphFont"/>
    <w:link w:val="Heading2"/>
    <w:rsid w:val="005D44FF"/>
    <w:rPr>
      <w:rFonts w:asciiTheme="majorHAnsi" w:eastAsiaTheme="majorEastAsia" w:hAnsiTheme="majorHAnsi" w:cstheme="majorBidi"/>
      <w:b/>
      <w:bCs/>
      <w:sz w:val="32"/>
      <w:szCs w:val="26"/>
    </w:rPr>
  </w:style>
  <w:style w:type="character" w:customStyle="1" w:styleId="Heading3Char">
    <w:name w:val="Heading 3 Char"/>
    <w:aliases w:val="H3 Char,H31 Char,h3 Char,l3 Char,Sub Heading Section Char,1.2.3. Char"/>
    <w:basedOn w:val="DefaultParagraphFont"/>
    <w:link w:val="Heading3"/>
    <w:rsid w:val="00B95F1C"/>
    <w:rPr>
      <w:rFonts w:asciiTheme="majorHAnsi" w:eastAsiaTheme="majorEastAsia" w:hAnsiTheme="majorHAnsi" w:cstheme="majorBidi"/>
      <w:b/>
      <w:bCs/>
      <w:sz w:val="28"/>
    </w:rPr>
  </w:style>
  <w:style w:type="character" w:customStyle="1" w:styleId="Heading4Char">
    <w:name w:val="Heading 4 Char"/>
    <w:basedOn w:val="DefaultParagraphFont"/>
    <w:link w:val="Heading4"/>
    <w:rsid w:val="005A3CF1"/>
    <w:rPr>
      <w:rFonts w:asciiTheme="majorHAnsi" w:eastAsiaTheme="majorEastAsia" w:hAnsiTheme="majorHAnsi" w:cstheme="majorBidi"/>
      <w:b/>
      <w:bCs/>
      <w:iCs/>
      <w:sz w:val="26"/>
    </w:rPr>
  </w:style>
  <w:style w:type="character" w:customStyle="1" w:styleId="Heading5Char">
    <w:name w:val="Heading 5 Char"/>
    <w:aliases w:val="H5 Char"/>
    <w:basedOn w:val="DefaultParagraphFont"/>
    <w:link w:val="Heading5"/>
    <w:uiPriority w:val="99"/>
    <w:rsid w:val="005A3CF1"/>
    <w:rPr>
      <w:rFonts w:asciiTheme="majorHAnsi" w:eastAsiaTheme="majorEastAsia" w:hAnsiTheme="majorHAnsi" w:cstheme="majorBidi"/>
      <w:b/>
      <w:bCs/>
      <w:sz w:val="24"/>
    </w:rPr>
  </w:style>
  <w:style w:type="character" w:customStyle="1" w:styleId="Heading7Char">
    <w:name w:val="Heading 7 Char"/>
    <w:aliases w:val="Heading 7 - Appendix A Char,Heading 7 - Appendix Char"/>
    <w:basedOn w:val="DefaultParagraphFont"/>
    <w:link w:val="Heading7"/>
    <w:uiPriority w:val="99"/>
    <w:rsid w:val="005A3CF1"/>
    <w:rPr>
      <w:rFonts w:asciiTheme="majorHAnsi" w:eastAsiaTheme="majorEastAsia" w:hAnsiTheme="majorHAnsi" w:cstheme="majorBidi"/>
      <w:i/>
      <w:iCs/>
    </w:rPr>
  </w:style>
  <w:style w:type="character" w:customStyle="1" w:styleId="Heading8Char">
    <w:name w:val="Heading 8 Char"/>
    <w:basedOn w:val="DefaultParagraphFont"/>
    <w:link w:val="Heading8"/>
    <w:uiPriority w:val="99"/>
    <w:rsid w:val="005A3CF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9"/>
    <w:rsid w:val="005A3CF1"/>
    <w:rPr>
      <w:rFonts w:asciiTheme="majorHAnsi" w:eastAsiaTheme="majorEastAsia" w:hAnsiTheme="majorHAnsi" w:cstheme="majorBidi"/>
      <w:i/>
      <w:iCs/>
      <w:spacing w:val="5"/>
      <w:sz w:val="20"/>
      <w:szCs w:val="20"/>
    </w:rPr>
  </w:style>
  <w:style w:type="paragraph" w:styleId="Title">
    <w:name w:val="Title"/>
    <w:aliases w:val="Cover title"/>
    <w:basedOn w:val="Normal"/>
    <w:next w:val="Normal"/>
    <w:link w:val="TitleChar"/>
    <w:qFormat/>
    <w:rsid w:val="005A3CF1"/>
    <w:pPr>
      <w:pBdr>
        <w:bottom w:val="single" w:sz="4" w:space="1" w:color="auto"/>
      </w:pBdr>
      <w:spacing w:line="360" w:lineRule="auto"/>
      <w:contextualSpacing/>
    </w:pPr>
    <w:rPr>
      <w:rFonts w:asciiTheme="majorHAnsi" w:eastAsiaTheme="majorEastAsia" w:hAnsiTheme="majorHAnsi" w:cstheme="majorBidi"/>
      <w:b/>
      <w:spacing w:val="5"/>
      <w:sz w:val="36"/>
      <w:szCs w:val="52"/>
    </w:rPr>
  </w:style>
  <w:style w:type="character" w:customStyle="1" w:styleId="TitleChar">
    <w:name w:val="Title Char"/>
    <w:aliases w:val="Cover title Char"/>
    <w:basedOn w:val="DefaultParagraphFont"/>
    <w:link w:val="Title"/>
    <w:uiPriority w:val="99"/>
    <w:rsid w:val="005A3CF1"/>
    <w:rPr>
      <w:rFonts w:asciiTheme="majorHAnsi" w:eastAsiaTheme="majorEastAsia" w:hAnsiTheme="majorHAnsi" w:cstheme="majorBidi"/>
      <w:b/>
      <w:spacing w:val="5"/>
      <w:sz w:val="36"/>
      <w:szCs w:val="52"/>
    </w:rPr>
  </w:style>
  <w:style w:type="paragraph" w:styleId="Subtitle">
    <w:name w:val="Subtitle"/>
    <w:aliases w:val="Cover subtitle"/>
    <w:basedOn w:val="Normal"/>
    <w:next w:val="Normal"/>
    <w:link w:val="SubtitleChar"/>
    <w:qFormat/>
    <w:rsid w:val="005A3CF1"/>
    <w:pPr>
      <w:spacing w:after="600"/>
    </w:pPr>
    <w:rPr>
      <w:rFonts w:asciiTheme="majorHAnsi" w:eastAsiaTheme="majorEastAsia" w:hAnsiTheme="majorHAnsi" w:cstheme="majorBidi"/>
      <w:b/>
      <w:i/>
      <w:iCs/>
      <w:spacing w:val="13"/>
      <w:sz w:val="32"/>
      <w:szCs w:val="24"/>
    </w:rPr>
  </w:style>
  <w:style w:type="character" w:customStyle="1" w:styleId="SubtitleChar">
    <w:name w:val="Subtitle Char"/>
    <w:aliases w:val="Cover subtitle Char"/>
    <w:basedOn w:val="DefaultParagraphFont"/>
    <w:link w:val="Subtitle"/>
    <w:uiPriority w:val="11"/>
    <w:rsid w:val="005A3CF1"/>
    <w:rPr>
      <w:rFonts w:asciiTheme="majorHAnsi" w:eastAsiaTheme="majorEastAsia" w:hAnsiTheme="majorHAnsi" w:cstheme="majorBidi"/>
      <w:b/>
      <w:i/>
      <w:iCs/>
      <w:spacing w:val="13"/>
      <w:sz w:val="32"/>
      <w:szCs w:val="24"/>
    </w:rPr>
  </w:style>
  <w:style w:type="paragraph" w:styleId="TOCHeading">
    <w:name w:val="TOC Heading"/>
    <w:basedOn w:val="Heading1"/>
    <w:next w:val="Normal"/>
    <w:uiPriority w:val="39"/>
    <w:semiHidden/>
    <w:unhideWhenUsed/>
    <w:qFormat/>
    <w:rsid w:val="005A3CF1"/>
    <w:pPr>
      <w:outlineLvl w:val="9"/>
    </w:pPr>
    <w:rPr>
      <w:lang w:bidi="en-US"/>
    </w:rPr>
  </w:style>
  <w:style w:type="character" w:customStyle="1" w:styleId="Heading6Char">
    <w:name w:val="Heading 6 Char"/>
    <w:aliases w:val="H6 Char"/>
    <w:basedOn w:val="DefaultParagraphFont"/>
    <w:link w:val="Heading6"/>
    <w:uiPriority w:val="99"/>
    <w:rsid w:val="001F0911"/>
    <w:rPr>
      <w:rFonts w:asciiTheme="majorHAnsi" w:eastAsiaTheme="majorEastAsia" w:hAnsiTheme="majorHAnsi" w:cstheme="majorBidi"/>
      <w:b/>
      <w:bCs/>
      <w:i/>
      <w:iCs/>
      <w:color w:val="262626" w:themeColor="text1" w:themeTint="D9"/>
      <w:sz w:val="24"/>
    </w:rPr>
  </w:style>
  <w:style w:type="paragraph" w:styleId="TOC1">
    <w:name w:val="toc 1"/>
    <w:basedOn w:val="Normal"/>
    <w:next w:val="Normal"/>
    <w:autoRedefine/>
    <w:uiPriority w:val="39"/>
    <w:unhideWhenUsed/>
    <w:qFormat/>
    <w:rsid w:val="00893821"/>
    <w:pPr>
      <w:spacing w:after="100"/>
    </w:pPr>
  </w:style>
  <w:style w:type="paragraph" w:styleId="TOC2">
    <w:name w:val="toc 2"/>
    <w:basedOn w:val="Normal"/>
    <w:next w:val="Normal"/>
    <w:autoRedefine/>
    <w:uiPriority w:val="39"/>
    <w:unhideWhenUsed/>
    <w:qFormat/>
    <w:rsid w:val="00893821"/>
    <w:pPr>
      <w:spacing w:after="100"/>
      <w:ind w:left="240"/>
    </w:pPr>
  </w:style>
  <w:style w:type="paragraph" w:styleId="TOC3">
    <w:name w:val="toc 3"/>
    <w:basedOn w:val="Normal"/>
    <w:next w:val="Normal"/>
    <w:autoRedefine/>
    <w:uiPriority w:val="39"/>
    <w:unhideWhenUsed/>
    <w:qFormat/>
    <w:rsid w:val="00893821"/>
    <w:pPr>
      <w:spacing w:after="100"/>
      <w:ind w:left="480"/>
    </w:pPr>
  </w:style>
  <w:style w:type="paragraph" w:styleId="Header">
    <w:name w:val="header"/>
    <w:aliases w:val="Header1,Header11,Header12,Header13,Header111,Header121"/>
    <w:basedOn w:val="Normal"/>
    <w:link w:val="HeaderChar"/>
    <w:uiPriority w:val="99"/>
    <w:rsid w:val="00893821"/>
    <w:pPr>
      <w:tabs>
        <w:tab w:val="center" w:pos="4153"/>
        <w:tab w:val="right" w:pos="8306"/>
      </w:tabs>
      <w:spacing w:after="120" w:line="288" w:lineRule="auto"/>
    </w:pPr>
    <w:rPr>
      <w:rFonts w:ascii="Univers 45 Light" w:eastAsia="Times New Roman" w:hAnsi="Univers 45 Light" w:cs="Times New Roman"/>
      <w:sz w:val="16"/>
      <w:szCs w:val="24"/>
      <w:lang w:eastAsia="en-US"/>
    </w:rPr>
  </w:style>
  <w:style w:type="character" w:customStyle="1" w:styleId="HeaderChar">
    <w:name w:val="Header Char"/>
    <w:aliases w:val="Header1 Char1,Header11 Char1,Header12 Char1,Header13 Char1,Header111 Char1,Header121 Char1"/>
    <w:basedOn w:val="DefaultParagraphFont"/>
    <w:link w:val="Header"/>
    <w:uiPriority w:val="99"/>
    <w:rsid w:val="00893821"/>
    <w:rPr>
      <w:rFonts w:ascii="Univers 45 Light" w:eastAsia="Times New Roman" w:hAnsi="Univers 45 Light" w:cs="Times New Roman"/>
      <w:sz w:val="16"/>
      <w:szCs w:val="24"/>
      <w:lang w:eastAsia="en-US"/>
    </w:rPr>
  </w:style>
  <w:style w:type="paragraph" w:styleId="Footer">
    <w:name w:val="footer"/>
    <w:basedOn w:val="Normal"/>
    <w:link w:val="FooterChar"/>
    <w:uiPriority w:val="99"/>
    <w:rsid w:val="00893821"/>
    <w:pPr>
      <w:tabs>
        <w:tab w:val="center" w:pos="4153"/>
        <w:tab w:val="right" w:pos="8306"/>
      </w:tabs>
      <w:spacing w:after="0" w:line="240" w:lineRule="auto"/>
      <w:ind w:right="310"/>
    </w:pPr>
    <w:rPr>
      <w:rFonts w:ascii="Univers 45 Light" w:eastAsia="Times New Roman" w:hAnsi="Univers 45 Light" w:cs="Times New Roman"/>
      <w:bCs/>
      <w:color w:val="8AA5CB"/>
      <w:sz w:val="12"/>
      <w:szCs w:val="12"/>
      <w:lang w:val="en-US" w:eastAsia="en-US"/>
    </w:rPr>
  </w:style>
  <w:style w:type="character" w:customStyle="1" w:styleId="FooterChar">
    <w:name w:val="Footer Char"/>
    <w:basedOn w:val="DefaultParagraphFont"/>
    <w:link w:val="Footer"/>
    <w:uiPriority w:val="99"/>
    <w:rsid w:val="00893821"/>
    <w:rPr>
      <w:rFonts w:ascii="Univers 45 Light" w:eastAsia="Times New Roman" w:hAnsi="Univers 45 Light" w:cs="Times New Roman"/>
      <w:bCs/>
      <w:color w:val="8AA5CB"/>
      <w:sz w:val="12"/>
      <w:szCs w:val="12"/>
      <w:lang w:val="en-US" w:eastAsia="en-US"/>
    </w:rPr>
  </w:style>
  <w:style w:type="paragraph" w:styleId="BalloonText">
    <w:name w:val="Balloon Text"/>
    <w:basedOn w:val="Normal"/>
    <w:link w:val="BalloonTextChar"/>
    <w:rsid w:val="00893821"/>
    <w:pPr>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893821"/>
    <w:rPr>
      <w:rFonts w:ascii="Tahoma" w:eastAsia="Times New Roman" w:hAnsi="Tahoma" w:cs="Tahoma"/>
      <w:sz w:val="16"/>
      <w:szCs w:val="16"/>
      <w:lang w:eastAsia="en-US"/>
    </w:rPr>
  </w:style>
  <w:style w:type="table" w:styleId="TableGrid">
    <w:name w:val="Table Grid"/>
    <w:basedOn w:val="TableNormal"/>
    <w:uiPriority w:val="39"/>
    <w:rsid w:val="00893821"/>
    <w:pPr>
      <w:spacing w:after="0" w:line="240" w:lineRule="auto"/>
    </w:pPr>
    <w:rPr>
      <w:rFonts w:ascii="Univers 45 Light" w:eastAsia="Times New Roman" w:hAnsi="Univers 45 Light" w:cs="Times New Roman"/>
      <w:sz w:val="20"/>
      <w:szCs w:val="20"/>
      <w:lang w:val="en-US" w:eastAsia="en-US"/>
    </w:rPr>
    <w:tblPr/>
  </w:style>
  <w:style w:type="paragraph" w:customStyle="1" w:styleId="Covertitledate">
    <w:name w:val="Cover title date"/>
    <w:basedOn w:val="Subtitle"/>
    <w:semiHidden/>
    <w:rsid w:val="00893821"/>
    <w:pPr>
      <w:spacing w:after="360" w:line="280" w:lineRule="atLeast"/>
      <w:jc w:val="right"/>
    </w:pPr>
    <w:rPr>
      <w:rFonts w:ascii="Univers 45 Light" w:eastAsia="Times New Roman" w:hAnsi="Univers 45 Light" w:cs="Arial"/>
      <w:b w:val="0"/>
      <w:i w:val="0"/>
      <w:iCs w:val="0"/>
      <w:color w:val="FFFFFF"/>
      <w:spacing w:val="0"/>
      <w:sz w:val="28"/>
      <w:lang w:eastAsia="en-US"/>
    </w:rPr>
  </w:style>
  <w:style w:type="paragraph" w:customStyle="1" w:styleId="Covertitleheader">
    <w:name w:val="Cover title header"/>
    <w:basedOn w:val="Normal"/>
    <w:semiHidden/>
    <w:rsid w:val="00893821"/>
    <w:pPr>
      <w:spacing w:before="240" w:after="360" w:line="200" w:lineRule="atLeast"/>
      <w:jc w:val="right"/>
    </w:pPr>
    <w:rPr>
      <w:rFonts w:ascii="Univers 45 Light" w:eastAsia="Times New Roman" w:hAnsi="Univers 45 Light" w:cs="Arial"/>
      <w:color w:val="FFFFFF"/>
      <w:sz w:val="18"/>
      <w:szCs w:val="24"/>
      <w:lang w:eastAsia="en-US"/>
    </w:rPr>
  </w:style>
  <w:style w:type="paragraph" w:customStyle="1" w:styleId="Covertitlefooter">
    <w:name w:val="Cover title footer"/>
    <w:basedOn w:val="Covertitleheader"/>
    <w:semiHidden/>
    <w:rsid w:val="00893821"/>
    <w:pPr>
      <w:spacing w:after="200"/>
    </w:pPr>
  </w:style>
  <w:style w:type="paragraph" w:customStyle="1" w:styleId="Tablebullet">
    <w:name w:val="Table bullet"/>
    <w:basedOn w:val="Bullet"/>
    <w:rsid w:val="00893821"/>
    <w:pPr>
      <w:spacing w:before="40" w:after="40"/>
    </w:pPr>
    <w:rPr>
      <w:noProof/>
      <w:sz w:val="18"/>
      <w:szCs w:val="18"/>
    </w:rPr>
  </w:style>
  <w:style w:type="paragraph" w:customStyle="1" w:styleId="Numberedbullet">
    <w:name w:val="Numbered bullet"/>
    <w:basedOn w:val="Normal"/>
    <w:rsid w:val="00893821"/>
    <w:pPr>
      <w:keepLines/>
      <w:numPr>
        <w:numId w:val="1"/>
      </w:numPr>
      <w:tabs>
        <w:tab w:val="clear" w:pos="360"/>
      </w:tabs>
      <w:spacing w:after="0" w:line="240" w:lineRule="auto"/>
      <w:ind w:left="289" w:hanging="289"/>
    </w:pPr>
    <w:rPr>
      <w:rFonts w:ascii="Univers 45 Light" w:eastAsia="Times New Roman" w:hAnsi="Univers 45 Light" w:cs="Times New Roman"/>
      <w:sz w:val="20"/>
      <w:szCs w:val="24"/>
      <w:lang w:eastAsia="en-US"/>
    </w:rPr>
  </w:style>
  <w:style w:type="paragraph" w:customStyle="1" w:styleId="Alphabullet">
    <w:name w:val="Alpha bullet"/>
    <w:basedOn w:val="Numberedbullet"/>
    <w:rsid w:val="00893821"/>
    <w:pPr>
      <w:numPr>
        <w:ilvl w:val="1"/>
      </w:numPr>
      <w:tabs>
        <w:tab w:val="clear" w:pos="720"/>
      </w:tabs>
      <w:ind w:left="289" w:hanging="289"/>
    </w:pPr>
  </w:style>
  <w:style w:type="numbering" w:customStyle="1" w:styleId="Text">
    <w:name w:val="Text"/>
    <w:uiPriority w:val="99"/>
    <w:rsid w:val="00893821"/>
    <w:pPr>
      <w:numPr>
        <w:numId w:val="8"/>
      </w:numPr>
    </w:pPr>
  </w:style>
  <w:style w:type="paragraph" w:customStyle="1" w:styleId="Tablebulletsub">
    <w:name w:val="Table bullet sub"/>
    <w:basedOn w:val="Bulletsub"/>
    <w:rsid w:val="00893821"/>
    <w:pPr>
      <w:numPr>
        <w:numId w:val="4"/>
      </w:numPr>
      <w:spacing w:before="40" w:after="40"/>
      <w:ind w:left="539" w:hanging="255"/>
    </w:pPr>
    <w:rPr>
      <w:noProof/>
      <w:sz w:val="18"/>
    </w:rPr>
  </w:style>
  <w:style w:type="paragraph" w:styleId="Revision">
    <w:name w:val="Revision"/>
    <w:hidden/>
    <w:uiPriority w:val="99"/>
    <w:semiHidden/>
    <w:rsid w:val="00893821"/>
    <w:pPr>
      <w:spacing w:after="0" w:line="240" w:lineRule="auto"/>
    </w:pPr>
    <w:rPr>
      <w:rFonts w:ascii="Univers 45 Light" w:eastAsia="Times New Roman" w:hAnsi="Univers 45 Light" w:cs="Times New Roman"/>
      <w:sz w:val="20"/>
      <w:szCs w:val="24"/>
      <w:lang w:val="en-GB" w:eastAsia="en-US"/>
    </w:rPr>
  </w:style>
  <w:style w:type="paragraph" w:customStyle="1" w:styleId="Bodytextnavyhighlight">
    <w:name w:val="Body text navy highlight"/>
    <w:basedOn w:val="BodyText1"/>
    <w:rsid w:val="00893821"/>
    <w:rPr>
      <w:b/>
      <w:color w:val="10CF9B" w:themeColor="accent4"/>
    </w:rPr>
  </w:style>
  <w:style w:type="paragraph" w:styleId="FootnoteText">
    <w:name w:val="footnote text"/>
    <w:aliases w:val="F1"/>
    <w:basedOn w:val="Normal"/>
    <w:link w:val="FootnoteTextChar"/>
    <w:uiPriority w:val="99"/>
    <w:rsid w:val="00893821"/>
    <w:pPr>
      <w:spacing w:after="40" w:line="288" w:lineRule="auto"/>
    </w:pPr>
    <w:rPr>
      <w:rFonts w:ascii="Univers 45 Light" w:eastAsia="Times New Roman" w:hAnsi="Univers 45 Light" w:cs="Times New Roman"/>
      <w:sz w:val="16"/>
      <w:szCs w:val="20"/>
      <w:lang w:eastAsia="en-US"/>
    </w:rPr>
  </w:style>
  <w:style w:type="character" w:customStyle="1" w:styleId="FootnoteTextChar">
    <w:name w:val="Footnote Text Char"/>
    <w:aliases w:val="F1 Char"/>
    <w:basedOn w:val="DefaultParagraphFont"/>
    <w:link w:val="FootnoteText"/>
    <w:uiPriority w:val="99"/>
    <w:rsid w:val="00893821"/>
    <w:rPr>
      <w:rFonts w:ascii="Univers 45 Light" w:eastAsia="Times New Roman" w:hAnsi="Univers 45 Light" w:cs="Times New Roman"/>
      <w:sz w:val="16"/>
      <w:szCs w:val="20"/>
      <w:lang w:eastAsia="en-US"/>
    </w:rPr>
  </w:style>
  <w:style w:type="character" w:styleId="FootnoteReference">
    <w:name w:val="footnote reference"/>
    <w:aliases w:val="fr,Endnote Reference-1"/>
    <w:basedOn w:val="DefaultParagraphFont"/>
    <w:uiPriority w:val="99"/>
    <w:rsid w:val="00893821"/>
    <w:rPr>
      <w:vertAlign w:val="superscript"/>
    </w:rPr>
  </w:style>
  <w:style w:type="paragraph" w:customStyle="1" w:styleId="Contentstitle">
    <w:name w:val="Contents title"/>
    <w:basedOn w:val="Normal"/>
    <w:semiHidden/>
    <w:rsid w:val="00893821"/>
    <w:pPr>
      <w:pageBreakBefore/>
      <w:spacing w:after="500" w:line="500" w:lineRule="atLeast"/>
    </w:pPr>
    <w:rPr>
      <w:rFonts w:ascii="Univers 45 Light" w:eastAsiaTheme="minorHAnsi" w:hAnsi="Univers 45 Light"/>
      <w:b/>
      <w:color w:val="00338D"/>
      <w:sz w:val="44"/>
      <w:lang w:eastAsia="en-US"/>
    </w:rPr>
  </w:style>
  <w:style w:type="character" w:styleId="Hyperlink">
    <w:name w:val="Hyperlink"/>
    <w:basedOn w:val="DefaultParagraphFont"/>
    <w:uiPriority w:val="99"/>
    <w:unhideWhenUsed/>
    <w:rsid w:val="00893821"/>
    <w:rPr>
      <w:rFonts w:ascii="Univers 45 Light" w:hAnsi="Univers 45 Light"/>
      <w:color w:val="0F6FC6" w:themeColor="accent1"/>
      <w:sz w:val="20"/>
      <w:u w:val="single"/>
    </w:rPr>
  </w:style>
  <w:style w:type="paragraph" w:customStyle="1" w:styleId="Source">
    <w:name w:val="Source"/>
    <w:basedOn w:val="BodyText1"/>
    <w:rsid w:val="00893821"/>
    <w:pPr>
      <w:tabs>
        <w:tab w:val="left" w:pos="1134"/>
      </w:tabs>
      <w:spacing w:before="40"/>
      <w:ind w:left="851" w:hanging="851"/>
    </w:pPr>
    <w:rPr>
      <w:sz w:val="12"/>
    </w:rPr>
  </w:style>
  <w:style w:type="paragraph" w:styleId="TOC4">
    <w:name w:val="toc 4"/>
    <w:aliases w:val="Appendix"/>
    <w:basedOn w:val="TOC1"/>
    <w:next w:val="Normal"/>
    <w:autoRedefine/>
    <w:uiPriority w:val="39"/>
    <w:rsid w:val="00893821"/>
    <w:pPr>
      <w:tabs>
        <w:tab w:val="left" w:pos="851"/>
        <w:tab w:val="left" w:pos="1701"/>
        <w:tab w:val="right" w:pos="9016"/>
      </w:tabs>
      <w:spacing w:after="0" w:line="240" w:lineRule="auto"/>
      <w:ind w:left="400" w:hanging="851"/>
    </w:pPr>
    <w:rPr>
      <w:rFonts w:eastAsia="Times New Roman" w:cs="Times New Roman"/>
      <w:caps/>
      <w:sz w:val="20"/>
      <w:szCs w:val="20"/>
      <w:lang w:eastAsia="en-US"/>
    </w:rPr>
  </w:style>
  <w:style w:type="numbering" w:styleId="111111">
    <w:name w:val="Outline List 2"/>
    <w:basedOn w:val="NoList"/>
    <w:semiHidden/>
    <w:rsid w:val="00893821"/>
    <w:pPr>
      <w:numPr>
        <w:numId w:val="2"/>
      </w:numPr>
    </w:pPr>
  </w:style>
  <w:style w:type="paragraph" w:customStyle="1" w:styleId="Image">
    <w:name w:val="Image"/>
    <w:basedOn w:val="Normal"/>
    <w:next w:val="Heading1"/>
    <w:semiHidden/>
    <w:rsid w:val="00893821"/>
    <w:pPr>
      <w:pageBreakBefore/>
      <w:framePr w:w="2665" w:h="6685" w:hRule="exact" w:wrap="around" w:vAnchor="page" w:hAnchor="page" w:x="766" w:yAlign="top"/>
      <w:spacing w:after="0" w:line="288" w:lineRule="auto"/>
      <w:ind w:right="-6"/>
      <w:jc w:val="center"/>
    </w:pPr>
    <w:rPr>
      <w:rFonts w:ascii="Univers 45 Light" w:eastAsia="Times New Roman" w:hAnsi="Univers 45 Light" w:cs="Times New Roman"/>
      <w:sz w:val="18"/>
      <w:szCs w:val="24"/>
      <w:lang w:eastAsia="en-US"/>
    </w:rPr>
  </w:style>
  <w:style w:type="numbering" w:styleId="1ai">
    <w:name w:val="Outline List 1"/>
    <w:basedOn w:val="NoList"/>
    <w:semiHidden/>
    <w:rsid w:val="00893821"/>
    <w:pPr>
      <w:numPr>
        <w:numId w:val="3"/>
      </w:numPr>
    </w:pPr>
  </w:style>
  <w:style w:type="paragraph" w:styleId="Caption">
    <w:name w:val="caption"/>
    <w:basedOn w:val="Normal"/>
    <w:next w:val="Normal"/>
    <w:unhideWhenUsed/>
    <w:qFormat/>
    <w:rsid w:val="00893821"/>
    <w:pPr>
      <w:keepNext/>
      <w:spacing w:before="140" w:after="140" w:line="240" w:lineRule="auto"/>
    </w:pPr>
    <w:rPr>
      <w:rFonts w:ascii="Univers 45 Light" w:eastAsia="Univers 45 Light" w:hAnsi="Univers 45 Light" w:cs="Times New Roman"/>
      <w:bCs/>
      <w:color w:val="00338D"/>
      <w:sz w:val="20"/>
      <w:szCs w:val="20"/>
      <w:lang w:eastAsia="en-US"/>
    </w:rPr>
  </w:style>
  <w:style w:type="table" w:styleId="Table3Deffects1">
    <w:name w:val="Table 3D effects 1"/>
    <w:basedOn w:val="TableNormal"/>
    <w:semiHidden/>
    <w:rsid w:val="00893821"/>
    <w:pPr>
      <w:spacing w:after="0" w:line="240" w:lineRule="auto"/>
    </w:pPr>
    <w:rPr>
      <w:rFonts w:ascii="Univers 45 Light" w:eastAsia="Times New Roman" w:hAnsi="Univers 45 Light" w:cs="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93821"/>
    <w:pPr>
      <w:spacing w:after="0" w:line="240" w:lineRule="auto"/>
    </w:pPr>
    <w:rPr>
      <w:rFonts w:ascii="Univers 45 Light" w:eastAsia="Times New Roman" w:hAnsi="Univers 45 Light" w:cs="Times New Roman"/>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93821"/>
    <w:pPr>
      <w:spacing w:after="0" w:line="240" w:lineRule="auto"/>
    </w:pPr>
    <w:rPr>
      <w:rFonts w:ascii="Univers 45 Light" w:eastAsia="Times New Roman" w:hAnsi="Univers 45 Light" w:cs="Times New Roman"/>
      <w:color w:val="FFFFFF"/>
      <w:sz w:val="20"/>
      <w:szCs w:val="20"/>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93821"/>
    <w:pPr>
      <w:spacing w:after="0" w:line="240" w:lineRule="auto"/>
    </w:pPr>
    <w:rPr>
      <w:rFonts w:ascii="Univers 45 Light" w:eastAsia="Times New Roman" w:hAnsi="Univers 45 Light" w:cs="Times New Roman"/>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MacroText">
    <w:name w:val="macro"/>
    <w:link w:val="MacroTextChar"/>
    <w:semiHidden/>
    <w:rsid w:val="0089382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en-US"/>
    </w:rPr>
  </w:style>
  <w:style w:type="character" w:customStyle="1" w:styleId="MacroTextChar">
    <w:name w:val="Macro Text Char"/>
    <w:basedOn w:val="DefaultParagraphFont"/>
    <w:link w:val="MacroText"/>
    <w:semiHidden/>
    <w:rsid w:val="00893821"/>
    <w:rPr>
      <w:rFonts w:ascii="Courier New" w:eastAsia="Times New Roman" w:hAnsi="Courier New" w:cs="Times New Roman"/>
      <w:sz w:val="20"/>
      <w:szCs w:val="20"/>
      <w:lang w:val="en-GB" w:eastAsia="en-US"/>
    </w:rPr>
  </w:style>
  <w:style w:type="paragraph" w:styleId="TableofAuthorities">
    <w:name w:val="table of authorities"/>
    <w:basedOn w:val="Normal"/>
    <w:next w:val="Normal"/>
    <w:semiHidden/>
    <w:rsid w:val="00893821"/>
    <w:pPr>
      <w:spacing w:after="0" w:line="240" w:lineRule="auto"/>
      <w:ind w:left="240" w:hanging="240"/>
    </w:pPr>
    <w:rPr>
      <w:rFonts w:ascii="Univers 45 Light" w:eastAsia="Times New Roman" w:hAnsi="Univers 45 Light" w:cs="Times New Roman"/>
      <w:sz w:val="20"/>
      <w:szCs w:val="24"/>
      <w:lang w:eastAsia="en-US"/>
    </w:rPr>
  </w:style>
  <w:style w:type="paragraph" w:styleId="TableofFigures">
    <w:name w:val="table of figures"/>
    <w:basedOn w:val="Normal"/>
    <w:next w:val="Normal"/>
    <w:rsid w:val="00893821"/>
    <w:pPr>
      <w:spacing w:after="0" w:line="240" w:lineRule="auto"/>
    </w:pPr>
    <w:rPr>
      <w:rFonts w:ascii="Univers 45 Light" w:eastAsia="Times New Roman" w:hAnsi="Univers 45 Light" w:cs="Times New Roman"/>
      <w:sz w:val="20"/>
      <w:szCs w:val="24"/>
      <w:lang w:eastAsia="en-US"/>
    </w:rPr>
  </w:style>
  <w:style w:type="paragraph" w:styleId="TOAHeading">
    <w:name w:val="toa heading"/>
    <w:basedOn w:val="Normal"/>
    <w:next w:val="Normal"/>
    <w:semiHidden/>
    <w:rsid w:val="00893821"/>
    <w:pPr>
      <w:spacing w:before="120" w:after="0" w:line="240" w:lineRule="auto"/>
    </w:pPr>
    <w:rPr>
      <w:rFonts w:ascii="Univers 45 Light" w:eastAsia="Times New Roman" w:hAnsi="Univers 45 Light" w:cs="Times New Roman"/>
      <w:b/>
      <w:bCs/>
      <w:sz w:val="20"/>
      <w:szCs w:val="24"/>
      <w:lang w:eastAsia="en-US"/>
    </w:rPr>
  </w:style>
  <w:style w:type="paragraph" w:customStyle="1" w:styleId="Tableheading">
    <w:name w:val="Table heading"/>
    <w:rsid w:val="00893821"/>
    <w:pPr>
      <w:keepNext/>
      <w:spacing w:before="40" w:after="40" w:line="240" w:lineRule="auto"/>
    </w:pPr>
    <w:rPr>
      <w:rFonts w:ascii="Univers 45 Light" w:eastAsia="Times New Roman" w:hAnsi="Univers 45 Light" w:cs="Arial"/>
      <w:b/>
      <w:color w:val="FFFFFF"/>
      <w:sz w:val="18"/>
      <w:szCs w:val="24"/>
      <w:lang w:val="en-GB" w:eastAsia="en-GB"/>
    </w:rPr>
  </w:style>
  <w:style w:type="paragraph" w:customStyle="1" w:styleId="Contactname">
    <w:name w:val="Contact name"/>
    <w:basedOn w:val="Normal"/>
    <w:next w:val="Normal"/>
    <w:semiHidden/>
    <w:qFormat/>
    <w:rsid w:val="00893821"/>
    <w:pPr>
      <w:spacing w:before="240" w:after="0" w:line="240" w:lineRule="atLeast"/>
    </w:pPr>
    <w:rPr>
      <w:rFonts w:ascii="Univers 45 Light" w:eastAsiaTheme="minorHAnsi" w:hAnsi="Univers 45 Light"/>
      <w:b/>
      <w:color w:val="00338D"/>
      <w:sz w:val="20"/>
      <w:lang w:eastAsia="en-US"/>
    </w:rPr>
  </w:style>
  <w:style w:type="paragraph" w:customStyle="1" w:styleId="Contacttelephone">
    <w:name w:val="Contact telephone"/>
    <w:basedOn w:val="Normal"/>
    <w:next w:val="Contactemail"/>
    <w:semiHidden/>
    <w:qFormat/>
    <w:rsid w:val="00893821"/>
    <w:pPr>
      <w:spacing w:after="0" w:line="240" w:lineRule="atLeast"/>
    </w:pPr>
    <w:rPr>
      <w:rFonts w:ascii="Univers 45 Light" w:eastAsiaTheme="minorHAnsi" w:hAnsi="Univers 45 Light"/>
      <w:color w:val="000000" w:themeColor="text1"/>
      <w:sz w:val="20"/>
      <w:lang w:eastAsia="en-US"/>
    </w:rPr>
  </w:style>
  <w:style w:type="paragraph" w:customStyle="1" w:styleId="Contactemail">
    <w:name w:val="Contact email"/>
    <w:basedOn w:val="Normal"/>
    <w:next w:val="Contactname"/>
    <w:semiHidden/>
    <w:qFormat/>
    <w:rsid w:val="00893821"/>
    <w:pPr>
      <w:spacing w:after="0" w:line="240" w:lineRule="atLeast"/>
    </w:pPr>
    <w:rPr>
      <w:rFonts w:ascii="Univers 45 Light" w:eastAsiaTheme="minorHAnsi" w:hAnsi="Univers 45 Light"/>
      <w:color w:val="000000" w:themeColor="text1"/>
      <w:sz w:val="20"/>
      <w:lang w:eastAsia="en-US"/>
    </w:rPr>
  </w:style>
  <w:style w:type="paragraph" w:customStyle="1" w:styleId="Disclaimer">
    <w:name w:val="Disclaimer"/>
    <w:basedOn w:val="Normal"/>
    <w:unhideWhenUsed/>
    <w:qFormat/>
    <w:rsid w:val="00893821"/>
    <w:pPr>
      <w:framePr w:wrap="around" w:vAnchor="page" w:hAnchor="page" w:x="664" w:y="12003"/>
      <w:spacing w:before="120" w:after="0" w:line="240" w:lineRule="auto"/>
    </w:pPr>
    <w:rPr>
      <w:rFonts w:ascii="Univers 45 Light" w:eastAsiaTheme="minorHAnsi" w:hAnsi="Univers 45 Light"/>
      <w:color w:val="000000" w:themeColor="text1"/>
      <w:sz w:val="16"/>
      <w:lang w:eastAsia="en-US"/>
    </w:rPr>
  </w:style>
  <w:style w:type="paragraph" w:customStyle="1" w:styleId="Bulletsub">
    <w:name w:val="Bullet sub"/>
    <w:basedOn w:val="Normal"/>
    <w:rsid w:val="00893821"/>
    <w:pPr>
      <w:numPr>
        <w:numId w:val="5"/>
      </w:numPr>
      <w:spacing w:after="0" w:line="240" w:lineRule="auto"/>
      <w:ind w:left="568" w:hanging="284"/>
    </w:pPr>
    <w:rPr>
      <w:rFonts w:ascii="Univers 45 Light" w:eastAsiaTheme="minorHAnsi" w:hAnsi="Univers 45 Light"/>
      <w:sz w:val="20"/>
      <w:lang w:eastAsia="en-US"/>
    </w:rPr>
  </w:style>
  <w:style w:type="character" w:customStyle="1" w:styleId="Contactbold">
    <w:name w:val="Contact bold"/>
    <w:basedOn w:val="DefaultParagraphFont"/>
    <w:semiHidden/>
    <w:qFormat/>
    <w:rsid w:val="00893821"/>
    <w:rPr>
      <w:rFonts w:ascii="Univers 45 Light" w:hAnsi="Univers 45 Light"/>
      <w:b/>
      <w:color w:val="000000" w:themeColor="text1"/>
      <w:sz w:val="20"/>
    </w:rPr>
  </w:style>
  <w:style w:type="paragraph" w:customStyle="1" w:styleId="Bodytextpurplehighlight">
    <w:name w:val="Body text purple highlight"/>
    <w:basedOn w:val="Bodytextnavyhighlight"/>
    <w:rsid w:val="00893821"/>
    <w:rPr>
      <w:color w:val="0F6FC6" w:themeColor="accent1"/>
    </w:rPr>
  </w:style>
  <w:style w:type="paragraph" w:customStyle="1" w:styleId="BodyText1">
    <w:name w:val="Body Text1"/>
    <w:basedOn w:val="Normal"/>
    <w:qFormat/>
    <w:rsid w:val="00893821"/>
    <w:pPr>
      <w:spacing w:before="140" w:after="280" w:line="240" w:lineRule="auto"/>
    </w:pPr>
    <w:rPr>
      <w:rFonts w:ascii="Univers 45 Light" w:eastAsiaTheme="minorHAnsi" w:hAnsi="Univers 45 Light"/>
      <w:color w:val="000000" w:themeColor="text1"/>
      <w:sz w:val="20"/>
      <w:lang w:eastAsia="en-US"/>
    </w:rPr>
  </w:style>
  <w:style w:type="paragraph" w:customStyle="1" w:styleId="Introparagraph">
    <w:name w:val="Intro paragraph"/>
    <w:basedOn w:val="Normal"/>
    <w:next w:val="BodyText1"/>
    <w:rsid w:val="00893821"/>
    <w:pPr>
      <w:keepNext/>
      <w:spacing w:after="288" w:line="240" w:lineRule="auto"/>
    </w:pPr>
    <w:rPr>
      <w:rFonts w:eastAsiaTheme="minorHAnsi"/>
      <w:color w:val="0F6FC6" w:themeColor="accent1"/>
      <w:sz w:val="28"/>
      <w:lang w:eastAsia="en-US"/>
    </w:rPr>
  </w:style>
  <w:style w:type="paragraph" w:customStyle="1" w:styleId="Subheading">
    <w:name w:val="Subheading"/>
    <w:basedOn w:val="Normal"/>
    <w:next w:val="BodyText1"/>
    <w:rsid w:val="00893821"/>
    <w:pPr>
      <w:keepNext/>
      <w:spacing w:before="140" w:after="140" w:line="240" w:lineRule="auto"/>
    </w:pPr>
    <w:rPr>
      <w:rFonts w:ascii="Univers 45 Light" w:eastAsiaTheme="minorHAnsi" w:hAnsi="Univers 45 Light"/>
      <w:color w:val="04617B" w:themeColor="text2"/>
      <w:sz w:val="20"/>
      <w:lang w:eastAsia="en-US"/>
    </w:rPr>
  </w:style>
  <w:style w:type="paragraph" w:customStyle="1" w:styleId="Bodytextprebullet">
    <w:name w:val="Body text pre bullet"/>
    <w:basedOn w:val="BodyText1"/>
    <w:rsid w:val="00893821"/>
    <w:pPr>
      <w:keepNext/>
      <w:spacing w:after="140"/>
    </w:pPr>
  </w:style>
  <w:style w:type="paragraph" w:customStyle="1" w:styleId="Bullet">
    <w:name w:val="Bullet"/>
    <w:basedOn w:val="Normal"/>
    <w:link w:val="BulletChar"/>
    <w:autoRedefine/>
    <w:rsid w:val="00893821"/>
    <w:pPr>
      <w:numPr>
        <w:numId w:val="6"/>
      </w:numPr>
      <w:spacing w:before="70" w:after="70" w:line="240" w:lineRule="auto"/>
      <w:ind w:left="284"/>
    </w:pPr>
    <w:rPr>
      <w:rFonts w:ascii="Univers 45 Light" w:eastAsiaTheme="minorHAnsi" w:hAnsi="Univers 45 Light"/>
      <w:sz w:val="20"/>
      <w:lang w:eastAsia="en-US"/>
    </w:rPr>
  </w:style>
  <w:style w:type="paragraph" w:customStyle="1" w:styleId="Bulletlast">
    <w:name w:val="Bullet last"/>
    <w:basedOn w:val="Bullet"/>
    <w:next w:val="BodyText1"/>
    <w:link w:val="BulletlastChar"/>
    <w:rsid w:val="00893821"/>
    <w:pPr>
      <w:spacing w:after="280"/>
    </w:pPr>
  </w:style>
  <w:style w:type="paragraph" w:customStyle="1" w:styleId="Note">
    <w:name w:val="Note"/>
    <w:basedOn w:val="Source"/>
    <w:rsid w:val="00893821"/>
    <w:pPr>
      <w:spacing w:after="0"/>
    </w:pPr>
  </w:style>
  <w:style w:type="paragraph" w:customStyle="1" w:styleId="Tabletext">
    <w:name w:val="Table text"/>
    <w:basedOn w:val="Normal"/>
    <w:rsid w:val="00893821"/>
    <w:pPr>
      <w:spacing w:before="40" w:after="40" w:line="240" w:lineRule="auto"/>
    </w:pPr>
    <w:rPr>
      <w:rFonts w:ascii="Univers 45 Light" w:eastAsiaTheme="minorHAnsi" w:hAnsi="Univers 45 Light"/>
      <w:color w:val="000000" w:themeColor="text1"/>
      <w:sz w:val="18"/>
      <w:lang w:eastAsia="en-US"/>
    </w:rPr>
  </w:style>
  <w:style w:type="paragraph" w:customStyle="1" w:styleId="Tabletextleft">
    <w:name w:val="Table text left"/>
    <w:basedOn w:val="Tabletext"/>
    <w:rsid w:val="00893821"/>
  </w:style>
  <w:style w:type="paragraph" w:customStyle="1" w:styleId="Tabletextright">
    <w:name w:val="Table text right"/>
    <w:basedOn w:val="Tabletext"/>
    <w:qFormat/>
    <w:rsid w:val="00893821"/>
    <w:pPr>
      <w:jc w:val="right"/>
    </w:pPr>
  </w:style>
  <w:style w:type="table" w:customStyle="1" w:styleId="KPMGtable">
    <w:name w:val="_KPMG table"/>
    <w:basedOn w:val="TableNormal"/>
    <w:rsid w:val="00893821"/>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Tableheadingleft">
    <w:name w:val="Table heading left"/>
    <w:rsid w:val="00893821"/>
    <w:pPr>
      <w:keepNext/>
      <w:spacing w:before="40" w:after="40" w:line="240" w:lineRule="auto"/>
    </w:pPr>
    <w:rPr>
      <w:rFonts w:ascii="Univers 45 Light" w:eastAsia="Times New Roman" w:hAnsi="Univers 45 Light" w:cs="Arial"/>
      <w:b/>
      <w:color w:val="FFFFFF"/>
      <w:sz w:val="18"/>
      <w:szCs w:val="24"/>
      <w:lang w:val="en-GB" w:eastAsia="en-GB"/>
    </w:rPr>
  </w:style>
  <w:style w:type="paragraph" w:customStyle="1" w:styleId="Termsheading">
    <w:name w:val="Terms heading"/>
    <w:basedOn w:val="Normal"/>
    <w:semiHidden/>
    <w:qFormat/>
    <w:rsid w:val="00893821"/>
    <w:pPr>
      <w:pageBreakBefore/>
      <w:spacing w:after="0" w:line="240" w:lineRule="auto"/>
    </w:pPr>
    <w:rPr>
      <w:rFonts w:ascii="Univers 45 Light" w:eastAsiaTheme="minorHAnsi" w:hAnsi="Univers 45 Light"/>
      <w:b/>
      <w:color w:val="000000" w:themeColor="text1"/>
      <w:lang w:eastAsia="en-US"/>
    </w:rPr>
  </w:style>
  <w:style w:type="paragraph" w:customStyle="1" w:styleId="Termslevel1">
    <w:name w:val="_Terms level 1"/>
    <w:next w:val="Termslevel2"/>
    <w:semiHidden/>
    <w:locked/>
    <w:rsid w:val="00893821"/>
    <w:pPr>
      <w:numPr>
        <w:numId w:val="7"/>
      </w:numPr>
      <w:tabs>
        <w:tab w:val="left" w:pos="426"/>
      </w:tabs>
      <w:spacing w:before="170" w:after="0" w:line="240" w:lineRule="auto"/>
      <w:ind w:left="426" w:hanging="426"/>
    </w:pPr>
    <w:rPr>
      <w:rFonts w:ascii="Univers 45 Light" w:eastAsia="Times New Roman" w:hAnsi="Univers 45 Light" w:cs="Arial"/>
      <w:b/>
      <w:sz w:val="17"/>
      <w:szCs w:val="24"/>
      <w:lang w:val="en-GB" w:eastAsia="en-GB"/>
    </w:rPr>
  </w:style>
  <w:style w:type="paragraph" w:customStyle="1" w:styleId="Termslevel2">
    <w:name w:val="_Terms level 2"/>
    <w:basedOn w:val="Termslevel1"/>
    <w:next w:val="Termslevel3"/>
    <w:semiHidden/>
    <w:locked/>
    <w:rsid w:val="00893821"/>
    <w:pPr>
      <w:numPr>
        <w:ilvl w:val="1"/>
      </w:numPr>
      <w:tabs>
        <w:tab w:val="clear" w:pos="340"/>
        <w:tab w:val="left" w:pos="993"/>
      </w:tabs>
      <w:spacing w:before="0"/>
      <w:ind w:left="426" w:hanging="426"/>
    </w:pPr>
    <w:rPr>
      <w:b w:val="0"/>
      <w:sz w:val="14"/>
    </w:rPr>
  </w:style>
  <w:style w:type="paragraph" w:customStyle="1" w:styleId="Termslevel3">
    <w:name w:val="_Terms level 3"/>
    <w:basedOn w:val="Normal"/>
    <w:semiHidden/>
    <w:locked/>
    <w:rsid w:val="00893821"/>
    <w:pPr>
      <w:numPr>
        <w:ilvl w:val="2"/>
        <w:numId w:val="7"/>
      </w:numPr>
      <w:tabs>
        <w:tab w:val="clear" w:pos="737"/>
        <w:tab w:val="num" w:pos="360"/>
      </w:tabs>
      <w:spacing w:after="0" w:line="240" w:lineRule="atLeast"/>
      <w:ind w:left="0" w:firstLine="0"/>
    </w:pPr>
    <w:rPr>
      <w:rFonts w:eastAsia="Times New Roman" w:cs="Arial"/>
      <w:sz w:val="14"/>
      <w:szCs w:val="24"/>
      <w:lang w:eastAsia="en-GB"/>
    </w:rPr>
  </w:style>
  <w:style w:type="paragraph" w:customStyle="1" w:styleId="Tablecolumnleft">
    <w:name w:val="Table column left"/>
    <w:basedOn w:val="Tabletext"/>
    <w:rsid w:val="00893821"/>
    <w:pPr>
      <w:keepNext/>
    </w:pPr>
    <w:rPr>
      <w:lang w:eastAsia="en-GB"/>
    </w:rPr>
  </w:style>
  <w:style w:type="paragraph" w:styleId="CommentText">
    <w:name w:val="annotation text"/>
    <w:basedOn w:val="Normal"/>
    <w:link w:val="CommentTextChar"/>
    <w:uiPriority w:val="99"/>
    <w:rsid w:val="00893821"/>
    <w:pPr>
      <w:spacing w:after="0" w:line="240" w:lineRule="auto"/>
    </w:pPr>
    <w:rPr>
      <w:rFonts w:ascii="Univers 45 Light" w:eastAsia="Times New Roman" w:hAnsi="Univers 45 Light" w:cs="Times New Roman"/>
      <w:sz w:val="20"/>
      <w:szCs w:val="20"/>
      <w:lang w:eastAsia="en-US"/>
    </w:rPr>
  </w:style>
  <w:style w:type="character" w:customStyle="1" w:styleId="CommentTextChar">
    <w:name w:val="Comment Text Char"/>
    <w:basedOn w:val="DefaultParagraphFont"/>
    <w:link w:val="CommentText"/>
    <w:uiPriority w:val="99"/>
    <w:rsid w:val="00893821"/>
    <w:rPr>
      <w:rFonts w:ascii="Univers 45 Light" w:eastAsia="Times New Roman" w:hAnsi="Univers 45 Light" w:cs="Times New Roman"/>
      <w:sz w:val="20"/>
      <w:szCs w:val="20"/>
      <w:lang w:eastAsia="en-US"/>
    </w:rPr>
  </w:style>
  <w:style w:type="character" w:styleId="CommentReference">
    <w:name w:val="annotation reference"/>
    <w:basedOn w:val="DefaultParagraphFont"/>
    <w:uiPriority w:val="99"/>
    <w:rsid w:val="00893821"/>
    <w:rPr>
      <w:sz w:val="16"/>
      <w:szCs w:val="16"/>
    </w:rPr>
  </w:style>
  <w:style w:type="paragraph" w:customStyle="1" w:styleId="Tablecolumnright">
    <w:name w:val="Table column right"/>
    <w:basedOn w:val="Tabletextright"/>
    <w:rsid w:val="00893821"/>
    <w:rPr>
      <w:lang w:eastAsia="en-GB"/>
    </w:rPr>
  </w:style>
  <w:style w:type="paragraph" w:customStyle="1" w:styleId="Tableheadingright">
    <w:name w:val="Table heading right"/>
    <w:basedOn w:val="Tableheadingleft"/>
    <w:rsid w:val="00893821"/>
    <w:pPr>
      <w:jc w:val="right"/>
    </w:pPr>
  </w:style>
  <w:style w:type="paragraph" w:customStyle="1" w:styleId="Tablesubtitle">
    <w:name w:val="Table subtitle"/>
    <w:basedOn w:val="Tabletext"/>
    <w:rsid w:val="00893821"/>
    <w:pPr>
      <w:keepNext/>
    </w:pPr>
    <w:rPr>
      <w:b/>
      <w:color w:val="10CF9B" w:themeColor="accent4"/>
      <w:lang w:eastAsia="en-GB"/>
    </w:rPr>
  </w:style>
  <w:style w:type="paragraph" w:styleId="CommentSubject">
    <w:name w:val="annotation subject"/>
    <w:basedOn w:val="CommentText"/>
    <w:next w:val="CommentText"/>
    <w:link w:val="CommentSubjectChar"/>
    <w:rsid w:val="00893821"/>
    <w:rPr>
      <w:b/>
      <w:bCs/>
    </w:rPr>
  </w:style>
  <w:style w:type="character" w:customStyle="1" w:styleId="CommentSubjectChar">
    <w:name w:val="Comment Subject Char"/>
    <w:basedOn w:val="CommentTextChar"/>
    <w:link w:val="CommentSubject"/>
    <w:rsid w:val="00893821"/>
    <w:rPr>
      <w:rFonts w:ascii="Univers 45 Light" w:eastAsia="Times New Roman" w:hAnsi="Univers 45 Light" w:cs="Times New Roman"/>
      <w:b/>
      <w:bCs/>
      <w:sz w:val="20"/>
      <w:szCs w:val="20"/>
      <w:lang w:eastAsia="en-US"/>
    </w:rPr>
  </w:style>
  <w:style w:type="paragraph" w:customStyle="1" w:styleId="Appendixheader">
    <w:name w:val="Appendix header"/>
    <w:basedOn w:val="Normal"/>
    <w:rsid w:val="00893821"/>
    <w:pPr>
      <w:pageBreakBefore/>
      <w:numPr>
        <w:numId w:val="9"/>
      </w:numPr>
      <w:tabs>
        <w:tab w:val="left" w:pos="1985"/>
      </w:tabs>
      <w:spacing w:after="0" w:line="240" w:lineRule="auto"/>
      <w:ind w:left="1985" w:hanging="1985"/>
    </w:pPr>
    <w:rPr>
      <w:rFonts w:ascii="Univers 45 Light" w:eastAsia="Times New Roman" w:hAnsi="Univers 45 Light" w:cs="Times New Roman"/>
      <w:color w:val="10CF9B" w:themeColor="accent4"/>
      <w:sz w:val="28"/>
      <w:szCs w:val="28"/>
      <w:lang w:eastAsia="en-US"/>
    </w:rPr>
  </w:style>
  <w:style w:type="paragraph" w:customStyle="1" w:styleId="Graphic">
    <w:name w:val="Graphic"/>
    <w:basedOn w:val="Normal"/>
    <w:next w:val="Source"/>
    <w:qFormat/>
    <w:rsid w:val="00893821"/>
    <w:pPr>
      <w:spacing w:before="140" w:after="140" w:line="240" w:lineRule="auto"/>
      <w:jc w:val="center"/>
    </w:pPr>
    <w:rPr>
      <w:rFonts w:ascii="Univers 45 Light" w:eastAsia="Times New Roman" w:hAnsi="Univers 45 Light" w:cs="Times New Roman"/>
      <w:noProof/>
      <w:sz w:val="20"/>
      <w:szCs w:val="24"/>
      <w:lang w:eastAsia="en-GB"/>
    </w:rPr>
  </w:style>
  <w:style w:type="paragraph" w:styleId="TOC5">
    <w:name w:val="toc 5"/>
    <w:basedOn w:val="Normal"/>
    <w:next w:val="Normal"/>
    <w:autoRedefine/>
    <w:uiPriority w:val="39"/>
    <w:rsid w:val="00893821"/>
    <w:pPr>
      <w:spacing w:after="0" w:line="240" w:lineRule="auto"/>
      <w:ind w:left="600"/>
    </w:pPr>
    <w:rPr>
      <w:rFonts w:eastAsia="Times New Roman" w:cs="Times New Roman"/>
      <w:sz w:val="20"/>
      <w:szCs w:val="20"/>
      <w:lang w:eastAsia="en-US"/>
    </w:rPr>
  </w:style>
  <w:style w:type="paragraph" w:styleId="TOC6">
    <w:name w:val="toc 6"/>
    <w:basedOn w:val="Normal"/>
    <w:next w:val="Normal"/>
    <w:autoRedefine/>
    <w:uiPriority w:val="39"/>
    <w:rsid w:val="00893821"/>
    <w:pPr>
      <w:spacing w:after="0" w:line="240" w:lineRule="auto"/>
      <w:ind w:left="800"/>
    </w:pPr>
    <w:rPr>
      <w:rFonts w:eastAsia="Times New Roman" w:cs="Times New Roman"/>
      <w:sz w:val="20"/>
      <w:szCs w:val="20"/>
      <w:lang w:eastAsia="en-US"/>
    </w:rPr>
  </w:style>
  <w:style w:type="paragraph" w:styleId="TOC7">
    <w:name w:val="toc 7"/>
    <w:basedOn w:val="Normal"/>
    <w:next w:val="Normal"/>
    <w:autoRedefine/>
    <w:uiPriority w:val="39"/>
    <w:rsid w:val="00893821"/>
    <w:pPr>
      <w:spacing w:after="0" w:line="240" w:lineRule="auto"/>
      <w:ind w:left="1000"/>
    </w:pPr>
    <w:rPr>
      <w:rFonts w:eastAsia="Times New Roman" w:cs="Times New Roman"/>
      <w:sz w:val="20"/>
      <w:szCs w:val="20"/>
      <w:lang w:eastAsia="en-US"/>
    </w:rPr>
  </w:style>
  <w:style w:type="paragraph" w:styleId="TOC8">
    <w:name w:val="toc 8"/>
    <w:basedOn w:val="Normal"/>
    <w:next w:val="Normal"/>
    <w:autoRedefine/>
    <w:uiPriority w:val="39"/>
    <w:rsid w:val="00893821"/>
    <w:pPr>
      <w:spacing w:after="0" w:line="240" w:lineRule="auto"/>
      <w:ind w:left="1200"/>
    </w:pPr>
    <w:rPr>
      <w:rFonts w:eastAsia="Times New Roman" w:cs="Times New Roman"/>
      <w:sz w:val="20"/>
      <w:szCs w:val="20"/>
      <w:lang w:eastAsia="en-US"/>
    </w:rPr>
  </w:style>
  <w:style w:type="paragraph" w:styleId="TOC9">
    <w:name w:val="toc 9"/>
    <w:basedOn w:val="Normal"/>
    <w:next w:val="Normal"/>
    <w:autoRedefine/>
    <w:uiPriority w:val="39"/>
    <w:rsid w:val="00893821"/>
    <w:pPr>
      <w:spacing w:after="0" w:line="240" w:lineRule="auto"/>
      <w:ind w:left="1400"/>
    </w:pPr>
    <w:rPr>
      <w:rFonts w:eastAsia="Times New Roman" w:cs="Times New Roman"/>
      <w:sz w:val="20"/>
      <w:szCs w:val="20"/>
      <w:lang w:eastAsia="en-US"/>
    </w:rPr>
  </w:style>
  <w:style w:type="character" w:styleId="PlaceholderText">
    <w:name w:val="Placeholder Text"/>
    <w:basedOn w:val="DefaultParagraphFont"/>
    <w:uiPriority w:val="99"/>
    <w:semiHidden/>
    <w:rsid w:val="00893821"/>
    <w:rPr>
      <w:color w:val="808080"/>
    </w:rPr>
  </w:style>
  <w:style w:type="paragraph" w:styleId="BodyText">
    <w:name w:val="Body Text"/>
    <w:aliases w:val="cover"/>
    <w:basedOn w:val="Normal"/>
    <w:link w:val="BodyTextChar"/>
    <w:rsid w:val="00893821"/>
    <w:pPr>
      <w:spacing w:after="120" w:line="240" w:lineRule="auto"/>
    </w:pPr>
    <w:rPr>
      <w:rFonts w:ascii="Univers 45 Light" w:eastAsia="Times New Roman" w:hAnsi="Univers 45 Light" w:cs="Times New Roman"/>
      <w:sz w:val="20"/>
      <w:szCs w:val="24"/>
      <w:lang w:eastAsia="en-US"/>
    </w:rPr>
  </w:style>
  <w:style w:type="character" w:customStyle="1" w:styleId="BodyTextChar">
    <w:name w:val="Body Text Char"/>
    <w:aliases w:val="cover Char"/>
    <w:basedOn w:val="DefaultParagraphFont"/>
    <w:link w:val="BodyText"/>
    <w:rsid w:val="00893821"/>
    <w:rPr>
      <w:rFonts w:ascii="Univers 45 Light" w:eastAsia="Times New Roman" w:hAnsi="Univers 45 Light" w:cs="Times New Roman"/>
      <w:sz w:val="20"/>
      <w:szCs w:val="24"/>
      <w:lang w:eastAsia="en-US"/>
    </w:rPr>
  </w:style>
  <w:style w:type="character" w:customStyle="1" w:styleId="Style1">
    <w:name w:val="Style1"/>
    <w:basedOn w:val="DefaultParagraphFont"/>
    <w:uiPriority w:val="1"/>
    <w:rsid w:val="00893821"/>
    <w:rPr>
      <w:rFonts w:ascii="Univers 45 Light" w:hAnsi="Univers 45 Light"/>
      <w:b/>
      <w:color w:val="FFFFFF" w:themeColor="background1"/>
    </w:rPr>
  </w:style>
  <w:style w:type="character" w:customStyle="1" w:styleId="Style2">
    <w:name w:val="Style2"/>
    <w:basedOn w:val="DefaultParagraphFont"/>
    <w:uiPriority w:val="1"/>
    <w:rsid w:val="00893821"/>
    <w:rPr>
      <w:rFonts w:ascii="Univers 45 Light" w:hAnsi="Univers 45 Light"/>
      <w:b/>
      <w:color w:val="FFFFFF" w:themeColor="background1"/>
      <w:sz w:val="60"/>
    </w:rPr>
  </w:style>
  <w:style w:type="character" w:customStyle="1" w:styleId="Style3">
    <w:name w:val="Style3"/>
    <w:basedOn w:val="DefaultParagraphFont"/>
    <w:uiPriority w:val="1"/>
    <w:rsid w:val="00893821"/>
    <w:rPr>
      <w:rFonts w:ascii="Univers 45 Light" w:hAnsi="Univers 45 Light"/>
      <w:b/>
      <w:color w:val="FFFFFF" w:themeColor="background1"/>
      <w:sz w:val="60"/>
    </w:rPr>
  </w:style>
  <w:style w:type="paragraph" w:customStyle="1" w:styleId="BodyText11">
    <w:name w:val="Body Text11"/>
    <w:aliases w:val="b,Letter Body,Memo Body,body,bd,b-heading 1/heading 2,heading1body-heading2body,Body,b14,BD,body1,b-heading,Fax Body,Bod,bo,full cell text,by,body text,Report Body,B,bullets,OpinBody,Proposal Body,memh3o body,memo body,paragraph,block,*Body"/>
    <w:basedOn w:val="Normal"/>
    <w:link w:val="BodytextChar1"/>
    <w:rsid w:val="00893821"/>
    <w:pPr>
      <w:suppressAutoHyphens/>
      <w:spacing w:after="260" w:line="300" w:lineRule="exact"/>
      <w:jc w:val="both"/>
    </w:pPr>
    <w:rPr>
      <w:rFonts w:ascii="Times New Roman" w:eastAsia="Times New Roman" w:hAnsi="Times New Roman" w:cs="Times New Roman"/>
      <w:sz w:val="22"/>
      <w:szCs w:val="20"/>
      <w:lang w:eastAsia="en-US"/>
    </w:rPr>
  </w:style>
  <w:style w:type="paragraph" w:customStyle="1" w:styleId="Bullet1">
    <w:name w:val="Bullet 1"/>
    <w:aliases w:val="b1,Bullet for no #'s,first level bullet,*Body 1"/>
    <w:basedOn w:val="Normal"/>
    <w:rsid w:val="00893821"/>
    <w:pPr>
      <w:numPr>
        <w:numId w:val="10"/>
      </w:numPr>
      <w:suppressAutoHyphens/>
      <w:spacing w:after="260" w:line="280" w:lineRule="atLeast"/>
    </w:pPr>
    <w:rPr>
      <w:rFonts w:ascii="Univers 45 Light" w:eastAsia="Calibri" w:hAnsi="Univers 45 Light" w:cs="Times New Roman"/>
      <w:sz w:val="20"/>
      <w:szCs w:val="20"/>
      <w:lang w:val="en-US" w:eastAsia="en-US"/>
    </w:rPr>
  </w:style>
  <w:style w:type="character" w:customStyle="1" w:styleId="BodytextChar1">
    <w:name w:val="Body text Char1"/>
    <w:aliases w:val="b Char1,Letter Body Char1,Memo Body Char1,body Char1,bd Char1,b-heading 1/heading 2 Char1,heading1body-heading2body Char1,Body Char1,b14 Char1,BD Char1,body1 Char,b-heading Char1,Fax Body Char1,Bod Char1,bo Char1,full cell text Char"/>
    <w:basedOn w:val="DefaultParagraphFont"/>
    <w:link w:val="BodyText11"/>
    <w:rsid w:val="00893821"/>
    <w:rPr>
      <w:rFonts w:ascii="Times New Roman" w:eastAsia="Times New Roman" w:hAnsi="Times New Roman" w:cs="Times New Roman"/>
      <w:szCs w:val="20"/>
      <w:lang w:eastAsia="en-US"/>
    </w:rPr>
  </w:style>
  <w:style w:type="paragraph" w:customStyle="1" w:styleId="BodyProposal">
    <w:name w:val="*Body Proposal"/>
    <w:basedOn w:val="Normal"/>
    <w:link w:val="BodyProposalChar"/>
    <w:rsid w:val="00893821"/>
    <w:pPr>
      <w:spacing w:after="240" w:line="240" w:lineRule="atLeast"/>
      <w:jc w:val="both"/>
    </w:pPr>
    <w:rPr>
      <w:rFonts w:ascii="Times New Roman" w:eastAsia="MS Mincho" w:hAnsi="Times New Roman" w:cs="Times New Roman"/>
      <w:sz w:val="22"/>
      <w:lang w:eastAsia="en-US"/>
    </w:rPr>
  </w:style>
  <w:style w:type="character" w:customStyle="1" w:styleId="BodyProposalChar">
    <w:name w:val="*Body Proposal Char"/>
    <w:basedOn w:val="DefaultParagraphFont"/>
    <w:link w:val="BodyProposal"/>
    <w:rsid w:val="00893821"/>
    <w:rPr>
      <w:rFonts w:ascii="Times New Roman" w:eastAsia="MS Mincho" w:hAnsi="Times New Roman" w:cs="Times New Roman"/>
      <w:lang w:eastAsia="en-US"/>
    </w:rPr>
  </w:style>
  <w:style w:type="table" w:customStyle="1" w:styleId="LightList-Accent11">
    <w:name w:val="Light List - Accent 11"/>
    <w:basedOn w:val="TableNormal"/>
    <w:uiPriority w:val="61"/>
    <w:rsid w:val="00893821"/>
    <w:pPr>
      <w:spacing w:after="0" w:line="240" w:lineRule="auto"/>
    </w:pPr>
    <w:rPr>
      <w:rFonts w:ascii="Times New Roman" w:eastAsia="Times New Roman" w:hAnsi="Times New Roman" w:cs="Times New Roman"/>
      <w:sz w:val="20"/>
      <w:szCs w:val="20"/>
      <w:lang w:val="en-US" w:eastAsia="en-US"/>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paragraph" w:styleId="ListBullet">
    <w:name w:val="List Bullet"/>
    <w:aliases w:val="KPMG List Bullet"/>
    <w:basedOn w:val="Normal"/>
    <w:next w:val="BodyText"/>
    <w:link w:val="ListBulletChar"/>
    <w:rsid w:val="00893821"/>
    <w:pPr>
      <w:spacing w:after="130" w:line="280" w:lineRule="exact"/>
      <w:contextualSpacing/>
    </w:pPr>
    <w:rPr>
      <w:rFonts w:ascii="Univers 45 Light" w:eastAsia="Times New Roman" w:hAnsi="Univers 45 Light" w:cs="Times New Roman"/>
      <w:sz w:val="18"/>
      <w:lang w:eastAsia="en-US"/>
    </w:rPr>
  </w:style>
  <w:style w:type="character" w:customStyle="1" w:styleId="ListBulletChar">
    <w:name w:val="List Bullet Char"/>
    <w:aliases w:val="KPMG List Bullet Char"/>
    <w:basedOn w:val="DefaultParagraphFont"/>
    <w:link w:val="ListBullet"/>
    <w:rsid w:val="00893821"/>
    <w:rPr>
      <w:rFonts w:ascii="Univers 45 Light" w:eastAsia="Times New Roman" w:hAnsi="Univers 45 Light" w:cs="Times New Roman"/>
      <w:sz w:val="18"/>
      <w:lang w:eastAsia="en-US"/>
    </w:rPr>
  </w:style>
  <w:style w:type="paragraph" w:styleId="ListParagraph">
    <w:name w:val="List Paragraph"/>
    <w:basedOn w:val="Normal"/>
    <w:link w:val="ListParagraphChar"/>
    <w:uiPriority w:val="34"/>
    <w:qFormat/>
    <w:rsid w:val="005A3CF1"/>
    <w:pPr>
      <w:ind w:left="720"/>
      <w:contextualSpacing/>
    </w:pPr>
  </w:style>
  <w:style w:type="paragraph" w:customStyle="1" w:styleId="ExhibitNumber">
    <w:name w:val="Exhibit Number"/>
    <w:basedOn w:val="Normal"/>
    <w:next w:val="ExhibitTitle"/>
    <w:rsid w:val="00893821"/>
    <w:pPr>
      <w:keepNext/>
      <w:spacing w:before="120" w:after="0" w:line="240" w:lineRule="auto"/>
      <w:jc w:val="both"/>
    </w:pPr>
    <w:rPr>
      <w:rFonts w:ascii="Arial" w:eastAsia="Times New Roman" w:hAnsi="Arial" w:cs="Arial"/>
      <w:b/>
      <w:bCs/>
      <w:sz w:val="19"/>
      <w:szCs w:val="24"/>
      <w:lang w:val="en-US" w:eastAsia="en-US"/>
    </w:rPr>
  </w:style>
  <w:style w:type="paragraph" w:customStyle="1" w:styleId="ExhibitTitle">
    <w:name w:val="Exhibit Title"/>
    <w:basedOn w:val="ExhibitNumber"/>
    <w:next w:val="Normal"/>
    <w:rsid w:val="00893821"/>
    <w:pPr>
      <w:pBdr>
        <w:bottom w:val="single" w:sz="4" w:space="1" w:color="auto"/>
      </w:pBdr>
      <w:spacing w:before="0" w:after="120"/>
    </w:pPr>
  </w:style>
  <w:style w:type="character" w:customStyle="1" w:styleId="ListParagraphChar">
    <w:name w:val="List Paragraph Char"/>
    <w:link w:val="ListParagraph"/>
    <w:uiPriority w:val="34"/>
    <w:locked/>
    <w:rsid w:val="00893821"/>
  </w:style>
  <w:style w:type="table" w:styleId="MediumList2-Accent1">
    <w:name w:val="Medium List 2 Accent 1"/>
    <w:basedOn w:val="TableNormal"/>
    <w:rsid w:val="00893821"/>
    <w:pPr>
      <w:spacing w:after="0" w:line="240" w:lineRule="auto"/>
    </w:pPr>
    <w:rPr>
      <w:rFonts w:asciiTheme="majorHAnsi" w:eastAsiaTheme="majorEastAsia" w:hAnsiTheme="majorHAnsi" w:cstheme="majorBidi"/>
      <w:color w:val="000000" w:themeColor="text1"/>
      <w:sz w:val="20"/>
      <w:szCs w:val="20"/>
      <w:lang w:eastAsia="en-CA"/>
    </w:r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rPr>
        <w:sz w:val="24"/>
        <w:szCs w:val="24"/>
      </w:rPr>
      <w:tblPr/>
      <w:tcPr>
        <w:tcBorders>
          <w:top w:val="nil"/>
          <w:left w:val="nil"/>
          <w:bottom w:val="single" w:sz="24" w:space="0" w:color="0F6FC6" w:themeColor="accent1"/>
          <w:right w:val="nil"/>
          <w:insideH w:val="nil"/>
          <w:insideV w:val="nil"/>
        </w:tcBorders>
        <w:shd w:val="clear" w:color="auto" w:fill="FFFFFF" w:themeFill="background1"/>
      </w:tcPr>
    </w:tblStylePr>
    <w:tblStylePr w:type="lastRow">
      <w:tblPr/>
      <w:tcPr>
        <w:tcBorders>
          <w:top w:val="single" w:sz="8" w:space="0" w:color="0F6FC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6FC6" w:themeColor="accent1"/>
          <w:insideH w:val="nil"/>
          <w:insideV w:val="nil"/>
        </w:tcBorders>
        <w:shd w:val="clear" w:color="auto" w:fill="FFFFFF" w:themeFill="background1"/>
      </w:tcPr>
    </w:tblStylePr>
    <w:tblStylePr w:type="lastCol">
      <w:tblPr/>
      <w:tcPr>
        <w:tcBorders>
          <w:top w:val="nil"/>
          <w:left w:val="single" w:sz="8" w:space="0" w:color="0F6FC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ADBF9" w:themeFill="accent1" w:themeFillTint="3F"/>
      </w:tcPr>
    </w:tblStylePr>
    <w:tblStylePr w:type="band1Horz">
      <w:tblPr/>
      <w:tcPr>
        <w:tcBorders>
          <w:top w:val="nil"/>
          <w:bottom w:val="nil"/>
          <w:insideH w:val="nil"/>
          <w:insideV w:val="nil"/>
        </w:tcBorders>
        <w:shd w:val="clear" w:color="auto" w:fill="BADB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Appendix5">
    <w:name w:val="Appendix 5"/>
    <w:basedOn w:val="Heading5"/>
    <w:next w:val="BodyText"/>
    <w:uiPriority w:val="99"/>
    <w:rsid w:val="00893821"/>
    <w:pPr>
      <w:keepNext/>
      <w:spacing w:before="240" w:after="240" w:line="240" w:lineRule="auto"/>
    </w:pPr>
    <w:rPr>
      <w:rFonts w:ascii="Times New Roman" w:eastAsia="Times New Roman" w:hAnsi="Times New Roman" w:cs="Times New Roman"/>
      <w:bCs w:val="0"/>
      <w:color w:val="000000"/>
      <w:kern w:val="24"/>
      <w:szCs w:val="20"/>
      <w:lang w:eastAsia="en-US"/>
    </w:rPr>
  </w:style>
  <w:style w:type="paragraph" w:customStyle="1" w:styleId="font15">
    <w:name w:val="font15"/>
    <w:basedOn w:val="Normal"/>
    <w:rsid w:val="00893821"/>
    <w:pPr>
      <w:spacing w:before="100" w:beforeAutospacing="1" w:after="100" w:afterAutospacing="1" w:line="240" w:lineRule="auto"/>
    </w:pPr>
    <w:rPr>
      <w:rFonts w:ascii="Univers 45 Light" w:eastAsia="Times New Roman" w:hAnsi="Univers 45 Light" w:cs="Times New Roman"/>
      <w:sz w:val="16"/>
      <w:szCs w:val="16"/>
      <w:lang w:val="en-US" w:eastAsia="en-US"/>
    </w:rPr>
  </w:style>
  <w:style w:type="paragraph" w:customStyle="1" w:styleId="Bullet10">
    <w:name w:val="*Bullet 1"/>
    <w:basedOn w:val="Normal"/>
    <w:uiPriority w:val="99"/>
    <w:rsid w:val="00893821"/>
    <w:pPr>
      <w:numPr>
        <w:numId w:val="11"/>
      </w:numPr>
      <w:tabs>
        <w:tab w:val="left" w:pos="360"/>
      </w:tabs>
      <w:spacing w:after="120" w:line="240" w:lineRule="atLeast"/>
      <w:jc w:val="both"/>
    </w:pPr>
    <w:rPr>
      <w:rFonts w:ascii="Univers 45 Light" w:eastAsia="Calibri" w:hAnsi="Univers 45 Light" w:cs="Times New Roman"/>
      <w:color w:val="000000"/>
      <w:sz w:val="19"/>
      <w:szCs w:val="19"/>
      <w:lang w:eastAsia="en-US"/>
    </w:rPr>
  </w:style>
  <w:style w:type="paragraph" w:customStyle="1" w:styleId="Level1">
    <w:name w:val="Level 1"/>
    <w:basedOn w:val="Normal"/>
    <w:uiPriority w:val="99"/>
    <w:rsid w:val="00893821"/>
    <w:pPr>
      <w:widowControl w:val="0"/>
      <w:autoSpaceDE w:val="0"/>
      <w:autoSpaceDN w:val="0"/>
      <w:adjustRightInd w:val="0"/>
      <w:spacing w:after="0" w:line="240" w:lineRule="auto"/>
      <w:ind w:left="1140" w:hanging="630"/>
    </w:pPr>
    <w:rPr>
      <w:rFonts w:ascii="Times New Roman" w:eastAsia="Times New Roman" w:hAnsi="Times New Roman" w:cs="Times New Roman"/>
      <w:sz w:val="20"/>
      <w:szCs w:val="24"/>
      <w:lang w:val="en-US" w:eastAsia="en-US"/>
    </w:rPr>
  </w:style>
  <w:style w:type="character" w:customStyle="1" w:styleId="HeaderChar1">
    <w:name w:val="Header Char1"/>
    <w:aliases w:val="Header1 Char,Header11 Char,Header12 Char,Header13 Char,Header111 Char,Header121 Char"/>
    <w:uiPriority w:val="99"/>
    <w:locked/>
    <w:rsid w:val="00893821"/>
    <w:rPr>
      <w:rFonts w:ascii="Times New Roman" w:eastAsia="Times New Roman" w:hAnsi="Times New Roman" w:cs="Times New Roman"/>
      <w:sz w:val="24"/>
      <w:szCs w:val="24"/>
      <w:lang w:val="en-US"/>
    </w:rPr>
  </w:style>
  <w:style w:type="character" w:styleId="PageNumber">
    <w:name w:val="page number"/>
    <w:uiPriority w:val="99"/>
    <w:rsid w:val="00893821"/>
    <w:rPr>
      <w:rFonts w:cs="Times New Roman"/>
    </w:rPr>
  </w:style>
  <w:style w:type="paragraph" w:styleId="BodyTextIndent">
    <w:name w:val="Body Text Indent"/>
    <w:basedOn w:val="Normal"/>
    <w:link w:val="BodyTextIndentChar"/>
    <w:uiPriority w:val="99"/>
    <w:rsid w:val="00893821"/>
    <w:pPr>
      <w:widowControl w:val="0"/>
      <w:tabs>
        <w:tab w:val="left" w:pos="-1440"/>
        <w:tab w:val="left" w:pos="-720"/>
        <w:tab w:val="left" w:pos="0"/>
        <w:tab w:val="left" w:pos="510"/>
        <w:tab w:val="left" w:pos="1140"/>
        <w:tab w:val="left" w:pos="2160"/>
      </w:tabs>
      <w:autoSpaceDE w:val="0"/>
      <w:autoSpaceDN w:val="0"/>
      <w:adjustRightInd w:val="0"/>
      <w:spacing w:after="0" w:line="240" w:lineRule="auto"/>
      <w:ind w:left="1140"/>
      <w:jc w:val="both"/>
    </w:pPr>
    <w:rPr>
      <w:rFonts w:ascii="Arial" w:eastAsia="Times New Roman" w:hAnsi="Arial" w:cs="Times New Roman"/>
      <w:color w:val="000000"/>
      <w:sz w:val="22"/>
      <w:lang w:eastAsia="en-US"/>
    </w:rPr>
  </w:style>
  <w:style w:type="character" w:customStyle="1" w:styleId="BodyTextIndentChar">
    <w:name w:val="Body Text Indent Char"/>
    <w:basedOn w:val="DefaultParagraphFont"/>
    <w:link w:val="BodyTextIndent"/>
    <w:uiPriority w:val="99"/>
    <w:rsid w:val="00893821"/>
    <w:rPr>
      <w:rFonts w:ascii="Arial" w:eastAsia="Times New Roman" w:hAnsi="Arial" w:cs="Times New Roman"/>
      <w:color w:val="000000"/>
      <w:lang w:eastAsia="en-US"/>
    </w:rPr>
  </w:style>
  <w:style w:type="paragraph" w:styleId="BodyTextIndent2">
    <w:name w:val="Body Text Indent 2"/>
    <w:basedOn w:val="Normal"/>
    <w:link w:val="BodyTextIndent2Char"/>
    <w:uiPriority w:val="99"/>
    <w:rsid w:val="00893821"/>
    <w:pPr>
      <w:widowControl w:val="0"/>
      <w:tabs>
        <w:tab w:val="left" w:pos="-1440"/>
        <w:tab w:val="left" w:pos="-720"/>
        <w:tab w:val="left" w:pos="0"/>
        <w:tab w:val="left" w:pos="510"/>
        <w:tab w:val="left" w:pos="1140"/>
        <w:tab w:val="left" w:pos="2160"/>
      </w:tabs>
      <w:autoSpaceDE w:val="0"/>
      <w:autoSpaceDN w:val="0"/>
      <w:adjustRightInd w:val="0"/>
      <w:spacing w:after="0" w:line="240" w:lineRule="auto"/>
      <w:ind w:left="1140"/>
      <w:jc w:val="both"/>
    </w:pPr>
    <w:rPr>
      <w:rFonts w:ascii="Arial" w:eastAsia="Times New Roman" w:hAnsi="Arial" w:cs="Times New Roman"/>
      <w:szCs w:val="24"/>
      <w:lang w:val="en-US" w:eastAsia="en-US"/>
    </w:rPr>
  </w:style>
  <w:style w:type="character" w:customStyle="1" w:styleId="BodyTextIndent2Char">
    <w:name w:val="Body Text Indent 2 Char"/>
    <w:basedOn w:val="DefaultParagraphFont"/>
    <w:link w:val="BodyTextIndent2"/>
    <w:uiPriority w:val="99"/>
    <w:rsid w:val="00893821"/>
    <w:rPr>
      <w:rFonts w:ascii="Arial" w:eastAsia="Times New Roman" w:hAnsi="Arial" w:cs="Times New Roman"/>
      <w:sz w:val="24"/>
      <w:szCs w:val="24"/>
      <w:lang w:val="en-US" w:eastAsia="en-US"/>
    </w:rPr>
  </w:style>
  <w:style w:type="paragraph" w:styleId="BodyTextIndent3">
    <w:name w:val="Body Text Indent 3"/>
    <w:basedOn w:val="Normal"/>
    <w:link w:val="BodyTextIndent3Char"/>
    <w:uiPriority w:val="99"/>
    <w:rsid w:val="00893821"/>
    <w:pPr>
      <w:widowControl w:val="0"/>
      <w:tabs>
        <w:tab w:val="left" w:pos="-1440"/>
        <w:tab w:val="left" w:pos="-720"/>
        <w:tab w:val="left" w:pos="510"/>
        <w:tab w:val="left" w:pos="1140"/>
        <w:tab w:val="left" w:pos="1170"/>
      </w:tabs>
      <w:autoSpaceDE w:val="0"/>
      <w:autoSpaceDN w:val="0"/>
      <w:adjustRightInd w:val="0"/>
      <w:spacing w:after="0" w:line="240" w:lineRule="auto"/>
      <w:ind w:left="1170"/>
      <w:jc w:val="both"/>
    </w:pPr>
    <w:rPr>
      <w:rFonts w:ascii="Arial" w:eastAsia="Times New Roman" w:hAnsi="Arial" w:cs="Times New Roman"/>
      <w:color w:val="000000"/>
      <w:sz w:val="22"/>
      <w:lang w:eastAsia="en-US"/>
    </w:rPr>
  </w:style>
  <w:style w:type="character" w:customStyle="1" w:styleId="BodyTextIndent3Char">
    <w:name w:val="Body Text Indent 3 Char"/>
    <w:basedOn w:val="DefaultParagraphFont"/>
    <w:link w:val="BodyTextIndent3"/>
    <w:uiPriority w:val="99"/>
    <w:rsid w:val="00893821"/>
    <w:rPr>
      <w:rFonts w:ascii="Arial" w:eastAsia="Times New Roman" w:hAnsi="Arial" w:cs="Times New Roman"/>
      <w:color w:val="000000"/>
      <w:lang w:eastAsia="en-US"/>
    </w:rPr>
  </w:style>
  <w:style w:type="paragraph" w:styleId="BodyText2">
    <w:name w:val="Body Text 2"/>
    <w:basedOn w:val="Normal"/>
    <w:link w:val="BodyText2Char"/>
    <w:uiPriority w:val="99"/>
    <w:rsid w:val="00893821"/>
    <w:pPr>
      <w:widowControl w:val="0"/>
      <w:tabs>
        <w:tab w:val="left" w:pos="-1440"/>
        <w:tab w:val="left" w:pos="-720"/>
        <w:tab w:val="left" w:pos="0"/>
        <w:tab w:val="left" w:pos="510"/>
        <w:tab w:val="left" w:pos="1140"/>
        <w:tab w:val="left" w:pos="2160"/>
      </w:tabs>
      <w:autoSpaceDE w:val="0"/>
      <w:autoSpaceDN w:val="0"/>
      <w:adjustRightInd w:val="0"/>
      <w:spacing w:after="0" w:line="240" w:lineRule="auto"/>
      <w:jc w:val="both"/>
    </w:pPr>
    <w:rPr>
      <w:rFonts w:ascii="Arial" w:eastAsia="Times New Roman" w:hAnsi="Arial" w:cs="Arial"/>
      <w:color w:val="000000"/>
      <w:sz w:val="22"/>
      <w:lang w:eastAsia="en-US"/>
    </w:rPr>
  </w:style>
  <w:style w:type="character" w:customStyle="1" w:styleId="BodyText2Char">
    <w:name w:val="Body Text 2 Char"/>
    <w:basedOn w:val="DefaultParagraphFont"/>
    <w:link w:val="BodyText2"/>
    <w:uiPriority w:val="99"/>
    <w:rsid w:val="00893821"/>
    <w:rPr>
      <w:rFonts w:ascii="Arial" w:eastAsia="Times New Roman" w:hAnsi="Arial" w:cs="Arial"/>
      <w:color w:val="000000"/>
      <w:lang w:eastAsia="en-US"/>
    </w:rPr>
  </w:style>
  <w:style w:type="paragraph" w:styleId="BodyText3">
    <w:name w:val="Body Text 3"/>
    <w:basedOn w:val="Normal"/>
    <w:link w:val="BodyText3Char"/>
    <w:uiPriority w:val="99"/>
    <w:rsid w:val="00893821"/>
    <w:pPr>
      <w:widowControl w:val="0"/>
      <w:tabs>
        <w:tab w:val="left" w:pos="-1440"/>
        <w:tab w:val="left" w:pos="-720"/>
        <w:tab w:val="left" w:pos="0"/>
        <w:tab w:val="left" w:pos="240"/>
        <w:tab w:val="left" w:pos="1440"/>
      </w:tabs>
      <w:autoSpaceDE w:val="0"/>
      <w:autoSpaceDN w:val="0"/>
      <w:adjustRightInd w:val="0"/>
      <w:spacing w:after="0" w:line="240" w:lineRule="auto"/>
    </w:pPr>
    <w:rPr>
      <w:rFonts w:ascii="Arial" w:eastAsia="Times New Roman" w:hAnsi="Arial" w:cs="Times New Roman"/>
      <w:sz w:val="22"/>
      <w:lang w:eastAsia="en-US"/>
    </w:rPr>
  </w:style>
  <w:style w:type="character" w:customStyle="1" w:styleId="BodyText3Char">
    <w:name w:val="Body Text 3 Char"/>
    <w:basedOn w:val="DefaultParagraphFont"/>
    <w:link w:val="BodyText3"/>
    <w:uiPriority w:val="99"/>
    <w:rsid w:val="00893821"/>
    <w:rPr>
      <w:rFonts w:ascii="Arial" w:eastAsia="Times New Roman" w:hAnsi="Arial" w:cs="Times New Roman"/>
      <w:lang w:eastAsia="en-US"/>
    </w:rPr>
  </w:style>
  <w:style w:type="paragraph" w:styleId="BlockText">
    <w:name w:val="Block Text"/>
    <w:basedOn w:val="Normal"/>
    <w:uiPriority w:val="99"/>
    <w:rsid w:val="00893821"/>
    <w:pPr>
      <w:widowControl w:val="0"/>
      <w:autoSpaceDE w:val="0"/>
      <w:autoSpaceDN w:val="0"/>
      <w:adjustRightInd w:val="0"/>
      <w:spacing w:after="0" w:line="240" w:lineRule="auto"/>
      <w:ind w:left="720" w:right="756"/>
    </w:pPr>
    <w:rPr>
      <w:rFonts w:ascii="Arial" w:eastAsia="Times New Roman" w:hAnsi="Arial" w:cs="Times New Roman"/>
      <w:i/>
      <w:sz w:val="22"/>
      <w:szCs w:val="20"/>
      <w:lang w:val="en-US" w:eastAsia="en-US"/>
    </w:rPr>
  </w:style>
  <w:style w:type="character" w:styleId="FollowedHyperlink">
    <w:name w:val="FollowedHyperlink"/>
    <w:rsid w:val="00893821"/>
    <w:rPr>
      <w:rFonts w:cs="Times New Roman"/>
      <w:color w:val="800080"/>
      <w:u w:val="single"/>
    </w:rPr>
  </w:style>
  <w:style w:type="paragraph" w:styleId="HTMLPreformatted">
    <w:name w:val="HTML Preformatted"/>
    <w:basedOn w:val="Normal"/>
    <w:link w:val="HTMLPreformattedChar"/>
    <w:uiPriority w:val="99"/>
    <w:rsid w:val="008938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en-US"/>
    </w:rPr>
  </w:style>
  <w:style w:type="character" w:customStyle="1" w:styleId="HTMLPreformattedChar">
    <w:name w:val="HTML Preformatted Char"/>
    <w:basedOn w:val="DefaultParagraphFont"/>
    <w:link w:val="HTMLPreformatted"/>
    <w:uiPriority w:val="99"/>
    <w:rsid w:val="00893821"/>
    <w:rPr>
      <w:rFonts w:ascii="Courier New" w:eastAsia="Times New Roman" w:hAnsi="Courier New" w:cs="Times New Roman"/>
      <w:sz w:val="20"/>
      <w:szCs w:val="20"/>
      <w:lang w:eastAsia="en-US"/>
    </w:rPr>
  </w:style>
  <w:style w:type="paragraph" w:customStyle="1" w:styleId="ThirdBullet">
    <w:name w:val="Third Bullet"/>
    <w:basedOn w:val="Normal"/>
    <w:uiPriority w:val="99"/>
    <w:rsid w:val="00893821"/>
    <w:pPr>
      <w:numPr>
        <w:numId w:val="13"/>
      </w:numPr>
      <w:spacing w:after="0" w:line="240" w:lineRule="auto"/>
    </w:pPr>
    <w:rPr>
      <w:rFonts w:ascii="Times New Roman" w:eastAsia="Times New Roman" w:hAnsi="Times New Roman" w:cs="Times New Roman"/>
      <w:szCs w:val="20"/>
      <w:lang w:eastAsia="en-US"/>
    </w:rPr>
  </w:style>
  <w:style w:type="paragraph" w:customStyle="1" w:styleId="a">
    <w:name w:val="_"/>
    <w:uiPriority w:val="99"/>
    <w:rsid w:val="00893821"/>
    <w:pPr>
      <w:autoSpaceDE w:val="0"/>
      <w:autoSpaceDN w:val="0"/>
      <w:adjustRightInd w:val="0"/>
      <w:spacing w:after="0" w:line="240" w:lineRule="auto"/>
      <w:ind w:left="-1440"/>
    </w:pPr>
    <w:rPr>
      <w:rFonts w:ascii="Arial" w:eastAsia="Times New Roman" w:hAnsi="Arial" w:cs="Times New Roman"/>
      <w:sz w:val="20"/>
      <w:szCs w:val="24"/>
      <w:lang w:val="en-US" w:eastAsia="en-US"/>
    </w:rPr>
  </w:style>
  <w:style w:type="paragraph" w:styleId="DocumentMap">
    <w:name w:val="Document Map"/>
    <w:basedOn w:val="Normal"/>
    <w:link w:val="DocumentMapChar"/>
    <w:uiPriority w:val="99"/>
    <w:semiHidden/>
    <w:rsid w:val="00893821"/>
    <w:pPr>
      <w:widowControl w:val="0"/>
      <w:shd w:val="clear" w:color="auto" w:fill="000080"/>
      <w:autoSpaceDE w:val="0"/>
      <w:autoSpaceDN w:val="0"/>
      <w:adjustRightInd w:val="0"/>
      <w:spacing w:after="0" w:line="240" w:lineRule="auto"/>
    </w:pPr>
    <w:rPr>
      <w:rFonts w:ascii="Tahoma" w:eastAsia="Times New Roman" w:hAnsi="Tahoma" w:cs="Times New Roman"/>
      <w:szCs w:val="24"/>
      <w:lang w:val="en-US" w:eastAsia="en-US"/>
    </w:rPr>
  </w:style>
  <w:style w:type="character" w:customStyle="1" w:styleId="DocumentMapChar">
    <w:name w:val="Document Map Char"/>
    <w:basedOn w:val="DefaultParagraphFont"/>
    <w:link w:val="DocumentMap"/>
    <w:uiPriority w:val="99"/>
    <w:semiHidden/>
    <w:rsid w:val="00893821"/>
    <w:rPr>
      <w:rFonts w:ascii="Tahoma" w:eastAsia="Times New Roman" w:hAnsi="Tahoma" w:cs="Times New Roman"/>
      <w:sz w:val="24"/>
      <w:szCs w:val="24"/>
      <w:shd w:val="clear" w:color="auto" w:fill="000080"/>
      <w:lang w:val="en-US" w:eastAsia="en-US"/>
    </w:rPr>
  </w:style>
  <w:style w:type="paragraph" w:customStyle="1" w:styleId="a0">
    <w:name w:val=""/>
    <w:uiPriority w:val="99"/>
    <w:rsid w:val="00893821"/>
    <w:pPr>
      <w:autoSpaceDE w:val="0"/>
      <w:autoSpaceDN w:val="0"/>
      <w:adjustRightInd w:val="0"/>
      <w:spacing w:after="0" w:line="240" w:lineRule="auto"/>
      <w:ind w:left="1440"/>
    </w:pPr>
    <w:rPr>
      <w:rFonts w:ascii="Arial" w:eastAsia="Times New Roman" w:hAnsi="Arial" w:cs="Times New Roman"/>
      <w:sz w:val="20"/>
      <w:szCs w:val="24"/>
      <w:lang w:val="en-US" w:eastAsia="en-US"/>
    </w:rPr>
  </w:style>
  <w:style w:type="paragraph" w:customStyle="1" w:styleId="a1">
    <w:name w:val=""/>
    <w:uiPriority w:val="99"/>
    <w:rsid w:val="00893821"/>
    <w:pPr>
      <w:autoSpaceDE w:val="0"/>
      <w:autoSpaceDN w:val="0"/>
      <w:adjustRightInd w:val="0"/>
      <w:spacing w:after="0" w:line="240" w:lineRule="auto"/>
      <w:ind w:left="1440"/>
    </w:pPr>
    <w:rPr>
      <w:rFonts w:ascii="Arial" w:eastAsia="Times New Roman" w:hAnsi="Arial" w:cs="Times New Roman"/>
      <w:sz w:val="20"/>
      <w:szCs w:val="24"/>
      <w:lang w:val="en-US" w:eastAsia="en-US"/>
    </w:rPr>
  </w:style>
  <w:style w:type="paragraph" w:styleId="List">
    <w:name w:val="List"/>
    <w:basedOn w:val="Normal"/>
    <w:uiPriority w:val="99"/>
    <w:rsid w:val="00893821"/>
    <w:pPr>
      <w:autoSpaceDE w:val="0"/>
      <w:autoSpaceDN w:val="0"/>
      <w:spacing w:after="0" w:line="240" w:lineRule="auto"/>
      <w:ind w:left="360" w:hanging="360"/>
    </w:pPr>
    <w:rPr>
      <w:rFonts w:ascii="Times New Roman" w:eastAsia="Times New Roman" w:hAnsi="Times New Roman" w:cs="Times New Roman"/>
      <w:sz w:val="20"/>
      <w:szCs w:val="20"/>
      <w:lang w:val="en-US" w:eastAsia="en-US"/>
    </w:rPr>
  </w:style>
  <w:style w:type="paragraph" w:customStyle="1" w:styleId="BulletIndent1">
    <w:name w:val="Bullet Indent +1"/>
    <w:basedOn w:val="Normal"/>
    <w:uiPriority w:val="99"/>
    <w:rsid w:val="00893821"/>
    <w:pPr>
      <w:numPr>
        <w:numId w:val="12"/>
      </w:numPr>
      <w:spacing w:after="60" w:line="240" w:lineRule="auto"/>
      <w:ind w:left="2160"/>
    </w:pPr>
    <w:rPr>
      <w:rFonts w:ascii="Times New Roman" w:eastAsia="Times New Roman" w:hAnsi="Times New Roman" w:cs="Times New Roman"/>
      <w:noProof/>
      <w:szCs w:val="20"/>
      <w:lang w:eastAsia="en-US"/>
    </w:rPr>
  </w:style>
  <w:style w:type="paragraph" w:customStyle="1" w:styleId="Quicka">
    <w:name w:val="Quick a."/>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val="en-US" w:eastAsia="en-US"/>
    </w:rPr>
  </w:style>
  <w:style w:type="paragraph" w:customStyle="1" w:styleId="Quick1">
    <w:name w:val="Quick 1."/>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val="en-US" w:eastAsia="en-US"/>
    </w:rPr>
  </w:style>
  <w:style w:type="paragraph" w:customStyle="1" w:styleId="1">
    <w:name w:val="_1"/>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val="en-US" w:eastAsia="en-US"/>
    </w:rPr>
  </w:style>
  <w:style w:type="paragraph" w:customStyle="1" w:styleId="SecondBullet">
    <w:name w:val="Second Bullet"/>
    <w:basedOn w:val="Normal"/>
    <w:uiPriority w:val="99"/>
    <w:rsid w:val="00893821"/>
    <w:pPr>
      <w:numPr>
        <w:numId w:val="14"/>
      </w:numPr>
      <w:spacing w:before="100" w:after="0" w:line="240" w:lineRule="auto"/>
      <w:jc w:val="both"/>
    </w:pPr>
    <w:rPr>
      <w:rFonts w:ascii="Arial" w:eastAsia="Times New Roman" w:hAnsi="Arial" w:cs="Times New Roman"/>
      <w:sz w:val="22"/>
      <w:lang w:eastAsia="en-US"/>
    </w:rPr>
  </w:style>
  <w:style w:type="paragraph" w:customStyle="1" w:styleId="FirstBullet">
    <w:name w:val="First Bullet"/>
    <w:basedOn w:val="Normal"/>
    <w:rsid w:val="00893821"/>
    <w:pPr>
      <w:numPr>
        <w:numId w:val="15"/>
      </w:numPr>
      <w:spacing w:before="140" w:after="0" w:line="240" w:lineRule="auto"/>
      <w:jc w:val="both"/>
    </w:pPr>
    <w:rPr>
      <w:rFonts w:ascii="Arial" w:eastAsia="Times New Roman" w:hAnsi="Arial" w:cs="Times New Roman"/>
      <w:sz w:val="22"/>
      <w:lang w:eastAsia="en-US"/>
    </w:rPr>
  </w:style>
  <w:style w:type="paragraph" w:customStyle="1" w:styleId="GPICBody">
    <w:name w:val="GPIC Body"/>
    <w:basedOn w:val="Normal"/>
    <w:uiPriority w:val="99"/>
    <w:rsid w:val="00893821"/>
    <w:pPr>
      <w:overflowPunct w:val="0"/>
      <w:autoSpaceDE w:val="0"/>
      <w:autoSpaceDN w:val="0"/>
      <w:adjustRightInd w:val="0"/>
      <w:spacing w:after="0" w:line="240" w:lineRule="auto"/>
      <w:textAlignment w:val="baseline"/>
    </w:pPr>
    <w:rPr>
      <w:rFonts w:ascii="Arial" w:eastAsia="Times New Roman" w:hAnsi="Arial" w:cs="Times New Roman"/>
      <w:sz w:val="20"/>
      <w:szCs w:val="20"/>
      <w:lang w:val="en-US" w:eastAsia="en-US"/>
    </w:rPr>
  </w:style>
  <w:style w:type="paragraph" w:customStyle="1" w:styleId="Level2">
    <w:name w:val="Level 2"/>
    <w:uiPriority w:val="99"/>
    <w:rsid w:val="00893821"/>
    <w:pPr>
      <w:autoSpaceDE w:val="0"/>
      <w:autoSpaceDN w:val="0"/>
      <w:adjustRightInd w:val="0"/>
      <w:spacing w:after="0" w:line="240" w:lineRule="auto"/>
      <w:ind w:left="1440"/>
    </w:pPr>
    <w:rPr>
      <w:rFonts w:ascii="Times New Roman" w:eastAsia="Times New Roman" w:hAnsi="Times New Roman" w:cs="Times New Roman"/>
      <w:sz w:val="20"/>
      <w:szCs w:val="24"/>
      <w:lang w:eastAsia="en-US"/>
    </w:rPr>
  </w:style>
  <w:style w:type="paragraph" w:customStyle="1" w:styleId="a2">
    <w:name w:val="!"/>
    <w:uiPriority w:val="99"/>
    <w:rsid w:val="00893821"/>
    <w:pPr>
      <w:autoSpaceDE w:val="0"/>
      <w:autoSpaceDN w:val="0"/>
      <w:adjustRightInd w:val="0"/>
      <w:spacing w:after="0" w:line="240" w:lineRule="auto"/>
    </w:pPr>
    <w:rPr>
      <w:rFonts w:ascii="Arial" w:eastAsia="Times New Roman" w:hAnsi="Arial" w:cs="Times New Roman"/>
      <w:sz w:val="20"/>
      <w:szCs w:val="24"/>
      <w:lang w:val="en-US" w:eastAsia="en-US"/>
    </w:rPr>
  </w:style>
  <w:style w:type="paragraph" w:styleId="PlainText">
    <w:name w:val="Plain Text"/>
    <w:basedOn w:val="Normal"/>
    <w:link w:val="PlainTextChar"/>
    <w:uiPriority w:val="99"/>
    <w:rsid w:val="00893821"/>
    <w:pPr>
      <w:spacing w:after="0" w:line="240" w:lineRule="auto"/>
    </w:pPr>
    <w:rPr>
      <w:rFonts w:ascii="Courier" w:eastAsia="Times New Roman" w:hAnsi="Courier" w:cs="Times New Roman"/>
      <w:szCs w:val="20"/>
      <w:lang w:eastAsia="en-US"/>
    </w:rPr>
  </w:style>
  <w:style w:type="character" w:customStyle="1" w:styleId="PlainTextChar">
    <w:name w:val="Plain Text Char"/>
    <w:basedOn w:val="DefaultParagraphFont"/>
    <w:link w:val="PlainText"/>
    <w:uiPriority w:val="99"/>
    <w:rsid w:val="00893821"/>
    <w:rPr>
      <w:rFonts w:ascii="Courier" w:eastAsia="Times New Roman" w:hAnsi="Courier" w:cs="Times New Roman"/>
      <w:sz w:val="24"/>
      <w:szCs w:val="20"/>
      <w:lang w:eastAsia="en-US"/>
    </w:rPr>
  </w:style>
  <w:style w:type="character" w:styleId="Strong">
    <w:name w:val="Strong"/>
    <w:uiPriority w:val="22"/>
    <w:qFormat/>
    <w:rsid w:val="005A3CF1"/>
    <w:rPr>
      <w:b/>
      <w:bCs/>
    </w:rPr>
  </w:style>
  <w:style w:type="paragraph" w:styleId="NormalWeb">
    <w:name w:val="Normal (Web)"/>
    <w:basedOn w:val="Normal"/>
    <w:uiPriority w:val="99"/>
    <w:rsid w:val="00893821"/>
    <w:pPr>
      <w:spacing w:before="100" w:beforeAutospacing="1" w:after="100" w:afterAutospacing="1" w:line="240" w:lineRule="auto"/>
    </w:pPr>
    <w:rPr>
      <w:rFonts w:ascii="Arial Unicode MS" w:eastAsia="Arial Unicode MS" w:hAnsi="Arial Unicode MS" w:cs="Arial Unicode MS"/>
      <w:szCs w:val="24"/>
      <w:lang w:val="en-US" w:eastAsia="en-US"/>
    </w:rPr>
  </w:style>
  <w:style w:type="character" w:styleId="Emphasis">
    <w:name w:val="Emphasis"/>
    <w:uiPriority w:val="20"/>
    <w:qFormat/>
    <w:rsid w:val="005A3CF1"/>
    <w:rPr>
      <w:b/>
      <w:bCs/>
      <w:i/>
      <w:iCs/>
      <w:spacing w:val="10"/>
      <w:bdr w:val="none" w:sz="0" w:space="0" w:color="auto"/>
      <w:shd w:val="clear" w:color="auto" w:fill="auto"/>
    </w:rPr>
  </w:style>
  <w:style w:type="paragraph" w:customStyle="1" w:styleId="bullet0">
    <w:name w:val="bullet"/>
    <w:basedOn w:val="Normal"/>
    <w:uiPriority w:val="99"/>
    <w:rsid w:val="00893821"/>
    <w:pPr>
      <w:tabs>
        <w:tab w:val="num" w:pos="720"/>
      </w:tabs>
      <w:spacing w:after="0" w:line="240" w:lineRule="auto"/>
      <w:ind w:left="720" w:hanging="360"/>
    </w:pPr>
    <w:rPr>
      <w:rFonts w:ascii="Times New Roman" w:eastAsia="Times New Roman" w:hAnsi="Times New Roman" w:cs="Times New Roman"/>
      <w:szCs w:val="20"/>
      <w:lang w:eastAsia="en-US"/>
    </w:rPr>
  </w:style>
  <w:style w:type="paragraph" w:customStyle="1" w:styleId="bulletindent">
    <w:name w:val="bullet indent"/>
    <w:basedOn w:val="Normal"/>
    <w:uiPriority w:val="99"/>
    <w:rsid w:val="00893821"/>
    <w:pPr>
      <w:tabs>
        <w:tab w:val="num" w:pos="576"/>
      </w:tabs>
      <w:spacing w:after="0" w:line="240" w:lineRule="auto"/>
      <w:ind w:left="576" w:hanging="216"/>
    </w:pPr>
    <w:rPr>
      <w:rFonts w:ascii="Times New Roman" w:eastAsia="Times New Roman" w:hAnsi="Times New Roman" w:cs="Times New Roman"/>
      <w:szCs w:val="20"/>
      <w:lang w:eastAsia="en-US"/>
    </w:rPr>
  </w:style>
  <w:style w:type="paragraph" w:customStyle="1" w:styleId="number">
    <w:name w:val="number"/>
    <w:basedOn w:val="Normal"/>
    <w:uiPriority w:val="99"/>
    <w:rsid w:val="00893821"/>
    <w:pPr>
      <w:tabs>
        <w:tab w:val="num" w:pos="360"/>
      </w:tabs>
      <w:spacing w:after="0" w:line="240" w:lineRule="auto"/>
      <w:ind w:left="360" w:hanging="360"/>
    </w:pPr>
    <w:rPr>
      <w:rFonts w:ascii="Times New Roman" w:eastAsia="Times New Roman" w:hAnsi="Times New Roman" w:cs="Times New Roman"/>
      <w:szCs w:val="20"/>
      <w:lang w:eastAsia="en-US"/>
    </w:rPr>
  </w:style>
  <w:style w:type="paragraph" w:customStyle="1" w:styleId="BulletIndent2">
    <w:name w:val="Bullet Indent +2"/>
    <w:basedOn w:val="NormalIndent2"/>
    <w:uiPriority w:val="99"/>
    <w:rsid w:val="00893821"/>
  </w:style>
  <w:style w:type="paragraph" w:customStyle="1" w:styleId="NormalIndent2">
    <w:name w:val="Normal Indent +2"/>
    <w:basedOn w:val="Normal"/>
    <w:autoRedefine/>
    <w:uiPriority w:val="99"/>
    <w:rsid w:val="00893821"/>
    <w:pPr>
      <w:spacing w:after="0" w:line="240" w:lineRule="auto"/>
      <w:ind w:left="720"/>
    </w:pPr>
    <w:rPr>
      <w:rFonts w:ascii="Times New Roman" w:eastAsia="Times New Roman" w:hAnsi="Times New Roman" w:cs="Times New Roman"/>
      <w:bCs/>
      <w:szCs w:val="20"/>
      <w:lang w:val="en-US" w:eastAsia="en-US"/>
    </w:rPr>
  </w:style>
  <w:style w:type="paragraph" w:customStyle="1" w:styleId="BulletIndent3">
    <w:name w:val="Bullet Indent +3"/>
    <w:autoRedefine/>
    <w:uiPriority w:val="99"/>
    <w:rsid w:val="00893821"/>
    <w:pPr>
      <w:tabs>
        <w:tab w:val="num" w:pos="1440"/>
      </w:tabs>
      <w:spacing w:before="120" w:after="0" w:line="240" w:lineRule="auto"/>
      <w:ind w:left="1440" w:hanging="720"/>
    </w:pPr>
    <w:rPr>
      <w:rFonts w:ascii="Times New Roman" w:eastAsia="Times New Roman" w:hAnsi="Times New Roman" w:cs="Times New Roman"/>
      <w:noProof/>
      <w:sz w:val="24"/>
      <w:szCs w:val="20"/>
      <w:lang w:val="en-US" w:eastAsia="en-US"/>
    </w:rPr>
  </w:style>
  <w:style w:type="character" w:styleId="HTMLAcronym">
    <w:name w:val="HTML Acronym"/>
    <w:uiPriority w:val="99"/>
    <w:rsid w:val="00893821"/>
    <w:rPr>
      <w:rFonts w:cs="Times New Roman"/>
      <w:color w:val="666666"/>
    </w:rPr>
  </w:style>
  <w:style w:type="character" w:customStyle="1" w:styleId="CharChar">
    <w:name w:val="Char Char"/>
    <w:uiPriority w:val="99"/>
    <w:rsid w:val="00893821"/>
    <w:rPr>
      <w:rFonts w:ascii="Arial" w:hAnsi="Arial"/>
      <w:color w:val="000000"/>
      <w:sz w:val="22"/>
      <w:lang w:val="en-GB" w:eastAsia="en-US"/>
    </w:rPr>
  </w:style>
  <w:style w:type="paragraph" w:customStyle="1" w:styleId="1AutoList1">
    <w:name w:val="1AutoList1"/>
    <w:uiPriority w:val="99"/>
    <w:rsid w:val="00893821"/>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US" w:eastAsia="en-US"/>
    </w:rPr>
  </w:style>
  <w:style w:type="paragraph" w:customStyle="1" w:styleId="BodyText22">
    <w:name w:val="Body Text 22"/>
    <w:basedOn w:val="Normal"/>
    <w:uiPriority w:val="99"/>
    <w:rsid w:val="00893821"/>
    <w:pPr>
      <w:overflowPunct w:val="0"/>
      <w:autoSpaceDE w:val="0"/>
      <w:autoSpaceDN w:val="0"/>
      <w:adjustRightInd w:val="0"/>
      <w:spacing w:after="0" w:line="240" w:lineRule="auto"/>
      <w:textAlignment w:val="baseline"/>
    </w:pPr>
    <w:rPr>
      <w:rFonts w:ascii="Times New Roman" w:eastAsia="Times New Roman" w:hAnsi="Times New Roman" w:cs="Times New Roman"/>
      <w:b/>
      <w:szCs w:val="20"/>
      <w:lang w:val="fr-CA" w:eastAsia="en-CA"/>
    </w:rPr>
  </w:style>
  <w:style w:type="character" w:customStyle="1" w:styleId="title1">
    <w:name w:val="title1"/>
    <w:uiPriority w:val="99"/>
    <w:rsid w:val="00893821"/>
    <w:rPr>
      <w:rFonts w:ascii="Arial" w:hAnsi="Arial"/>
      <w:b/>
      <w:color w:val="000000"/>
      <w:sz w:val="21"/>
    </w:rPr>
  </w:style>
  <w:style w:type="paragraph" w:customStyle="1" w:styleId="Appendix1">
    <w:name w:val="Appendix 1"/>
    <w:basedOn w:val="Heading1"/>
    <w:next w:val="BodyText"/>
    <w:uiPriority w:val="99"/>
    <w:rsid w:val="00893821"/>
    <w:pPr>
      <w:keepNext/>
      <w:pBdr>
        <w:bottom w:val="single" w:sz="6" w:space="18" w:color="000000"/>
      </w:pBdr>
      <w:tabs>
        <w:tab w:val="num" w:pos="720"/>
      </w:tabs>
      <w:spacing w:after="960" w:line="240" w:lineRule="auto"/>
      <w:ind w:left="720" w:hanging="720"/>
      <w:contextualSpacing w:val="0"/>
    </w:pPr>
    <w:rPr>
      <w:rFonts w:ascii="Times New Roman" w:eastAsia="Times New Roman" w:hAnsi="Times New Roman" w:cs="Times New Roman"/>
      <w:bCs w:val="0"/>
      <w:i/>
      <w:kern w:val="24"/>
      <w:sz w:val="72"/>
      <w:szCs w:val="20"/>
      <w:lang w:eastAsia="en-US"/>
    </w:rPr>
  </w:style>
  <w:style w:type="paragraph" w:customStyle="1" w:styleId="Appendix3">
    <w:name w:val="Appendix 3"/>
    <w:basedOn w:val="Heading3"/>
    <w:next w:val="BodyText"/>
    <w:uiPriority w:val="99"/>
    <w:rsid w:val="00893821"/>
    <w:pPr>
      <w:numPr>
        <w:ilvl w:val="2"/>
        <w:numId w:val="16"/>
      </w:numPr>
      <w:spacing w:before="240" w:after="240" w:line="240" w:lineRule="auto"/>
    </w:pPr>
    <w:rPr>
      <w:rFonts w:ascii="Times New Roman" w:eastAsia="Times New Roman" w:hAnsi="Times New Roman" w:cs="Times New Roman"/>
      <w:bCs w:val="0"/>
      <w:i/>
      <w:noProof/>
      <w:szCs w:val="20"/>
      <w:lang w:val="en-US" w:eastAsia="en-US"/>
    </w:rPr>
  </w:style>
  <w:style w:type="paragraph" w:customStyle="1" w:styleId="Level3">
    <w:name w:val="Level 3"/>
    <w:uiPriority w:val="99"/>
    <w:rsid w:val="00893821"/>
    <w:pPr>
      <w:autoSpaceDE w:val="0"/>
      <w:autoSpaceDN w:val="0"/>
      <w:adjustRightInd w:val="0"/>
      <w:spacing w:after="0" w:line="240" w:lineRule="auto"/>
      <w:ind w:left="2160"/>
    </w:pPr>
    <w:rPr>
      <w:rFonts w:ascii="Arial" w:eastAsia="Times New Roman" w:hAnsi="Arial" w:cs="Times New Roman"/>
      <w:sz w:val="20"/>
      <w:szCs w:val="24"/>
      <w:lang w:val="en-US" w:eastAsia="en-US"/>
    </w:rPr>
  </w:style>
  <w:style w:type="paragraph" w:customStyle="1" w:styleId="Level4">
    <w:name w:val="Level 4"/>
    <w:uiPriority w:val="99"/>
    <w:rsid w:val="00893821"/>
    <w:pPr>
      <w:autoSpaceDE w:val="0"/>
      <w:autoSpaceDN w:val="0"/>
      <w:adjustRightInd w:val="0"/>
      <w:spacing w:after="0" w:line="240" w:lineRule="auto"/>
      <w:ind w:left="2880"/>
    </w:pPr>
    <w:rPr>
      <w:rFonts w:ascii="Arial" w:eastAsia="Times New Roman" w:hAnsi="Arial" w:cs="Times New Roman"/>
      <w:sz w:val="20"/>
      <w:szCs w:val="24"/>
      <w:lang w:val="en-US" w:eastAsia="en-US"/>
    </w:rPr>
  </w:style>
  <w:style w:type="paragraph" w:customStyle="1" w:styleId="Level5">
    <w:name w:val="Level 5"/>
    <w:uiPriority w:val="99"/>
    <w:rsid w:val="00893821"/>
    <w:pPr>
      <w:autoSpaceDE w:val="0"/>
      <w:autoSpaceDN w:val="0"/>
      <w:adjustRightInd w:val="0"/>
      <w:spacing w:after="0" w:line="240" w:lineRule="auto"/>
      <w:ind w:left="3600"/>
    </w:pPr>
    <w:rPr>
      <w:rFonts w:ascii="Arial" w:eastAsia="Times New Roman" w:hAnsi="Arial" w:cs="Times New Roman"/>
      <w:sz w:val="20"/>
      <w:szCs w:val="24"/>
      <w:lang w:val="en-US" w:eastAsia="en-US"/>
    </w:rPr>
  </w:style>
  <w:style w:type="paragraph" w:customStyle="1" w:styleId="Level6">
    <w:name w:val="Level 6"/>
    <w:uiPriority w:val="99"/>
    <w:rsid w:val="00893821"/>
    <w:pPr>
      <w:autoSpaceDE w:val="0"/>
      <w:autoSpaceDN w:val="0"/>
      <w:adjustRightInd w:val="0"/>
      <w:spacing w:after="0" w:line="240" w:lineRule="auto"/>
      <w:ind w:left="4320"/>
    </w:pPr>
    <w:rPr>
      <w:rFonts w:ascii="Arial" w:eastAsia="Times New Roman" w:hAnsi="Arial" w:cs="Times New Roman"/>
      <w:sz w:val="20"/>
      <w:szCs w:val="24"/>
      <w:lang w:val="en-US" w:eastAsia="en-US"/>
    </w:rPr>
  </w:style>
  <w:style w:type="paragraph" w:customStyle="1" w:styleId="Level7">
    <w:name w:val="Level 7"/>
    <w:uiPriority w:val="99"/>
    <w:rsid w:val="00893821"/>
    <w:pPr>
      <w:autoSpaceDE w:val="0"/>
      <w:autoSpaceDN w:val="0"/>
      <w:adjustRightInd w:val="0"/>
      <w:spacing w:after="0" w:line="240" w:lineRule="auto"/>
      <w:ind w:left="5040"/>
    </w:pPr>
    <w:rPr>
      <w:rFonts w:ascii="Arial" w:eastAsia="Times New Roman" w:hAnsi="Arial" w:cs="Times New Roman"/>
      <w:sz w:val="20"/>
      <w:szCs w:val="24"/>
      <w:lang w:val="en-US" w:eastAsia="en-US"/>
    </w:rPr>
  </w:style>
  <w:style w:type="paragraph" w:customStyle="1" w:styleId="Level8">
    <w:name w:val="Level 8"/>
    <w:uiPriority w:val="99"/>
    <w:rsid w:val="00893821"/>
    <w:pPr>
      <w:autoSpaceDE w:val="0"/>
      <w:autoSpaceDN w:val="0"/>
      <w:adjustRightInd w:val="0"/>
      <w:spacing w:after="0" w:line="240" w:lineRule="auto"/>
      <w:ind w:left="5760"/>
    </w:pPr>
    <w:rPr>
      <w:rFonts w:ascii="Arial" w:eastAsia="Times New Roman" w:hAnsi="Arial" w:cs="Times New Roman"/>
      <w:sz w:val="20"/>
      <w:szCs w:val="24"/>
      <w:lang w:val="en-US" w:eastAsia="en-US"/>
    </w:rPr>
  </w:style>
  <w:style w:type="paragraph" w:customStyle="1" w:styleId="Level9">
    <w:name w:val="Level 9"/>
    <w:uiPriority w:val="99"/>
    <w:rsid w:val="00893821"/>
    <w:pPr>
      <w:autoSpaceDE w:val="0"/>
      <w:autoSpaceDN w:val="0"/>
      <w:adjustRightInd w:val="0"/>
      <w:spacing w:after="0" w:line="240" w:lineRule="auto"/>
      <w:ind w:left="-1440"/>
    </w:pPr>
    <w:rPr>
      <w:rFonts w:ascii="Arial" w:eastAsia="Times New Roman" w:hAnsi="Arial" w:cs="Times New Roman"/>
      <w:b/>
      <w:bCs/>
      <w:sz w:val="20"/>
      <w:szCs w:val="24"/>
      <w:lang w:val="en-US" w:eastAsia="en-US"/>
    </w:rPr>
  </w:style>
  <w:style w:type="paragraph" w:customStyle="1" w:styleId="Outline0131">
    <w:name w:val="Outline013_1"/>
    <w:uiPriority w:val="99"/>
    <w:rsid w:val="00893821"/>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uto"/>
      <w:ind w:left="720" w:hanging="360"/>
    </w:pPr>
    <w:rPr>
      <w:rFonts w:ascii="Arial" w:eastAsia="Times New Roman" w:hAnsi="Arial" w:cs="Times New Roman"/>
      <w:sz w:val="24"/>
      <w:szCs w:val="24"/>
      <w:lang w:val="en-US" w:eastAsia="en-US"/>
    </w:rPr>
  </w:style>
  <w:style w:type="character" w:customStyle="1" w:styleId="ti">
    <w:name w:val="ti"/>
    <w:uiPriority w:val="99"/>
    <w:rsid w:val="00893821"/>
  </w:style>
  <w:style w:type="character" w:customStyle="1" w:styleId="displaytext1">
    <w:name w:val="displaytext1"/>
    <w:uiPriority w:val="99"/>
    <w:rsid w:val="00893821"/>
  </w:style>
  <w:style w:type="paragraph" w:customStyle="1" w:styleId="Default">
    <w:name w:val="Default"/>
    <w:uiPriority w:val="99"/>
    <w:rsid w:val="00893821"/>
    <w:pPr>
      <w:autoSpaceDE w:val="0"/>
      <w:autoSpaceDN w:val="0"/>
      <w:adjustRightInd w:val="0"/>
      <w:spacing w:after="0" w:line="240" w:lineRule="auto"/>
    </w:pPr>
    <w:rPr>
      <w:rFonts w:ascii="Myriad" w:eastAsia="Times New Roman" w:hAnsi="Myriad" w:cs="Myriad"/>
      <w:color w:val="000000"/>
      <w:sz w:val="24"/>
      <w:szCs w:val="24"/>
      <w:lang w:val="en-US" w:eastAsia="en-US"/>
    </w:rPr>
  </w:style>
  <w:style w:type="paragraph" w:customStyle="1" w:styleId="listparagraph0">
    <w:name w:val="listparagraph"/>
    <w:basedOn w:val="Normal"/>
    <w:uiPriority w:val="99"/>
    <w:rsid w:val="00893821"/>
    <w:pPr>
      <w:autoSpaceDE w:val="0"/>
      <w:autoSpaceDN w:val="0"/>
      <w:spacing w:after="0" w:line="240" w:lineRule="auto"/>
      <w:ind w:left="720"/>
    </w:pPr>
    <w:rPr>
      <w:rFonts w:ascii="Times New Roman" w:eastAsia="Times New Roman" w:hAnsi="Times New Roman" w:cs="Times New Roman"/>
      <w:sz w:val="20"/>
      <w:szCs w:val="20"/>
      <w:lang w:eastAsia="en-CA"/>
    </w:rPr>
  </w:style>
  <w:style w:type="character" w:customStyle="1" w:styleId="ft">
    <w:name w:val="ft"/>
    <w:uiPriority w:val="99"/>
    <w:rsid w:val="00893821"/>
  </w:style>
  <w:style w:type="paragraph" w:customStyle="1" w:styleId="Nonindent">
    <w:name w:val="Nonindent"/>
    <w:basedOn w:val="Normal"/>
    <w:uiPriority w:val="99"/>
    <w:rsid w:val="00893821"/>
    <w:pPr>
      <w:spacing w:after="0" w:line="240" w:lineRule="auto"/>
    </w:pPr>
    <w:rPr>
      <w:rFonts w:ascii="Arial" w:eastAsia="Times New Roman" w:hAnsi="Arial" w:cs="Times New Roman"/>
      <w:szCs w:val="20"/>
      <w:lang w:eastAsia="en-US"/>
    </w:rPr>
  </w:style>
  <w:style w:type="paragraph" w:customStyle="1" w:styleId="StyleNonindent10pt">
    <w:name w:val="Style Nonindent + 10 pt"/>
    <w:basedOn w:val="Nonindent"/>
    <w:uiPriority w:val="99"/>
    <w:rsid w:val="00893821"/>
    <w:rPr>
      <w:sz w:val="20"/>
    </w:rPr>
  </w:style>
  <w:style w:type="paragraph" w:styleId="NormalIndent">
    <w:name w:val="Normal Indent"/>
    <w:basedOn w:val="Normal"/>
    <w:uiPriority w:val="99"/>
    <w:rsid w:val="00893821"/>
    <w:pPr>
      <w:spacing w:after="0" w:line="240" w:lineRule="auto"/>
      <w:ind w:left="720"/>
    </w:pPr>
    <w:rPr>
      <w:rFonts w:ascii="Times New Roman" w:eastAsia="Times New Roman" w:hAnsi="Times New Roman" w:cs="Times New Roman"/>
      <w:szCs w:val="20"/>
      <w:lang w:eastAsia="en-US"/>
    </w:rPr>
  </w:style>
  <w:style w:type="paragraph" w:styleId="ListBullet3">
    <w:name w:val="List Bullet 3"/>
    <w:basedOn w:val="Normal"/>
    <w:autoRedefine/>
    <w:uiPriority w:val="99"/>
    <w:rsid w:val="00893821"/>
    <w:pPr>
      <w:tabs>
        <w:tab w:val="num" w:pos="926"/>
      </w:tabs>
      <w:spacing w:after="0" w:line="240" w:lineRule="auto"/>
      <w:ind w:left="926" w:hanging="360"/>
    </w:pPr>
    <w:rPr>
      <w:rFonts w:ascii="Arial" w:eastAsia="Times New Roman" w:hAnsi="Arial" w:cs="Arial"/>
      <w:sz w:val="20"/>
      <w:szCs w:val="20"/>
      <w:lang w:eastAsia="en-US"/>
    </w:rPr>
  </w:style>
  <w:style w:type="character" w:customStyle="1" w:styleId="HeaderChar2">
    <w:name w:val="Header Char2"/>
    <w:aliases w:val="Header Char Char1"/>
    <w:uiPriority w:val="99"/>
    <w:rsid w:val="00893821"/>
    <w:rPr>
      <w:sz w:val="24"/>
    </w:rPr>
  </w:style>
  <w:style w:type="paragraph" w:styleId="NoSpacing">
    <w:name w:val="No Spacing"/>
    <w:basedOn w:val="Normal"/>
    <w:uiPriority w:val="99"/>
    <w:qFormat/>
    <w:rsid w:val="005A3CF1"/>
    <w:pPr>
      <w:spacing w:after="0" w:line="240" w:lineRule="auto"/>
    </w:pPr>
  </w:style>
  <w:style w:type="character" w:customStyle="1" w:styleId="FootnoteTextChar1">
    <w:name w:val="Footnote Text Char1"/>
    <w:uiPriority w:val="99"/>
    <w:semiHidden/>
    <w:rsid w:val="00893821"/>
    <w:rPr>
      <w:lang w:val="en-US" w:eastAsia="en-US"/>
    </w:rPr>
  </w:style>
  <w:style w:type="character" w:styleId="HTMLTypewriter">
    <w:name w:val="HTML Typewriter"/>
    <w:uiPriority w:val="99"/>
    <w:rsid w:val="00893821"/>
    <w:rPr>
      <w:rFonts w:ascii="Arial Unicode MS" w:eastAsia="Arial Unicode MS" w:hAnsi="Arial Unicode MS" w:cs="Times New Roman"/>
      <w:sz w:val="20"/>
    </w:rPr>
  </w:style>
  <w:style w:type="paragraph" w:customStyle="1" w:styleId="1Heading">
    <w:name w:val="1Heading"/>
    <w:basedOn w:val="Normal"/>
    <w:uiPriority w:val="99"/>
    <w:rsid w:val="00893821"/>
    <w:pPr>
      <w:widowControl w:val="0"/>
      <w:tabs>
        <w:tab w:val="left" w:pos="720"/>
      </w:tabs>
      <w:autoSpaceDE w:val="0"/>
      <w:autoSpaceDN w:val="0"/>
      <w:adjustRightInd w:val="0"/>
      <w:spacing w:after="0" w:line="240" w:lineRule="auto"/>
    </w:pPr>
    <w:rPr>
      <w:rFonts w:ascii="Arial" w:eastAsia="Times New Roman" w:hAnsi="Arial" w:cs="Times New Roman"/>
      <w:b/>
      <w:sz w:val="28"/>
      <w:szCs w:val="28"/>
      <w:u w:val="single"/>
      <w:lang w:val="en-US" w:eastAsia="en-US"/>
    </w:rPr>
  </w:style>
  <w:style w:type="paragraph" w:customStyle="1" w:styleId="Table-text">
    <w:name w:val="Table-text"/>
    <w:basedOn w:val="Normal"/>
    <w:uiPriority w:val="99"/>
    <w:rsid w:val="00893821"/>
    <w:pPr>
      <w:tabs>
        <w:tab w:val="left" w:pos="144"/>
        <w:tab w:val="left" w:pos="360"/>
        <w:tab w:val="left" w:pos="720"/>
        <w:tab w:val="left" w:pos="1584"/>
        <w:tab w:val="left" w:pos="1800"/>
        <w:tab w:val="left" w:pos="2340"/>
      </w:tabs>
      <w:spacing w:before="40" w:after="0"/>
    </w:pPr>
    <w:rPr>
      <w:rFonts w:ascii="Arial Narrow" w:eastAsia="Times New Roman" w:hAnsi="Arial Narrow" w:cs="Times New Roman"/>
      <w:sz w:val="18"/>
      <w:szCs w:val="24"/>
      <w:lang w:eastAsia="en-US"/>
    </w:rPr>
  </w:style>
  <w:style w:type="paragraph" w:customStyle="1" w:styleId="PRATableText">
    <w:name w:val="PRA Table Text"/>
    <w:basedOn w:val="Normal"/>
    <w:uiPriority w:val="99"/>
    <w:rsid w:val="00893821"/>
    <w:pPr>
      <w:tabs>
        <w:tab w:val="left" w:pos="144"/>
      </w:tabs>
      <w:spacing w:after="0" w:line="240" w:lineRule="auto"/>
    </w:pPr>
    <w:rPr>
      <w:rFonts w:ascii="Arial" w:eastAsia="Times New Roman" w:hAnsi="Arial" w:cs="Times New Roman"/>
      <w:sz w:val="20"/>
      <w:szCs w:val="20"/>
      <w:lang w:val="en-US" w:eastAsia="en-US"/>
    </w:rPr>
  </w:style>
  <w:style w:type="paragraph" w:customStyle="1" w:styleId="ColEngAngl">
    <w:name w:val="ColEngAngl"/>
    <w:basedOn w:val="Normal"/>
    <w:uiPriority w:val="99"/>
    <w:rsid w:val="00893821"/>
    <w:pPr>
      <w:spacing w:before="120" w:after="0" w:line="240" w:lineRule="auto"/>
    </w:pPr>
    <w:rPr>
      <w:rFonts w:ascii="Times New Roman" w:eastAsia="MS Mincho" w:hAnsi="Times New Roman" w:cs="Times New Roman"/>
      <w:szCs w:val="24"/>
      <w:lang w:eastAsia="en-US"/>
    </w:rPr>
  </w:style>
  <w:style w:type="paragraph" w:customStyle="1" w:styleId="pratabletext0">
    <w:name w:val="pratabletext"/>
    <w:basedOn w:val="Normal"/>
    <w:uiPriority w:val="99"/>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styleId="EndnoteText">
    <w:name w:val="endnote text"/>
    <w:basedOn w:val="Normal"/>
    <w:link w:val="EndnoteTextChar"/>
    <w:uiPriority w:val="99"/>
    <w:rsid w:val="0089382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en-US" w:eastAsia="en-US"/>
    </w:rPr>
  </w:style>
  <w:style w:type="character" w:customStyle="1" w:styleId="EndnoteTextChar">
    <w:name w:val="Endnote Text Char"/>
    <w:basedOn w:val="DefaultParagraphFont"/>
    <w:link w:val="EndnoteText"/>
    <w:uiPriority w:val="99"/>
    <w:rsid w:val="00893821"/>
    <w:rPr>
      <w:rFonts w:ascii="Courier New" w:eastAsia="Times New Roman" w:hAnsi="Courier New" w:cs="Times New Roman"/>
      <w:sz w:val="24"/>
      <w:szCs w:val="20"/>
      <w:lang w:val="en-US" w:eastAsia="en-US"/>
    </w:rPr>
  </w:style>
  <w:style w:type="table" w:customStyle="1" w:styleId="TableGrid10">
    <w:name w:val="Table Grid1"/>
    <w:uiPriority w:val="99"/>
    <w:rsid w:val="00893821"/>
    <w:pPr>
      <w:spacing w:after="0" w:line="240" w:lineRule="auto"/>
    </w:pPr>
    <w:rPr>
      <w:rFonts w:ascii="Arial" w:eastAsia="Times New Roman" w:hAnsi="Arial" w:cs="OptimaLTStd"/>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
    <w:uiPriority w:val="99"/>
    <w:rsid w:val="00893821"/>
    <w:pPr>
      <w:widowControl w:val="0"/>
      <w:autoSpaceDE w:val="0"/>
      <w:autoSpaceDN w:val="0"/>
      <w:adjustRightInd w:val="0"/>
      <w:spacing w:after="0" w:line="240" w:lineRule="auto"/>
    </w:pPr>
    <w:rPr>
      <w:rFonts w:ascii="Calibri" w:eastAsia="Times New Roman" w:hAnsi="Calibri" w:cs="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ext0">
    <w:name w:val="Table Text"/>
    <w:basedOn w:val="Normal"/>
    <w:uiPriority w:val="99"/>
    <w:rsid w:val="00893821"/>
    <w:pPr>
      <w:overflowPunct w:val="0"/>
      <w:autoSpaceDE w:val="0"/>
      <w:autoSpaceDN w:val="0"/>
      <w:adjustRightInd w:val="0"/>
      <w:spacing w:after="0" w:line="240" w:lineRule="auto"/>
    </w:pPr>
    <w:rPr>
      <w:rFonts w:ascii="Arial" w:eastAsia="Times New Roman" w:hAnsi="Arial" w:cs="Arial"/>
      <w:szCs w:val="24"/>
      <w:lang w:val="en-US" w:eastAsia="en-US"/>
    </w:rPr>
  </w:style>
  <w:style w:type="paragraph" w:customStyle="1" w:styleId="Car1CharCharChar">
    <w:name w:val="Car1 Char Char Char"/>
    <w:basedOn w:val="Normal"/>
    <w:uiPriority w:val="99"/>
    <w:rsid w:val="00893821"/>
    <w:pPr>
      <w:spacing w:after="160" w:line="240" w:lineRule="exact"/>
    </w:pPr>
    <w:rPr>
      <w:rFonts w:ascii="Verdana" w:eastAsia="Times New Roman" w:hAnsi="Verdana" w:cs="Verdana"/>
      <w:sz w:val="20"/>
      <w:szCs w:val="20"/>
      <w:lang w:eastAsia="en-US"/>
    </w:rPr>
  </w:style>
  <w:style w:type="paragraph" w:customStyle="1" w:styleId="bulletedlist">
    <w:name w:val="bulleted list"/>
    <w:basedOn w:val="Normal"/>
    <w:link w:val="bulletedlistChar1"/>
    <w:rsid w:val="00893821"/>
    <w:pPr>
      <w:widowControl w:val="0"/>
      <w:numPr>
        <w:numId w:val="17"/>
      </w:numPr>
      <w:autoSpaceDE w:val="0"/>
      <w:autoSpaceDN w:val="0"/>
      <w:adjustRightInd w:val="0"/>
      <w:spacing w:before="120" w:after="120" w:line="240" w:lineRule="auto"/>
    </w:pPr>
    <w:rPr>
      <w:rFonts w:ascii="Times New Roman" w:eastAsia="Calibri" w:hAnsi="Times New Roman" w:cs="Times New Roman"/>
      <w:szCs w:val="24"/>
      <w:lang w:eastAsia="en-US"/>
    </w:rPr>
  </w:style>
  <w:style w:type="paragraph" w:customStyle="1" w:styleId="secondlevelbulletedlist">
    <w:name w:val="second level bulleted list"/>
    <w:basedOn w:val="bulletedlist"/>
    <w:link w:val="secondlevelbulletedlistChar"/>
    <w:rsid w:val="00893821"/>
    <w:pPr>
      <w:numPr>
        <w:ilvl w:val="1"/>
      </w:numPr>
      <w:tabs>
        <w:tab w:val="clear" w:pos="1080"/>
        <w:tab w:val="num" w:pos="720"/>
      </w:tabs>
      <w:ind w:left="720" w:hanging="432"/>
    </w:pPr>
    <w:rPr>
      <w:bCs/>
    </w:rPr>
  </w:style>
  <w:style w:type="character" w:customStyle="1" w:styleId="bulletedlistChar1">
    <w:name w:val="bulleted list Char1"/>
    <w:link w:val="bulletedlist"/>
    <w:rsid w:val="00893821"/>
    <w:rPr>
      <w:rFonts w:ascii="Times New Roman" w:eastAsia="Calibri" w:hAnsi="Times New Roman" w:cs="Times New Roman"/>
      <w:sz w:val="24"/>
      <w:szCs w:val="24"/>
      <w:lang w:eastAsia="en-US"/>
    </w:rPr>
  </w:style>
  <w:style w:type="numbering" w:customStyle="1" w:styleId="StyleNumbered">
    <w:name w:val="Style Numbered"/>
    <w:basedOn w:val="NoList"/>
    <w:rsid w:val="00893821"/>
    <w:pPr>
      <w:numPr>
        <w:numId w:val="18"/>
      </w:numPr>
    </w:pPr>
  </w:style>
  <w:style w:type="paragraph" w:customStyle="1" w:styleId="footnote">
    <w:name w:val="footnote"/>
    <w:basedOn w:val="FootnoteText"/>
    <w:link w:val="footnoteChar"/>
    <w:qFormat/>
    <w:rsid w:val="00893821"/>
    <w:pPr>
      <w:spacing w:before="60" w:after="60" w:line="240" w:lineRule="auto"/>
    </w:pPr>
    <w:rPr>
      <w:rFonts w:ascii="Times New Roman" w:hAnsi="Times New Roman"/>
      <w:sz w:val="20"/>
      <w:lang w:val="en-US"/>
    </w:rPr>
  </w:style>
  <w:style w:type="character" w:customStyle="1" w:styleId="footnoteChar">
    <w:name w:val="footnote Char"/>
    <w:basedOn w:val="FootnoteTextChar"/>
    <w:link w:val="footnote"/>
    <w:rsid w:val="00893821"/>
    <w:rPr>
      <w:rFonts w:ascii="Times New Roman" w:eastAsia="Times New Roman" w:hAnsi="Times New Roman" w:cs="Times New Roman"/>
      <w:sz w:val="20"/>
      <w:szCs w:val="20"/>
      <w:lang w:val="en-US" w:eastAsia="en-US"/>
    </w:rPr>
  </w:style>
  <w:style w:type="character" w:customStyle="1" w:styleId="secondlevelbulletedlistChar">
    <w:name w:val="second level bulleted list Char"/>
    <w:link w:val="secondlevelbulletedlist"/>
    <w:rsid w:val="00893821"/>
    <w:rPr>
      <w:rFonts w:ascii="Times New Roman" w:eastAsia="Calibri" w:hAnsi="Times New Roman" w:cs="Times New Roman"/>
      <w:bCs/>
      <w:sz w:val="24"/>
      <w:szCs w:val="24"/>
      <w:lang w:eastAsia="en-US"/>
    </w:rPr>
  </w:style>
  <w:style w:type="character" w:customStyle="1" w:styleId="A7">
    <w:name w:val="A7"/>
    <w:uiPriority w:val="99"/>
    <w:rsid w:val="00893821"/>
    <w:rPr>
      <w:rFonts w:cs="Swiss 72 1 BT"/>
      <w:color w:val="000000"/>
      <w:sz w:val="18"/>
      <w:szCs w:val="18"/>
    </w:rPr>
  </w:style>
  <w:style w:type="table" w:customStyle="1" w:styleId="MediumList2-Accent11">
    <w:name w:val="Medium List 2 - Accent 11"/>
    <w:basedOn w:val="TableNormal"/>
    <w:next w:val="MediumList2-Accent1"/>
    <w:rsid w:val="00893821"/>
    <w:pPr>
      <w:spacing w:after="0" w:line="240" w:lineRule="auto"/>
    </w:pPr>
    <w:rPr>
      <w:rFonts w:ascii="Calibri" w:eastAsia="Times New Roman" w:hAnsi="Calibri" w:cs="Times New Roman"/>
      <w:color w:val="000000"/>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2">
    <w:name w:val="Medium List 2 - Accent 12"/>
    <w:basedOn w:val="TableNormal"/>
    <w:next w:val="MediumList2-Accent1"/>
    <w:rsid w:val="00893821"/>
    <w:pPr>
      <w:spacing w:after="0" w:line="240" w:lineRule="auto"/>
    </w:pPr>
    <w:rPr>
      <w:rFonts w:ascii="Calibri" w:eastAsia="Times New Roman" w:hAnsi="Calibri" w:cs="Times New Roman"/>
      <w:color w:val="000000"/>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13">
    <w:name w:val="Medium List 2 - Accent 13"/>
    <w:basedOn w:val="TableNormal"/>
    <w:next w:val="MediumList2-Accent1"/>
    <w:rsid w:val="00893821"/>
    <w:pPr>
      <w:spacing w:after="0" w:line="240" w:lineRule="auto"/>
    </w:pPr>
    <w:rPr>
      <w:rFonts w:ascii="Calibri" w:eastAsia="Times New Roman" w:hAnsi="Calibri" w:cs="Times New Roman"/>
      <w:color w:val="000000"/>
      <w:lang w:val="en-US" w:eastAsia="en-US"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KPMGtable1">
    <w:name w:val="_KPMG table1"/>
    <w:basedOn w:val="TableNormal"/>
    <w:rsid w:val="00893821"/>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numbering" w:customStyle="1" w:styleId="NoList1">
    <w:name w:val="No List1"/>
    <w:next w:val="NoList"/>
    <w:uiPriority w:val="99"/>
    <w:semiHidden/>
    <w:unhideWhenUsed/>
    <w:rsid w:val="00893821"/>
  </w:style>
  <w:style w:type="table" w:customStyle="1" w:styleId="TableGrid30">
    <w:name w:val="Table Grid3"/>
    <w:basedOn w:val="TableNormal"/>
    <w:next w:val="TableGrid"/>
    <w:uiPriority w:val="59"/>
    <w:rsid w:val="00893821"/>
    <w:pPr>
      <w:spacing w:after="0" w:line="240" w:lineRule="auto"/>
    </w:pPr>
    <w:rPr>
      <w:rFonts w:ascii="Univers 45 Light" w:eastAsia="Times New Roman" w:hAnsi="Univers 45 Light" w:cs="Times New Roman"/>
      <w:sz w:val="20"/>
      <w:szCs w:val="20"/>
      <w:lang w:val="en-US" w:eastAsia="en-US"/>
    </w:rPr>
    <w:tblPr/>
  </w:style>
  <w:style w:type="table" w:customStyle="1" w:styleId="Table3Deffects11">
    <w:name w:val="Table 3D effects 11"/>
    <w:basedOn w:val="TableNormal"/>
    <w:next w:val="Table3Deffects1"/>
    <w:semiHidden/>
    <w:rsid w:val="00893821"/>
    <w:pPr>
      <w:spacing w:after="0" w:line="240" w:lineRule="auto"/>
    </w:pPr>
    <w:rPr>
      <w:rFonts w:ascii="Univers 45 Light" w:eastAsia="Times New Roman" w:hAnsi="Univers 45 Light" w:cs="Times New Roman"/>
      <w:sz w:val="20"/>
      <w:szCs w:val="20"/>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semiHidden/>
    <w:rsid w:val="00893821"/>
    <w:pPr>
      <w:spacing w:after="0" w:line="240" w:lineRule="auto"/>
    </w:pPr>
    <w:rPr>
      <w:rFonts w:ascii="Univers 45 Light" w:eastAsia="Times New Roman" w:hAnsi="Univers 45 Light" w:cs="Times New Roman"/>
      <w:color w:val="000080"/>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semiHidden/>
    <w:rsid w:val="00893821"/>
    <w:pPr>
      <w:spacing w:after="0" w:line="240" w:lineRule="auto"/>
    </w:pPr>
    <w:rPr>
      <w:rFonts w:ascii="Univers 45 Light" w:eastAsia="Times New Roman" w:hAnsi="Univers 45 Light" w:cs="Times New Roman"/>
      <w:color w:val="FFFFFF"/>
      <w:sz w:val="20"/>
      <w:szCs w:val="20"/>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semiHidden/>
    <w:rsid w:val="00893821"/>
    <w:pPr>
      <w:spacing w:after="0" w:line="240" w:lineRule="auto"/>
    </w:pPr>
    <w:rPr>
      <w:rFonts w:ascii="Univers 45 Light" w:eastAsia="Times New Roman" w:hAnsi="Univers 45 Light" w:cs="Times New Roman"/>
      <w:sz w:val="20"/>
      <w:szCs w:val="20"/>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semiHidden/>
    <w:rsid w:val="00893821"/>
    <w:pPr>
      <w:spacing w:after="0" w:line="240" w:lineRule="auto"/>
    </w:pPr>
    <w:rPr>
      <w:rFonts w:ascii="Univers 45 Light" w:eastAsia="Times New Roman" w:hAnsi="Univers 45 Light" w:cs="Times New Roman"/>
      <w:b/>
      <w:bCs/>
      <w:sz w:val="20"/>
      <w:szCs w:val="20"/>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semiHidden/>
    <w:rsid w:val="00893821"/>
    <w:pPr>
      <w:spacing w:after="0" w:line="240" w:lineRule="auto"/>
    </w:pPr>
    <w:rPr>
      <w:rFonts w:ascii="Univers 45 Light" w:eastAsia="Times New Roman" w:hAnsi="Univers 45 Light" w:cs="Times New Roman"/>
      <w:sz w:val="20"/>
      <w:szCs w:val="20"/>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semiHidden/>
    <w:rsid w:val="00893821"/>
    <w:pPr>
      <w:spacing w:after="0" w:line="240" w:lineRule="auto"/>
    </w:pPr>
    <w:rPr>
      <w:rFonts w:ascii="Univers 45 Light" w:eastAsia="Times New Roman" w:hAnsi="Univers 45 Light" w:cs="Times New Roman"/>
      <w:sz w:val="20"/>
      <w:szCs w:val="20"/>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semiHidden/>
    <w:rsid w:val="00893821"/>
    <w:pPr>
      <w:spacing w:after="0" w:line="240" w:lineRule="auto"/>
    </w:pPr>
    <w:rPr>
      <w:rFonts w:ascii="Univers 45 Light" w:eastAsia="Times New Roman" w:hAnsi="Univers 45 Light" w:cs="Times New Roman"/>
      <w:sz w:val="20"/>
      <w:szCs w:val="20"/>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semiHidden/>
    <w:rsid w:val="00893821"/>
    <w:pPr>
      <w:spacing w:after="0" w:line="240" w:lineRule="auto"/>
    </w:pPr>
    <w:rPr>
      <w:rFonts w:ascii="Univers 45 Light" w:eastAsia="Times New Roman" w:hAnsi="Univers 45 Light" w:cs="Times New Roman"/>
      <w:b/>
      <w:bCs/>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semiHidden/>
    <w:rsid w:val="00893821"/>
    <w:pPr>
      <w:spacing w:after="0" w:line="240" w:lineRule="auto"/>
    </w:pPr>
    <w:rPr>
      <w:rFonts w:ascii="Univers 45 Light" w:eastAsia="Times New Roman" w:hAnsi="Univers 45 Light" w:cs="Times New Roman"/>
      <w:sz w:val="20"/>
      <w:szCs w:val="20"/>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semiHidden/>
    <w:rsid w:val="00893821"/>
    <w:pPr>
      <w:spacing w:after="0" w:line="240" w:lineRule="auto"/>
    </w:pPr>
    <w:rPr>
      <w:rFonts w:ascii="Univers 45 Light" w:eastAsia="Times New Roman" w:hAnsi="Univers 45 Light" w:cs="Times New Roman"/>
      <w:sz w:val="20"/>
      <w:szCs w:val="20"/>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semiHidden/>
    <w:rsid w:val="00893821"/>
    <w:pPr>
      <w:spacing w:after="0" w:line="240" w:lineRule="auto"/>
    </w:pPr>
    <w:rPr>
      <w:rFonts w:ascii="Univers 45 Light" w:eastAsia="Times New Roman" w:hAnsi="Univers 45 Light" w:cs="Times New Roman"/>
      <w:sz w:val="20"/>
      <w:szCs w:val="20"/>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semiHidden/>
    <w:rsid w:val="00893821"/>
    <w:pPr>
      <w:spacing w:after="0" w:line="240" w:lineRule="auto"/>
    </w:pPr>
    <w:rPr>
      <w:rFonts w:ascii="Univers 45 Light" w:eastAsia="Times New Roman" w:hAnsi="Univers 45 Light" w:cs="Times New Roman"/>
      <w:sz w:val="20"/>
      <w:szCs w:val="20"/>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semiHidden/>
    <w:rsid w:val="00893821"/>
    <w:pPr>
      <w:spacing w:after="0" w:line="240" w:lineRule="auto"/>
    </w:pPr>
    <w:rPr>
      <w:rFonts w:ascii="Univers 45 Light" w:eastAsia="Times New Roman" w:hAnsi="Univers 45 Light"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semiHidden/>
    <w:rsid w:val="00893821"/>
    <w:pPr>
      <w:spacing w:after="0" w:line="240" w:lineRule="auto"/>
    </w:pPr>
    <w:rPr>
      <w:rFonts w:ascii="Univers 45 Light" w:eastAsia="Times New Roman" w:hAnsi="Univers 45 Light" w:cs="Times New Roman"/>
      <w:sz w:val="20"/>
      <w:szCs w:val="20"/>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KPMGtable2">
    <w:name w:val="_KPMG table2"/>
    <w:basedOn w:val="TableNormal"/>
    <w:rsid w:val="00893821"/>
    <w:pPr>
      <w:spacing w:after="0" w:line="180" w:lineRule="atLeast"/>
    </w:pPr>
    <w:rPr>
      <w:rFonts w:ascii="Univers 45 Light" w:eastAsia="Times New Roman" w:hAnsi="Univers 45 Light" w:cs="Times New Roman"/>
      <w:sz w:val="18"/>
      <w:szCs w:val="20"/>
      <w:lang w:val="en-GB" w:eastAsia="en-GB"/>
    </w:rPr>
    <w:tblPr>
      <w:tblBorders>
        <w:bottom w:val="single" w:sz="12" w:space="0" w:color="409DAD"/>
      </w:tblBorders>
      <w:tblCellMar>
        <w:top w:w="28" w:type="dxa"/>
        <w:left w:w="28" w:type="dxa"/>
        <w:bottom w:w="28" w:type="dxa"/>
        <w:right w:w="28" w:type="dxa"/>
      </w:tblCellMar>
    </w:tblPr>
    <w:tcPr>
      <w:shd w:val="clear" w:color="auto" w:fill="auto"/>
      <w:vAlign w:val="center"/>
    </w:tcPr>
    <w:tblStylePr w:type="firstRow">
      <w:pPr>
        <w:jc w:val="left"/>
      </w:pPr>
      <w:rPr>
        <w:rFonts w:ascii="Univers 45 Light" w:hAnsi="Univers 45 Light"/>
        <w:b w:val="0"/>
        <w:i w:val="0"/>
        <w:color w:val="FFFFFF"/>
        <w:sz w:val="18"/>
      </w:rPr>
      <w:tblPr/>
      <w:tcPr>
        <w:shd w:val="clear" w:color="auto" w:fill="409DAD"/>
      </w:tcPr>
    </w:tblStylePr>
  </w:style>
  <w:style w:type="paragraph" w:customStyle="1" w:styleId="Contactheading">
    <w:name w:val="Contact heading"/>
    <w:basedOn w:val="Normal"/>
    <w:semiHidden/>
    <w:qFormat/>
    <w:rsid w:val="00893821"/>
    <w:pPr>
      <w:spacing w:after="0" w:line="240" w:lineRule="atLeast"/>
      <w:jc w:val="both"/>
    </w:pPr>
    <w:rPr>
      <w:rFonts w:ascii="Univers 45 Light" w:eastAsia="Univers 45 Light" w:hAnsi="Univers 45 Light" w:cs="Times New Roman"/>
      <w:b/>
      <w:color w:val="000000"/>
      <w:sz w:val="20"/>
      <w:lang w:eastAsia="en-US"/>
    </w:rPr>
  </w:style>
  <w:style w:type="character" w:customStyle="1" w:styleId="sous-titre-1">
    <w:name w:val="sous-titre-1"/>
    <w:basedOn w:val="DefaultParagraphFont"/>
    <w:rsid w:val="00893821"/>
  </w:style>
  <w:style w:type="character" w:customStyle="1" w:styleId="texte-italic">
    <w:name w:val="texte-italic"/>
    <w:basedOn w:val="DefaultParagraphFont"/>
    <w:rsid w:val="00893821"/>
  </w:style>
  <w:style w:type="character" w:styleId="HTMLCite">
    <w:name w:val="HTML Cite"/>
    <w:basedOn w:val="DefaultParagraphFont"/>
    <w:uiPriority w:val="99"/>
    <w:semiHidden/>
    <w:unhideWhenUsed/>
    <w:rsid w:val="00893821"/>
    <w:rPr>
      <w:i/>
      <w:iCs/>
    </w:rPr>
  </w:style>
  <w:style w:type="paragraph" w:customStyle="1" w:styleId="schedule">
    <w:name w:val="schedule"/>
    <w:basedOn w:val="Normal"/>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paragraph" w:customStyle="1" w:styleId="scheduletext">
    <w:name w:val="scheduletext"/>
    <w:basedOn w:val="Normal"/>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customStyle="1" w:styleId="highlight">
    <w:name w:val="highlight"/>
    <w:basedOn w:val="DefaultParagraphFont"/>
    <w:rsid w:val="00893821"/>
  </w:style>
  <w:style w:type="paragraph" w:customStyle="1" w:styleId="labelled">
    <w:name w:val="labelled"/>
    <w:basedOn w:val="Normal"/>
    <w:rsid w:val="00893821"/>
    <w:pPr>
      <w:spacing w:before="100" w:beforeAutospacing="1" w:after="100" w:afterAutospacing="1" w:line="240" w:lineRule="auto"/>
    </w:pPr>
    <w:rPr>
      <w:rFonts w:ascii="Times New Roman" w:eastAsia="Times New Roman" w:hAnsi="Times New Roman" w:cs="Times New Roman"/>
      <w:szCs w:val="24"/>
      <w:lang w:val="en-US" w:eastAsia="en-US"/>
    </w:rPr>
  </w:style>
  <w:style w:type="character" w:customStyle="1" w:styleId="label">
    <w:name w:val="label"/>
    <w:basedOn w:val="DefaultParagraphFont"/>
    <w:rsid w:val="00893821"/>
  </w:style>
  <w:style w:type="character" w:customStyle="1" w:styleId="spc">
    <w:name w:val="spc"/>
    <w:basedOn w:val="DefaultParagraphFont"/>
    <w:rsid w:val="00893821"/>
  </w:style>
  <w:style w:type="character" w:customStyle="1" w:styleId="contenttitle">
    <w:name w:val="contenttitle"/>
    <w:basedOn w:val="DefaultParagraphFont"/>
    <w:rsid w:val="00893821"/>
  </w:style>
  <w:style w:type="paragraph" w:customStyle="1" w:styleId="Reporttext">
    <w:name w:val="Report text"/>
    <w:basedOn w:val="Normal"/>
    <w:rsid w:val="00893821"/>
    <w:pPr>
      <w:autoSpaceDE w:val="0"/>
      <w:autoSpaceDN w:val="0"/>
      <w:adjustRightInd w:val="0"/>
      <w:spacing w:after="0" w:line="240" w:lineRule="auto"/>
    </w:pPr>
    <w:rPr>
      <w:rFonts w:ascii="Times New Roman" w:eastAsia="Times New Roman" w:hAnsi="Times New Roman" w:cs="Times New Roman"/>
      <w:szCs w:val="24"/>
      <w:lang w:val="en-AU" w:eastAsia="en-US"/>
    </w:rPr>
  </w:style>
  <w:style w:type="character" w:customStyle="1" w:styleId="bodytext0">
    <w:name w:val="bodytext"/>
    <w:basedOn w:val="DefaultParagraphFont"/>
    <w:rsid w:val="00893821"/>
  </w:style>
  <w:style w:type="character" w:customStyle="1" w:styleId="apple-tab-span">
    <w:name w:val="apple-tab-span"/>
    <w:basedOn w:val="DefaultParagraphFont"/>
    <w:rsid w:val="00893821"/>
    <w:rPr>
      <w:rFonts w:ascii="Arial" w:hAnsi="Arial" w:cs="Arial" w:hint="default"/>
      <w:sz w:val="24"/>
      <w:szCs w:val="24"/>
    </w:rPr>
  </w:style>
  <w:style w:type="character" w:customStyle="1" w:styleId="citationtext">
    <w:name w:val="citation_text"/>
    <w:basedOn w:val="DefaultParagraphFont"/>
    <w:rsid w:val="00893821"/>
  </w:style>
  <w:style w:type="character" w:customStyle="1" w:styleId="apple-converted-space">
    <w:name w:val="apple-converted-space"/>
    <w:basedOn w:val="DefaultParagraphFont"/>
    <w:rsid w:val="00893821"/>
  </w:style>
  <w:style w:type="character" w:customStyle="1" w:styleId="field-content">
    <w:name w:val="field-content"/>
    <w:basedOn w:val="DefaultParagraphFont"/>
    <w:rsid w:val="00893821"/>
  </w:style>
  <w:style w:type="character" w:customStyle="1" w:styleId="bkciteavail">
    <w:name w:val="bk_cite_avail"/>
    <w:basedOn w:val="DefaultParagraphFont"/>
    <w:rsid w:val="00893821"/>
  </w:style>
  <w:style w:type="character" w:styleId="IntenseEmphasis">
    <w:name w:val="Intense Emphasis"/>
    <w:uiPriority w:val="21"/>
    <w:qFormat/>
    <w:rsid w:val="005A3CF1"/>
    <w:rPr>
      <w:b/>
      <w:bCs/>
    </w:rPr>
  </w:style>
  <w:style w:type="paragraph" w:customStyle="1" w:styleId="Style4">
    <w:name w:val="Style4"/>
    <w:basedOn w:val="Bullet"/>
    <w:link w:val="Style4Char"/>
    <w:autoRedefine/>
    <w:rsid w:val="00893821"/>
  </w:style>
  <w:style w:type="paragraph" w:customStyle="1" w:styleId="Style5">
    <w:name w:val="Style5"/>
    <w:basedOn w:val="Bulletlast"/>
    <w:link w:val="Style5Char"/>
    <w:autoRedefine/>
    <w:rsid w:val="00893821"/>
    <w:rPr>
      <w:lang w:val="en"/>
    </w:rPr>
  </w:style>
  <w:style w:type="character" w:customStyle="1" w:styleId="BulletChar">
    <w:name w:val="Bullet Char"/>
    <w:basedOn w:val="DefaultParagraphFont"/>
    <w:link w:val="Bullet"/>
    <w:rsid w:val="00893821"/>
    <w:rPr>
      <w:rFonts w:ascii="Univers 45 Light" w:eastAsiaTheme="minorHAnsi" w:hAnsi="Univers 45 Light"/>
      <w:sz w:val="20"/>
      <w:lang w:eastAsia="en-US"/>
    </w:rPr>
  </w:style>
  <w:style w:type="character" w:customStyle="1" w:styleId="Style4Char">
    <w:name w:val="Style4 Char"/>
    <w:basedOn w:val="BulletChar"/>
    <w:link w:val="Style4"/>
    <w:rsid w:val="00893821"/>
    <w:rPr>
      <w:rFonts w:ascii="Univers 45 Light" w:eastAsiaTheme="minorHAnsi" w:hAnsi="Univers 45 Light"/>
      <w:sz w:val="20"/>
      <w:lang w:eastAsia="en-US"/>
    </w:rPr>
  </w:style>
  <w:style w:type="character" w:customStyle="1" w:styleId="BulletlastChar">
    <w:name w:val="Bullet last Char"/>
    <w:basedOn w:val="BulletChar"/>
    <w:link w:val="Bulletlast"/>
    <w:rsid w:val="00893821"/>
    <w:rPr>
      <w:rFonts w:ascii="Univers 45 Light" w:eastAsiaTheme="minorHAnsi" w:hAnsi="Univers 45 Light"/>
      <w:sz w:val="20"/>
      <w:lang w:eastAsia="en-US"/>
    </w:rPr>
  </w:style>
  <w:style w:type="character" w:customStyle="1" w:styleId="Style5Char">
    <w:name w:val="Style5 Char"/>
    <w:basedOn w:val="BulletlastChar"/>
    <w:link w:val="Style5"/>
    <w:rsid w:val="00893821"/>
    <w:rPr>
      <w:rFonts w:ascii="Univers 45 Light" w:eastAsiaTheme="minorHAnsi" w:hAnsi="Univers 45 Light"/>
      <w:sz w:val="20"/>
      <w:lang w:val="en" w:eastAsia="en-US"/>
    </w:rPr>
  </w:style>
  <w:style w:type="paragraph" w:styleId="Quote">
    <w:name w:val="Quote"/>
    <w:basedOn w:val="Normal"/>
    <w:next w:val="Normal"/>
    <w:link w:val="QuoteChar"/>
    <w:uiPriority w:val="29"/>
    <w:rsid w:val="005A3CF1"/>
    <w:pPr>
      <w:spacing w:before="200" w:after="0"/>
      <w:ind w:left="360" w:right="360"/>
    </w:pPr>
    <w:rPr>
      <w:i/>
      <w:iCs/>
    </w:rPr>
  </w:style>
  <w:style w:type="character" w:customStyle="1" w:styleId="QuoteChar">
    <w:name w:val="Quote Char"/>
    <w:basedOn w:val="DefaultParagraphFont"/>
    <w:link w:val="Quote"/>
    <w:uiPriority w:val="29"/>
    <w:rsid w:val="005A3CF1"/>
    <w:rPr>
      <w:i/>
      <w:iCs/>
    </w:rPr>
  </w:style>
  <w:style w:type="paragraph" w:styleId="IntenseQuote">
    <w:name w:val="Intense Quote"/>
    <w:basedOn w:val="Normal"/>
    <w:next w:val="Normal"/>
    <w:link w:val="IntenseQuoteChar"/>
    <w:uiPriority w:val="30"/>
    <w:rsid w:val="005A3CF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A3CF1"/>
    <w:rPr>
      <w:b/>
      <w:bCs/>
      <w:i/>
      <w:iCs/>
    </w:rPr>
  </w:style>
  <w:style w:type="character" w:styleId="SubtleEmphasis">
    <w:name w:val="Subtle Emphasis"/>
    <w:uiPriority w:val="19"/>
    <w:rsid w:val="005A3CF1"/>
    <w:rPr>
      <w:i/>
      <w:iCs/>
    </w:rPr>
  </w:style>
  <w:style w:type="character" w:styleId="SubtleReference">
    <w:name w:val="Subtle Reference"/>
    <w:uiPriority w:val="31"/>
    <w:rsid w:val="005A3CF1"/>
    <w:rPr>
      <w:smallCaps/>
    </w:rPr>
  </w:style>
  <w:style w:type="character" w:styleId="IntenseReference">
    <w:name w:val="Intense Reference"/>
    <w:uiPriority w:val="32"/>
    <w:rsid w:val="005A3CF1"/>
    <w:rPr>
      <w:smallCaps/>
      <w:spacing w:val="5"/>
      <w:u w:val="single"/>
    </w:rPr>
  </w:style>
  <w:style w:type="character" w:styleId="BookTitle">
    <w:name w:val="Book Title"/>
    <w:uiPriority w:val="33"/>
    <w:rsid w:val="005A3CF1"/>
    <w:rPr>
      <w:i/>
      <w:iCs/>
      <w:smallCaps/>
      <w:spacing w:val="5"/>
    </w:rPr>
  </w:style>
  <w:style w:type="table" w:styleId="LightList">
    <w:name w:val="Light List"/>
    <w:basedOn w:val="TableNormal"/>
    <w:uiPriority w:val="61"/>
    <w:rsid w:val="00FE1FA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tyle6">
    <w:name w:val="Style6"/>
    <w:basedOn w:val="TableNormal"/>
    <w:uiPriority w:val="99"/>
    <w:rsid w:val="00FE1FA4"/>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7544">
      <w:bodyDiv w:val="1"/>
      <w:marLeft w:val="0"/>
      <w:marRight w:val="0"/>
      <w:marTop w:val="0"/>
      <w:marBottom w:val="0"/>
      <w:divBdr>
        <w:top w:val="none" w:sz="0" w:space="0" w:color="auto"/>
        <w:left w:val="none" w:sz="0" w:space="0" w:color="auto"/>
        <w:bottom w:val="none" w:sz="0" w:space="0" w:color="auto"/>
        <w:right w:val="none" w:sz="0" w:space="0" w:color="auto"/>
      </w:divBdr>
      <w:divsChild>
        <w:div w:id="1649895105">
          <w:marLeft w:val="547"/>
          <w:marRight w:val="0"/>
          <w:marTop w:val="0"/>
          <w:marBottom w:val="0"/>
          <w:divBdr>
            <w:top w:val="none" w:sz="0" w:space="0" w:color="auto"/>
            <w:left w:val="none" w:sz="0" w:space="0" w:color="auto"/>
            <w:bottom w:val="none" w:sz="0" w:space="0" w:color="auto"/>
            <w:right w:val="none" w:sz="0" w:space="0" w:color="auto"/>
          </w:divBdr>
        </w:div>
        <w:div w:id="182718427">
          <w:marLeft w:val="1166"/>
          <w:marRight w:val="0"/>
          <w:marTop w:val="0"/>
          <w:marBottom w:val="0"/>
          <w:divBdr>
            <w:top w:val="none" w:sz="0" w:space="0" w:color="auto"/>
            <w:left w:val="none" w:sz="0" w:space="0" w:color="auto"/>
            <w:bottom w:val="none" w:sz="0" w:space="0" w:color="auto"/>
            <w:right w:val="none" w:sz="0" w:space="0" w:color="auto"/>
          </w:divBdr>
        </w:div>
        <w:div w:id="1828092698">
          <w:marLeft w:val="547"/>
          <w:marRight w:val="0"/>
          <w:marTop w:val="0"/>
          <w:marBottom w:val="0"/>
          <w:divBdr>
            <w:top w:val="none" w:sz="0" w:space="0" w:color="auto"/>
            <w:left w:val="none" w:sz="0" w:space="0" w:color="auto"/>
            <w:bottom w:val="none" w:sz="0" w:space="0" w:color="auto"/>
            <w:right w:val="none" w:sz="0" w:space="0" w:color="auto"/>
          </w:divBdr>
        </w:div>
        <w:div w:id="927077423">
          <w:marLeft w:val="1166"/>
          <w:marRight w:val="0"/>
          <w:marTop w:val="0"/>
          <w:marBottom w:val="0"/>
          <w:divBdr>
            <w:top w:val="none" w:sz="0" w:space="0" w:color="auto"/>
            <w:left w:val="none" w:sz="0" w:space="0" w:color="auto"/>
            <w:bottom w:val="none" w:sz="0" w:space="0" w:color="auto"/>
            <w:right w:val="none" w:sz="0" w:space="0" w:color="auto"/>
          </w:divBdr>
        </w:div>
        <w:div w:id="885797170">
          <w:marLeft w:val="547"/>
          <w:marRight w:val="0"/>
          <w:marTop w:val="0"/>
          <w:marBottom w:val="0"/>
          <w:divBdr>
            <w:top w:val="none" w:sz="0" w:space="0" w:color="auto"/>
            <w:left w:val="none" w:sz="0" w:space="0" w:color="auto"/>
            <w:bottom w:val="none" w:sz="0" w:space="0" w:color="auto"/>
            <w:right w:val="none" w:sz="0" w:space="0" w:color="auto"/>
          </w:divBdr>
        </w:div>
        <w:div w:id="619840255">
          <w:marLeft w:val="1166"/>
          <w:marRight w:val="0"/>
          <w:marTop w:val="0"/>
          <w:marBottom w:val="0"/>
          <w:divBdr>
            <w:top w:val="none" w:sz="0" w:space="0" w:color="auto"/>
            <w:left w:val="none" w:sz="0" w:space="0" w:color="auto"/>
            <w:bottom w:val="none" w:sz="0" w:space="0" w:color="auto"/>
            <w:right w:val="none" w:sz="0" w:space="0" w:color="auto"/>
          </w:divBdr>
        </w:div>
      </w:divsChild>
    </w:div>
    <w:div w:id="1568954358">
      <w:bodyDiv w:val="1"/>
      <w:marLeft w:val="0"/>
      <w:marRight w:val="0"/>
      <w:marTop w:val="0"/>
      <w:marBottom w:val="0"/>
      <w:divBdr>
        <w:top w:val="none" w:sz="0" w:space="0" w:color="auto"/>
        <w:left w:val="none" w:sz="0" w:space="0" w:color="auto"/>
        <w:bottom w:val="none" w:sz="0" w:space="0" w:color="auto"/>
        <w:right w:val="none" w:sz="0" w:space="0" w:color="auto"/>
      </w:divBdr>
      <w:divsChild>
        <w:div w:id="109470608">
          <w:marLeft w:val="547"/>
          <w:marRight w:val="0"/>
          <w:marTop w:val="0"/>
          <w:marBottom w:val="0"/>
          <w:divBdr>
            <w:top w:val="none" w:sz="0" w:space="0" w:color="auto"/>
            <w:left w:val="none" w:sz="0" w:space="0" w:color="auto"/>
            <w:bottom w:val="none" w:sz="0" w:space="0" w:color="auto"/>
            <w:right w:val="none" w:sz="0" w:space="0" w:color="auto"/>
          </w:divBdr>
        </w:div>
        <w:div w:id="1965497895">
          <w:marLeft w:val="547"/>
          <w:marRight w:val="0"/>
          <w:marTop w:val="0"/>
          <w:marBottom w:val="0"/>
          <w:divBdr>
            <w:top w:val="none" w:sz="0" w:space="0" w:color="auto"/>
            <w:left w:val="none" w:sz="0" w:space="0" w:color="auto"/>
            <w:bottom w:val="none" w:sz="0" w:space="0" w:color="auto"/>
            <w:right w:val="none" w:sz="0" w:space="0" w:color="auto"/>
          </w:divBdr>
        </w:div>
        <w:div w:id="1023439646">
          <w:marLeft w:val="547"/>
          <w:marRight w:val="0"/>
          <w:marTop w:val="0"/>
          <w:marBottom w:val="0"/>
          <w:divBdr>
            <w:top w:val="none" w:sz="0" w:space="0" w:color="auto"/>
            <w:left w:val="none" w:sz="0" w:space="0" w:color="auto"/>
            <w:bottom w:val="none" w:sz="0" w:space="0" w:color="auto"/>
            <w:right w:val="none" w:sz="0" w:space="0" w:color="auto"/>
          </w:divBdr>
        </w:div>
        <w:div w:id="348025859">
          <w:marLeft w:val="547"/>
          <w:marRight w:val="0"/>
          <w:marTop w:val="0"/>
          <w:marBottom w:val="0"/>
          <w:divBdr>
            <w:top w:val="none" w:sz="0" w:space="0" w:color="auto"/>
            <w:left w:val="none" w:sz="0" w:space="0" w:color="auto"/>
            <w:bottom w:val="none" w:sz="0" w:space="0" w:color="auto"/>
            <w:right w:val="none" w:sz="0" w:space="0" w:color="auto"/>
          </w:divBdr>
        </w:div>
        <w:div w:id="1297100133">
          <w:marLeft w:val="547"/>
          <w:marRight w:val="0"/>
          <w:marTop w:val="0"/>
          <w:marBottom w:val="0"/>
          <w:divBdr>
            <w:top w:val="none" w:sz="0" w:space="0" w:color="auto"/>
            <w:left w:val="none" w:sz="0" w:space="0" w:color="auto"/>
            <w:bottom w:val="none" w:sz="0" w:space="0" w:color="auto"/>
            <w:right w:val="none" w:sz="0" w:space="0" w:color="auto"/>
          </w:divBdr>
        </w:div>
        <w:div w:id="329332288">
          <w:marLeft w:val="547"/>
          <w:marRight w:val="0"/>
          <w:marTop w:val="0"/>
          <w:marBottom w:val="0"/>
          <w:divBdr>
            <w:top w:val="none" w:sz="0" w:space="0" w:color="auto"/>
            <w:left w:val="none" w:sz="0" w:space="0" w:color="auto"/>
            <w:bottom w:val="none" w:sz="0" w:space="0" w:color="auto"/>
            <w:right w:val="none" w:sz="0" w:space="0" w:color="auto"/>
          </w:divBdr>
        </w:div>
      </w:divsChild>
    </w:div>
    <w:div w:id="1913658122">
      <w:bodyDiv w:val="1"/>
      <w:marLeft w:val="0"/>
      <w:marRight w:val="0"/>
      <w:marTop w:val="0"/>
      <w:marBottom w:val="0"/>
      <w:divBdr>
        <w:top w:val="none" w:sz="0" w:space="0" w:color="auto"/>
        <w:left w:val="none" w:sz="0" w:space="0" w:color="auto"/>
        <w:bottom w:val="none" w:sz="0" w:space="0" w:color="auto"/>
        <w:right w:val="none" w:sz="0" w:space="0" w:color="auto"/>
      </w:divBdr>
      <w:divsChild>
        <w:div w:id="33118800">
          <w:marLeft w:val="547"/>
          <w:marRight w:val="0"/>
          <w:marTop w:val="0"/>
          <w:marBottom w:val="0"/>
          <w:divBdr>
            <w:top w:val="none" w:sz="0" w:space="0" w:color="auto"/>
            <w:left w:val="none" w:sz="0" w:space="0" w:color="auto"/>
            <w:bottom w:val="none" w:sz="0" w:space="0" w:color="auto"/>
            <w:right w:val="none" w:sz="0" w:space="0" w:color="auto"/>
          </w:divBdr>
        </w:div>
        <w:div w:id="1367215915">
          <w:marLeft w:val="547"/>
          <w:marRight w:val="0"/>
          <w:marTop w:val="0"/>
          <w:marBottom w:val="0"/>
          <w:divBdr>
            <w:top w:val="none" w:sz="0" w:space="0" w:color="auto"/>
            <w:left w:val="none" w:sz="0" w:space="0" w:color="auto"/>
            <w:bottom w:val="none" w:sz="0" w:space="0" w:color="auto"/>
            <w:right w:val="none" w:sz="0" w:space="0" w:color="auto"/>
          </w:divBdr>
        </w:div>
        <w:div w:id="2004579297">
          <w:marLeft w:val="547"/>
          <w:marRight w:val="0"/>
          <w:marTop w:val="0"/>
          <w:marBottom w:val="0"/>
          <w:divBdr>
            <w:top w:val="none" w:sz="0" w:space="0" w:color="auto"/>
            <w:left w:val="none" w:sz="0" w:space="0" w:color="auto"/>
            <w:bottom w:val="none" w:sz="0" w:space="0" w:color="auto"/>
            <w:right w:val="none" w:sz="0" w:space="0" w:color="auto"/>
          </w:divBdr>
        </w:div>
        <w:div w:id="1651013570">
          <w:marLeft w:val="547"/>
          <w:marRight w:val="0"/>
          <w:marTop w:val="0"/>
          <w:marBottom w:val="0"/>
          <w:divBdr>
            <w:top w:val="none" w:sz="0" w:space="0" w:color="auto"/>
            <w:left w:val="none" w:sz="0" w:space="0" w:color="auto"/>
            <w:bottom w:val="none" w:sz="0" w:space="0" w:color="auto"/>
            <w:right w:val="none" w:sz="0" w:space="0" w:color="auto"/>
          </w:divBdr>
        </w:div>
        <w:div w:id="1706784131">
          <w:marLeft w:val="547"/>
          <w:marRight w:val="0"/>
          <w:marTop w:val="0"/>
          <w:marBottom w:val="0"/>
          <w:divBdr>
            <w:top w:val="none" w:sz="0" w:space="0" w:color="auto"/>
            <w:left w:val="none" w:sz="0" w:space="0" w:color="auto"/>
            <w:bottom w:val="none" w:sz="0" w:space="0" w:color="auto"/>
            <w:right w:val="none" w:sz="0" w:space="0" w:color="auto"/>
          </w:divBdr>
        </w:div>
        <w:div w:id="1545487420">
          <w:marLeft w:val="547"/>
          <w:marRight w:val="0"/>
          <w:marTop w:val="0"/>
          <w:marBottom w:val="0"/>
          <w:divBdr>
            <w:top w:val="none" w:sz="0" w:space="0" w:color="auto"/>
            <w:left w:val="none" w:sz="0" w:space="0" w:color="auto"/>
            <w:bottom w:val="none" w:sz="0" w:space="0" w:color="auto"/>
            <w:right w:val="none" w:sz="0" w:space="0" w:color="auto"/>
          </w:divBdr>
        </w:div>
        <w:div w:id="322049305">
          <w:marLeft w:val="547"/>
          <w:marRight w:val="0"/>
          <w:marTop w:val="0"/>
          <w:marBottom w:val="0"/>
          <w:divBdr>
            <w:top w:val="none" w:sz="0" w:space="0" w:color="auto"/>
            <w:left w:val="none" w:sz="0" w:space="0" w:color="auto"/>
            <w:bottom w:val="none" w:sz="0" w:space="0" w:color="auto"/>
            <w:right w:val="none" w:sz="0" w:space="0" w:color="auto"/>
          </w:divBdr>
        </w:div>
        <w:div w:id="64123460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t.nz/our-work/disability-services/disability-projects-and-programmes/ems-prioritisation-project/equipment-and-modification-services-evaluation-prioritisation-tool-pilot" TargetMode="External"/><Relationship Id="rId18" Type="http://schemas.openxmlformats.org/officeDocument/2006/relationships/hyperlink" Target="http://www.btl.gov.il/benefits/mobility/Pages/default.aspx" TargetMode="External"/><Relationship Id="rId26" Type="http://schemas.openxmlformats.org/officeDocument/2006/relationships/hyperlink" Target="mailto:secampbell@kpmg.ca" TargetMode="External"/><Relationship Id="rId3" Type="http://schemas.openxmlformats.org/officeDocument/2006/relationships/styles" Target="styles.xml"/><Relationship Id="rId21" Type="http://schemas.openxmlformats.org/officeDocument/2006/relationships/hyperlink" Target="http://www.health.gov.il/LegislationLibrary/Bituah_01.pdf"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www.bchousing.org/programs/independent" TargetMode="External"/><Relationship Id="rId25" Type="http://schemas.openxmlformats.org/officeDocument/2006/relationships/hyperlink" Target="mailto:mmarkmacdonald@kpmg.ca" TargetMode="External"/><Relationship Id="rId2" Type="http://schemas.openxmlformats.org/officeDocument/2006/relationships/numbering" Target="numbering.xml"/><Relationship Id="rId16" Type="http://schemas.openxmlformats.org/officeDocument/2006/relationships/hyperlink" Target="https://www.saskatchewan.ca/government/have-your-say/saskatchewan-disability-strategy" TargetMode="External"/><Relationship Id="rId20" Type="http://schemas.openxmlformats.org/officeDocument/2006/relationships/hyperlink" Target="http://www.health.gov.il/English/MinistryUnits/HealthDivision/MedicalAdministration/Rehabilitation/Pages/rehability.aspx" TargetMode="External"/><Relationship Id="rId29" Type="http://schemas.openxmlformats.org/officeDocument/2006/relationships/hyperlink" Target="file:///C:\Users\nicholry\AppData\Local\Microsoft\Windows\Temporary%20Internet%20Files\Content.Outlook\O7LC70JM\kpmg.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health.govt.nz/our-work/disability-services/disability-projects-and-programmes/ems-prioritisation-project/equipment-and-modification-services-evaluation-prioritisation-tool-pilot" TargetMode="External"/><Relationship Id="rId5" Type="http://schemas.openxmlformats.org/officeDocument/2006/relationships/settings" Target="settings.xml"/><Relationship Id="rId15" Type="http://schemas.openxmlformats.org/officeDocument/2006/relationships/hyperlink" Target="http://www.surreyplace.on.ca/docman-menu-item-required/public-files/resource-and-publication/primarycare/42-developmental-disabilities-primary-care-initiative" TargetMode="External"/><Relationship Id="rId23" Type="http://schemas.openxmlformats.org/officeDocument/2006/relationships/hyperlink" Target="http://www.health.gov.il/English/Topics/SeniorHealth/Hospitalization/Pages/departments_chron_ill.aspx" TargetMode="External"/><Relationship Id="rId28" Type="http://schemas.openxmlformats.org/officeDocument/2006/relationships/hyperlink" Target="mailto:katharinecampbell@kpmg.ca" TargetMode="External"/><Relationship Id="rId10" Type="http://schemas.openxmlformats.org/officeDocument/2006/relationships/header" Target="header2.xml"/><Relationship Id="rId19" Type="http://schemas.openxmlformats.org/officeDocument/2006/relationships/hyperlink" Target="http://www.health.gov.il/Services/Citizen_Services/mobility/Documents/MobilityV_Disabilities.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hcardd.ca/" TargetMode="External"/><Relationship Id="rId22" Type="http://schemas.openxmlformats.org/officeDocument/2006/relationships/hyperlink" Target="http://www.health.gov.il/hozer/MRTD_06104012.pdf" TargetMode="External"/><Relationship Id="rId27" Type="http://schemas.openxmlformats.org/officeDocument/2006/relationships/hyperlink" Target="mailto:caitlinmcclung@kpmg.ca"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17" Type="http://schemas.openxmlformats.org/officeDocument/2006/relationships/hyperlink" Target="http://novascotia.ca/coms/disabilities/" TargetMode="External"/><Relationship Id="rId21" Type="http://schemas.openxmlformats.org/officeDocument/2006/relationships/hyperlink" Target="http://healthconsumer.org/cs026MedicaidTransport.pdf" TargetMode="External"/><Relationship Id="rId42" Type="http://schemas.openxmlformats.org/officeDocument/2006/relationships/hyperlink" Target="http://www.ccdonline.ca/en/international/un/canada/crpd-first-report" TargetMode="External"/><Relationship Id="rId63" Type="http://schemas.openxmlformats.org/officeDocument/2006/relationships/hyperlink" Target="http://www.canlii.org/en/qc/laws/stat/rsq-c-e-20.1/latest/" TargetMode="External"/><Relationship Id="rId84" Type="http://schemas.openxmlformats.org/officeDocument/2006/relationships/hyperlink" Target="http://www.qp.gov.sk.ca/documents/English/Regulations/Regulations/U1-2R5.pdf" TargetMode="External"/><Relationship Id="rId138" Type="http://schemas.openxmlformats.org/officeDocument/2006/relationships/hyperlink" Target="http://www.nrc-cnrc.gc.ca/ci-ic/article/v6n2-2" TargetMode="External"/><Relationship Id="rId159" Type="http://schemas.openxmlformats.org/officeDocument/2006/relationships/hyperlink" Target="http://www.irs.gov/publications/p502/ar02.html" TargetMode="External"/><Relationship Id="rId170" Type="http://schemas.openxmlformats.org/officeDocument/2006/relationships/hyperlink" Target="http://www.nagdu.org/laws/usa/california.txt" TargetMode="External"/><Relationship Id="rId191" Type="http://schemas.openxmlformats.org/officeDocument/2006/relationships/hyperlink" Target="http://www.disabledaccess.co.uk/Access_Requirements/" TargetMode="External"/><Relationship Id="rId205" Type="http://schemas.openxmlformats.org/officeDocument/2006/relationships/hyperlink" Target="http://www.abcb.gov.au/en/about-the-national-construction-code/the-building-code-of-australia.aspx" TargetMode="External"/><Relationship Id="rId226" Type="http://schemas.openxmlformats.org/officeDocument/2006/relationships/hyperlink" Target="http://www.google.co.in/url?sa=t&amp;rct=j&amp;q=&amp;esrc=s&amp;source=web&amp;cd=2&amp;ved=0CCMQFjAB&amp;url=http%3A%2F%2F%20www2.ohchr.org%2Fenglish%2Fissues%2Fdisability%2Fdocs%2Fconsultation%2FStatesinputs%2FISRAEL.doc&amp;ei=CekwVen9JObXyQO2_oCAAw&amp;usg=AFQjCNEJR8QB76RIvI1Ex9Rp78K-4UsfkA&amp;bvm=bv.91071109,d.bGQ&amp;cad=rja" TargetMode="External"/><Relationship Id="rId247" Type="http://schemas.openxmlformats.org/officeDocument/2006/relationships/hyperlink" Target="http://www.bca.gov.sg/BarrierFree/others/ACCESSIBILITY_CODE_2013.pdf" TargetMode="External"/><Relationship Id="rId107" Type="http://schemas.openxmlformats.org/officeDocument/2006/relationships/hyperlink" Target="http://www2.gnb.ca/content/gnb/en/services/services_renderer.8035.html" TargetMode="External"/><Relationship Id="rId11" Type="http://schemas.openxmlformats.org/officeDocument/2006/relationships/hyperlink" Target="http://www.transportforall.org.uk/files/sickofwaitingreportaccessibleversion.doc" TargetMode="External"/><Relationship Id="rId32" Type="http://schemas.openxmlformats.org/officeDocument/2006/relationships/hyperlink" Target="http://www.hc-sc.gc.ca/hcs-sss/medi-assur/cha-lcs/index-eng.php" TargetMode="External"/><Relationship Id="rId53" Type="http://schemas.openxmlformats.org/officeDocument/2006/relationships/hyperlink" Target="http://www.personalsupports.bc.ca/psp/organization/provincial_programs.page?keyword=Provincial+Programs~" TargetMode="External"/><Relationship Id="rId74" Type="http://schemas.openxmlformats.org/officeDocument/2006/relationships/hyperlink" Target="http://www.ramq.gouv.qc.ca/en/citizens/aid-programs/Pages/external-breastforms.aspx" TargetMode="External"/><Relationship Id="rId128" Type="http://schemas.openxmlformats.org/officeDocument/2006/relationships/hyperlink" Target="http://www.healthpei.ca/mentalhealth" TargetMode="External"/><Relationship Id="rId149" Type="http://schemas.openxmlformats.org/officeDocument/2006/relationships/hyperlink" Target="http://portal.hud.gov/hudportal/HUD?src=/program_offices/fair_housing_equal_opp/FHLaws/yourrights" TargetMode="External"/><Relationship Id="rId5" Type="http://schemas.openxmlformats.org/officeDocument/2006/relationships/hyperlink" Target="http://www.health.gov.on.ca/en/ms/ecfa/healthy_change/docs/rep_patientsfirst.pdf" TargetMode="External"/><Relationship Id="rId95" Type="http://schemas.openxmlformats.org/officeDocument/2006/relationships/hyperlink" Target="http://residents.gov.mb.ca/reference.html?d=details&amp;program_id=93" TargetMode="External"/><Relationship Id="rId160" Type="http://schemas.openxmlformats.org/officeDocument/2006/relationships/hyperlink" Target="http://www.access-board.gov/guidelines-and-standards/health-care/about-prescription-drug-container-labels" TargetMode="External"/><Relationship Id="rId181" Type="http://schemas.openxmlformats.org/officeDocument/2006/relationships/hyperlink" Target="http://www.health.ny.gov/community/special_needs/services/mental_health.htm" TargetMode="External"/><Relationship Id="rId216" Type="http://schemas.openxmlformats.org/officeDocument/2006/relationships/hyperlink" Target="http://www.humanservices.gov.au/customer/services/centrelink/essential-medical-equipment-payment" TargetMode="External"/><Relationship Id="rId237" Type="http://schemas.openxmlformats.org/officeDocument/2006/relationships/hyperlink" Target="http://inform.gov.jo/en-us/By-Date/Report-Details/ArticleId/86/2010-2015-National-Strategy-for-People-with-Disabilities" TargetMode="External"/><Relationship Id="rId258" Type="http://schemas.openxmlformats.org/officeDocument/2006/relationships/hyperlink" Target="http://www.health.govt.nz/our-work/disability-services/disability-projects-and-programmes/ems-prioritisation-project" TargetMode="External"/><Relationship Id="rId22" Type="http://schemas.openxmlformats.org/officeDocument/2006/relationships/hyperlink" Target="http://healthconsumer.org/cs026MedicaidTransport.pdf" TargetMode="External"/><Relationship Id="rId43" Type="http://schemas.openxmlformats.org/officeDocument/2006/relationships/hyperlink" Target="http://blog.disabilityalliancebc.org/?p=2456" TargetMode="External"/><Relationship Id="rId64" Type="http://schemas.openxmlformats.org/officeDocument/2006/relationships/hyperlink" Target="http://www2.publicationsduquebec.gouv.qc.ca/dynamicSearch/telecharge.php?type=2&amp;file=/E_20_1/E20_1_A.HTM" TargetMode="External"/><Relationship Id="rId118" Type="http://schemas.openxmlformats.org/officeDocument/2006/relationships/hyperlink" Target="http://www.novascotia.ca/coms/disabilities/WheelchairRecycling.html" TargetMode="External"/><Relationship Id="rId139" Type="http://schemas.openxmlformats.org/officeDocument/2006/relationships/hyperlink" Target="http://www.gov.nu.ca/sites/default/files/files/Finance/Budgets/2008-09%20%20Budgets/BP2008-2009_Eng2.pdf" TargetMode="External"/><Relationship Id="rId85" Type="http://schemas.openxmlformats.org/officeDocument/2006/relationships/hyperlink" Target="https://www.saskatchewan.ca/live/public-safety-protection-and-emergency-services/building-standards-and-licensing" TargetMode="External"/><Relationship Id="rId150" Type="http://schemas.openxmlformats.org/officeDocument/2006/relationships/hyperlink" Target="http://www.dol.gov/oasam/regs/statutes/sec504.htm" TargetMode="External"/><Relationship Id="rId171" Type="http://schemas.openxmlformats.org/officeDocument/2006/relationships/hyperlink" Target="http://www.ag.ca.gov/consumers/pdf/disabled.pdf" TargetMode="External"/><Relationship Id="rId192" Type="http://schemas.openxmlformats.org/officeDocument/2006/relationships/hyperlink" Target="http://www.disabledaccess.co.uk/Access_Requirements/partm.htm" TargetMode="External"/><Relationship Id="rId206" Type="http://schemas.openxmlformats.org/officeDocument/2006/relationships/hyperlink" Target="https://www.dss.gov.au/sites/default/files/documents/05_2012/national_disability_strategy_2010__2020_summary.pdf" TargetMode="External"/><Relationship Id="rId227" Type="http://schemas.openxmlformats.org/officeDocument/2006/relationships/hyperlink" Target="http://www.health.gov.il/English/Topics/Rights_disabilities/regulation/Pages/default.aspx" TargetMode="External"/><Relationship Id="rId248" Type="http://schemas.openxmlformats.org/officeDocument/2006/relationships/hyperlink" Target="http://app.msf.gov.sg/Policies/Children-Youth/Protection-under-Children-Young-Persons-Act" TargetMode="External"/><Relationship Id="rId12" Type="http://schemas.openxmlformats.org/officeDocument/2006/relationships/hyperlink" Target="http://www.health.gov.on.ca/en/common/ministry/default.aspx" TargetMode="External"/><Relationship Id="rId33" Type="http://schemas.openxmlformats.org/officeDocument/2006/relationships/hyperlink" Target="http://www.disabled-world.com/medical/healthcare/canada-medicare/" TargetMode="External"/><Relationship Id="rId108" Type="http://schemas.openxmlformats.org/officeDocument/2006/relationships/hyperlink" Target="http://www2.gnb.ca/content/gnb/en/services/services_renderer.8155.html" TargetMode="External"/><Relationship Id="rId129" Type="http://schemas.openxmlformats.org/officeDocument/2006/relationships/hyperlink" Target="http://www.gov.pe.ca/photos/original/DHW-StandardPNH.pdf" TargetMode="External"/><Relationship Id="rId54" Type="http://schemas.openxmlformats.org/officeDocument/2006/relationships/hyperlink" Target="http://www.personalsupports.bc.ca/psp/organization/provincial_programs.page?keyword=Provincial+Programs~" TargetMode="External"/><Relationship Id="rId70" Type="http://schemas.openxmlformats.org/officeDocument/2006/relationships/hyperlink" Target="https://www.rbq.gouv.qc.ca/en/building/technical-information/building-chapter-from-the-safety-code/compliance-with-the-applicable-standards-according-to-the-year-of-construction.html" TargetMode="External"/><Relationship Id="rId75" Type="http://schemas.openxmlformats.org/officeDocument/2006/relationships/hyperlink" Target="http://www.ramq.gouv.qc.ca/en/citizens/aid-programs/devices-compensate-physical-deficiency/Pages/devices-compensate-physical-deficiency.aspx" TargetMode="External"/><Relationship Id="rId91" Type="http://schemas.openxmlformats.org/officeDocument/2006/relationships/hyperlink" Target="http://www.gov.mb.ca/dio/access/" TargetMode="External"/><Relationship Id="rId96" Type="http://schemas.openxmlformats.org/officeDocument/2006/relationships/hyperlink" Target="http://www.gov.mb.ca/health/mhsip/hearingaid.html" TargetMode="External"/><Relationship Id="rId140" Type="http://schemas.openxmlformats.org/officeDocument/2006/relationships/hyperlink" Target="http://www.nunavuthousing.ca/apps/UPLOADS/fck/file/NHC%20HRP%20Guidelines%20-%20Clean%20-%20October%202014.pdf" TargetMode="External"/><Relationship Id="rId145" Type="http://schemas.openxmlformats.org/officeDocument/2006/relationships/hyperlink" Target="http://www.hss.gov.yk.ca/mental_health.php" TargetMode="External"/><Relationship Id="rId161" Type="http://schemas.openxmlformats.org/officeDocument/2006/relationships/hyperlink" Target="http://www.ncd.gov/publications/2009/Sept302009" TargetMode="External"/><Relationship Id="rId166" Type="http://schemas.openxmlformats.org/officeDocument/2006/relationships/hyperlink" Target="http://www.rehab.cahwnet.gov/DisabilityAccessInfo/Title-24-of-CCRs.html" TargetMode="External"/><Relationship Id="rId182" Type="http://schemas.openxmlformats.org/officeDocument/2006/relationships/hyperlink" Target="http://www.health.ny.gov/community/special_needs/services/family_support.htm" TargetMode="External"/><Relationship Id="rId187" Type="http://schemas.openxmlformats.org/officeDocument/2006/relationships/hyperlink" Target="http://www.legislation.gov.uk/ukpga/1984/55" TargetMode="External"/><Relationship Id="rId217" Type="http://schemas.openxmlformats.org/officeDocument/2006/relationships/hyperlink" Target="http://www.ndis.gov.au/" TargetMode="External"/><Relationship Id="rId1" Type="http://schemas.openxmlformats.org/officeDocument/2006/relationships/hyperlink" Target="http://www.ohrc.on.ca/en/ontario-human-rights-code" TargetMode="External"/><Relationship Id="rId6" Type="http://schemas.openxmlformats.org/officeDocument/2006/relationships/hyperlink" Target="http://www.lco-cdo.org/en/content/persons-disabilities" TargetMode="External"/><Relationship Id="rId212" Type="http://schemas.openxmlformats.org/officeDocument/2006/relationships/hyperlink" Target="http://www.lawhandbook.org.au/handbook/ch16s01s03.php" TargetMode="External"/><Relationship Id="rId233" Type="http://schemas.openxmlformats.org/officeDocument/2006/relationships/hyperlink" Target="http://www.health.gov.il/English/Services/Citizen_Services/mobility/Pages/EmergencyRescue.aspx" TargetMode="External"/><Relationship Id="rId238" Type="http://schemas.openxmlformats.org/officeDocument/2006/relationships/hyperlink" Target="http://dredf.org/legal-advocacy/international-disability-rights/international-laws/jordan-law-for-welfare-of-disabled-persons/" TargetMode="External"/><Relationship Id="rId254" Type="http://schemas.openxmlformats.org/officeDocument/2006/relationships/hyperlink" Target="http://www.odi.govt.nz/nzds/" TargetMode="External"/><Relationship Id="rId23" Type="http://schemas.openxmlformats.org/officeDocument/2006/relationships/hyperlink" Target="http://healthconsumer.org/cs026MedicaidTransport.pdf" TargetMode="External"/><Relationship Id="rId28" Type="http://schemas.openxmlformats.org/officeDocument/2006/relationships/hyperlink" Target="http://www.taxdetective.ca/articles/article/1482041/20629.htm" TargetMode="External"/><Relationship Id="rId49" Type="http://schemas.openxmlformats.org/officeDocument/2006/relationships/hyperlink" Target="http://www.personalsupports.bc.ca/psp/organization/provincial_programs.page?keyword=Provincial+Programs~" TargetMode="External"/><Relationship Id="rId114" Type="http://schemas.openxmlformats.org/officeDocument/2006/relationships/hyperlink" Target="https://www.novascotia.ca/just/regulations/regs/bcregs.htm" TargetMode="External"/><Relationship Id="rId119" Type="http://schemas.openxmlformats.org/officeDocument/2006/relationships/hyperlink" Target="http://www.assembly.nl.ca/legislation/sr/regulations/rc961140.htm" TargetMode="External"/><Relationship Id="rId44" Type="http://schemas.openxmlformats.org/officeDocument/2006/relationships/hyperlink" Target="http://www2.gov.bc.ca/gov/DownloadAsset?assetId=4E4879D2986E4E8CB3F6F757F59978D5&amp;filename=accessibility2024_update_web.pdf" TargetMode="External"/><Relationship Id="rId60" Type="http://schemas.openxmlformats.org/officeDocument/2006/relationships/hyperlink" Target="http://www.mcf.gov.bc.ca/foster/pdf/health_supports_cic.pdf" TargetMode="External"/><Relationship Id="rId65" Type="http://schemas.openxmlformats.org/officeDocument/2006/relationships/hyperlink" Target="http://www.fadq.qc.ca/en/accessibility/action_plan_for_handicaped_persons.html" TargetMode="External"/><Relationship Id="rId81" Type="http://schemas.openxmlformats.org/officeDocument/2006/relationships/hyperlink" Target="http://www.health.alberta.ca/services/benefits-supplementary.html" TargetMode="External"/><Relationship Id="rId86" Type="http://schemas.openxmlformats.org/officeDocument/2006/relationships/hyperlink" Target="http://saskatchewanhumanrights.ca/+pub/documents/accessability/Building_Standards_%20Code.pdf" TargetMode="External"/><Relationship Id="rId130" Type="http://schemas.openxmlformats.org/officeDocument/2006/relationships/hyperlink" Target="http://www.healthpei.ca/index.php3?number=1036849&amp;lang=E" TargetMode="External"/><Relationship Id="rId135" Type="http://schemas.openxmlformats.org/officeDocument/2006/relationships/hyperlink" Target="http://nwthumanrights.ca/cashra2007/documents/final_documents/22_fraser_cera_advocates_Kit_pt_1.pdf" TargetMode="External"/><Relationship Id="rId151" Type="http://schemas.openxmlformats.org/officeDocument/2006/relationships/hyperlink" Target="http://www.ada.gov/cguide.htm" TargetMode="External"/><Relationship Id="rId156" Type="http://schemas.openxmlformats.org/officeDocument/2006/relationships/hyperlink" Target="http://www.access-board.gov/guidelines-and-standards/health-care" TargetMode="External"/><Relationship Id="rId177" Type="http://schemas.openxmlformats.org/officeDocument/2006/relationships/hyperlink" Target="http://www.nagdu.org/laws/usa/newyork.txt" TargetMode="External"/><Relationship Id="rId198" Type="http://schemas.openxmlformats.org/officeDocument/2006/relationships/hyperlink" Target="http://www.equalityhumanrights.com/cy/private-and-public-sector-guidance/guidance-for-all/pre-equality-act-guidance/guidance-for-service-providers-pre-october-2010/good-medical-practice-and-disability-equality" TargetMode="External"/><Relationship Id="rId172" Type="http://schemas.openxmlformats.org/officeDocument/2006/relationships/hyperlink" Target="http://www.ag.ca.gov/consumers/pdf/disabled.pdf" TargetMode="External"/><Relationship Id="rId193" Type="http://schemas.openxmlformats.org/officeDocument/2006/relationships/hyperlink" Target="https://www.gov.uk/government/uploads/system/uploads/attachment_data/file/216129/dh_122908.pdf" TargetMode="External"/><Relationship Id="rId202" Type="http://schemas.openxmlformats.org/officeDocument/2006/relationships/hyperlink" Target="https://www.humanrights.gov.au/our-work/disability-rights/about-disability-rights" TargetMode="External"/><Relationship Id="rId207" Type="http://schemas.openxmlformats.org/officeDocument/2006/relationships/hyperlink" Target="https://www.dss.gov.au/our-responsibilities/disability-and-carers/program-services/government-international/national-disability-strategy" TargetMode="External"/><Relationship Id="rId223" Type="http://schemas.openxmlformats.org/officeDocument/2006/relationships/hyperlink" Target="http://www.dailynewsegypt.com/2012/11/27/disability-in-egypt/" TargetMode="External"/><Relationship Id="rId228" Type="http://schemas.openxmlformats.org/officeDocument/2006/relationships/hyperlink" Target="http://www.jewishvirtuallibrary.org/jsource/med/three.html" TargetMode="External"/><Relationship Id="rId244" Type="http://schemas.openxmlformats.org/officeDocument/2006/relationships/hyperlink" Target="http://www.euro.centre.org/data/1237457784_41597.pdf" TargetMode="External"/><Relationship Id="rId249" Type="http://schemas.openxmlformats.org/officeDocument/2006/relationships/hyperlink" Target="http://www.odi.govt.nz/what-we-do/built-environment/" TargetMode="External"/><Relationship Id="rId13" Type="http://schemas.openxmlformats.org/officeDocument/2006/relationships/hyperlink" Target="http://www.ontario.ca/home-and-community/people-disabilities" TargetMode="External"/><Relationship Id="rId18" Type="http://schemas.openxmlformats.org/officeDocument/2006/relationships/hyperlink" Target="http://www.ncd.gov/publications/2009/Sept302009" TargetMode="External"/><Relationship Id="rId39" Type="http://schemas.openxmlformats.org/officeDocument/2006/relationships/hyperlink" Target="http://www.torstamp.com/References/REF-115.pdf" TargetMode="External"/><Relationship Id="rId109" Type="http://schemas.openxmlformats.org/officeDocument/2006/relationships/hyperlink" Target="http://www2.gnb.ca/content/gnb/en/services/services_renderer.8116.html" TargetMode="External"/><Relationship Id="rId34" Type="http://schemas.openxmlformats.org/officeDocument/2006/relationships/hyperlink" Target="http://www.hc-sc.gc.ca/hcs-sss/hhr-rhs/strateg/index-eng.php" TargetMode="External"/><Relationship Id="rId50" Type="http://schemas.openxmlformats.org/officeDocument/2006/relationships/hyperlink" Target="http://www.personalsupports.bc.ca/psp/organization/provincial_programs.page?keyword=Provincial+Programs~" TargetMode="External"/><Relationship Id="rId55" Type="http://schemas.openxmlformats.org/officeDocument/2006/relationships/hyperlink" Target="http://www.gov.bc.ca/meia/online_resource/health_supplements_and_programs/memobility/index.html" TargetMode="External"/><Relationship Id="rId76" Type="http://schemas.openxmlformats.org/officeDocument/2006/relationships/hyperlink" Target="http://www.municipalaffairs.alberta.ca/codes_and_permits_accessibility.cfm" TargetMode="External"/><Relationship Id="rId97" Type="http://schemas.openxmlformats.org/officeDocument/2006/relationships/hyperlink" Target="http://www.gov.mb.ca/health/mhsip/orthoshoes.html" TargetMode="External"/><Relationship Id="rId104" Type="http://schemas.openxmlformats.org/officeDocument/2006/relationships/hyperlink" Target="http://www2.gnb.ca/content/dam/gnb/Departments/pcsdp-cpmcph/pdf/publications/2014DAPReport.pdf" TargetMode="External"/><Relationship Id="rId120" Type="http://schemas.openxmlformats.org/officeDocument/2006/relationships/hyperlink" Target="http://www.health.gov.nl.ca/health/personsdisabilities/fundingprograms_hcs.html" TargetMode="External"/><Relationship Id="rId125" Type="http://schemas.openxmlformats.org/officeDocument/2006/relationships/hyperlink" Target="http://www.gov.pe.ca/environment/index.php3?number=1047336&amp;lang=E" TargetMode="External"/><Relationship Id="rId141" Type="http://schemas.openxmlformats.org/officeDocument/2006/relationships/hyperlink" Target="http://www.ccdonline.ca/en/international/un/canada/crpd-first-report" TargetMode="External"/><Relationship Id="rId146" Type="http://schemas.openxmlformats.org/officeDocument/2006/relationships/hyperlink" Target="http://www.hss.gov.yk.ca/dayprogram.php" TargetMode="External"/><Relationship Id="rId167" Type="http://schemas.openxmlformats.org/officeDocument/2006/relationships/hyperlink" Target="http://www.ag.ca.gov/consumers/pdf/disabled.pdf" TargetMode="External"/><Relationship Id="rId188" Type="http://schemas.openxmlformats.org/officeDocument/2006/relationships/hyperlink" Target="http://www.disabledaccess.co.uk/Access_Requirements/other.htm" TargetMode="External"/><Relationship Id="rId7" Type="http://schemas.openxmlformats.org/officeDocument/2006/relationships/hyperlink" Target="http://www.cnib.ca/en/news/pages/prescription-labels-fail-to-meet-guidelines,-increasing-risk-for-errors-taking-medications-.aspx" TargetMode="External"/><Relationship Id="rId71" Type="http://schemas.openxmlformats.org/officeDocument/2006/relationships/hyperlink" Target="http://www.ramq.gouv.qc.ca/en/citizens/aid-programs/hearing-aids/Pages/hearing-aids.aspx" TargetMode="External"/><Relationship Id="rId92" Type="http://schemas.openxmlformats.org/officeDocument/2006/relationships/hyperlink" Target="http://www.gov.mb.ca/dio/maaw.html" TargetMode="External"/><Relationship Id="rId162" Type="http://schemas.openxmlformats.org/officeDocument/2006/relationships/hyperlink" Target="http://www.ncd.gov/publications/2009/Sept302009" TargetMode="External"/><Relationship Id="rId183" Type="http://schemas.openxmlformats.org/officeDocument/2006/relationships/hyperlink" Target="http://www.health.ny.gov/community/special_needs/services/transition.htm" TargetMode="External"/><Relationship Id="rId213" Type="http://schemas.openxmlformats.org/officeDocument/2006/relationships/hyperlink" Target="https://www.humanrights.gov.au/disability-discrimination-act-action-plans-guide-business" TargetMode="External"/><Relationship Id="rId218" Type="http://schemas.openxmlformats.org/officeDocument/2006/relationships/hyperlink" Target="http://www.pc.gov.au/inquiries/completed/disability-support/report/disability-support-executive-summary.pdf" TargetMode="External"/><Relationship Id="rId234" Type="http://schemas.openxmlformats.org/officeDocument/2006/relationships/hyperlink" Target="http://www.health.gov.il/English/Services/Citizen_Services/Pages/Participation.aspx" TargetMode="External"/><Relationship Id="rId239" Type="http://schemas.openxmlformats.org/officeDocument/2006/relationships/hyperlink" Target="http://www.disability-europe.net/content/aned/media/Germany%20-%20ANED%20country%20profile.pdf" TargetMode="External"/><Relationship Id="rId2" Type="http://schemas.openxmlformats.org/officeDocument/2006/relationships/hyperlink" Target="http://www.health.gov.on.ca/en/pro/programs/ecfa/legislation/act.aspx" TargetMode="External"/><Relationship Id="rId29" Type="http://schemas.openxmlformats.org/officeDocument/2006/relationships/hyperlink" Target="http://www.taxtips.ca/filing/eligiblemedicalexpenses.htm" TargetMode="External"/><Relationship Id="rId250" Type="http://schemas.openxmlformats.org/officeDocument/2006/relationships/hyperlink" Target="http://www.legislation.govt.nz/regulation/public/1992/0150/latest/whole.html" TargetMode="External"/><Relationship Id="rId255" Type="http://schemas.openxmlformats.org/officeDocument/2006/relationships/hyperlink" Target="http://www.odi.govt.nz/what-we-do/improving-disability-supports/index.html" TargetMode="External"/><Relationship Id="rId24" Type="http://schemas.openxmlformats.org/officeDocument/2006/relationships/hyperlink" Target="http://www.access-board.gov/guidelines-and-standards/health-care/about-prescription-drug-container-labels/working-group-recommendations" TargetMode="External"/><Relationship Id="rId40" Type="http://schemas.openxmlformats.org/officeDocument/2006/relationships/hyperlink" Target="http://www.aadnc-aandc.gc.ca/eng/1100100035250/1100100035251" TargetMode="External"/><Relationship Id="rId45" Type="http://schemas.openxmlformats.org/officeDocument/2006/relationships/hyperlink" Target="http://www2.gov.bc.ca/gov/topic.page?id=BB78DA14808F4A1398243C308C1D25F1" TargetMode="External"/><Relationship Id="rId66" Type="http://schemas.openxmlformats.org/officeDocument/2006/relationships/hyperlink" Target="https://www.rbq.gouv.qc.ca/en/building/technical-information/access-to-buildings-by-persons-with-disabilities.html" TargetMode="External"/><Relationship Id="rId87" Type="http://schemas.openxmlformats.org/officeDocument/2006/relationships/hyperlink" Target="https://www.saskatchewan.ca/government/have-your-say/saskatchewan-disability-strategy" TargetMode="External"/><Relationship Id="rId110" Type="http://schemas.openxmlformats.org/officeDocument/2006/relationships/hyperlink" Target="http://www2.gnb.ca/content/gnb/en/services/services_renderer.7995.html" TargetMode="External"/><Relationship Id="rId115" Type="http://schemas.openxmlformats.org/officeDocument/2006/relationships/hyperlink" Target="http://novascotia.ca/coms/accessibility/" TargetMode="External"/><Relationship Id="rId131" Type="http://schemas.openxmlformats.org/officeDocument/2006/relationships/hyperlink" Target="http://www.healthpei.ca/index.php3?number=1020500&amp;lang=E" TargetMode="External"/><Relationship Id="rId136" Type="http://schemas.openxmlformats.org/officeDocument/2006/relationships/hyperlink" Target="http://www.ccdonline.ca/en/international/un/canada/crpd-first-report" TargetMode="External"/><Relationship Id="rId157" Type="http://schemas.openxmlformats.org/officeDocument/2006/relationships/hyperlink" Target="http://www.access-board.gov/guidelines-and-standards/health-care/about-this-rulemaking" TargetMode="External"/><Relationship Id="rId178" Type="http://schemas.openxmlformats.org/officeDocument/2006/relationships/hyperlink" Target="https://www.health.ny.gov/health_care/medicaid/program/buy_in/" TargetMode="External"/><Relationship Id="rId61" Type="http://schemas.openxmlformats.org/officeDocument/2006/relationships/hyperlink" Target="https://www.ophq.gouv.qc.ca/accessibilite.html" TargetMode="External"/><Relationship Id="rId82" Type="http://schemas.openxmlformats.org/officeDocument/2006/relationships/hyperlink" Target="http://humanservices.alberta.ca/foster-kinship-care/15438.html" TargetMode="External"/><Relationship Id="rId152" Type="http://schemas.openxmlformats.org/officeDocument/2006/relationships/hyperlink" Target="http://www.access-board.gov/guidelines-and-standards/health-care/about-this-rulemaking/background/rehbilitation-act-section-510" TargetMode="External"/><Relationship Id="rId173" Type="http://schemas.openxmlformats.org/officeDocument/2006/relationships/hyperlink" Target="http://www.ag.ca.gov/consumers/pdf/disabled.pdf" TargetMode="External"/><Relationship Id="rId194" Type="http://schemas.openxmlformats.org/officeDocument/2006/relationships/hyperlink" Target="http://www.scie.org.uk/publications/ataglance/ataglance41.asp" TargetMode="External"/><Relationship Id="rId199" Type="http://schemas.openxmlformats.org/officeDocument/2006/relationships/hyperlink" Target="http://www.publications.parliament.uk/pa/cm200910/cmselect/cmtran/414/414.pdf" TargetMode="External"/><Relationship Id="rId203" Type="http://schemas.openxmlformats.org/officeDocument/2006/relationships/hyperlink" Target="http://www.comlaw.gov.au/details/f2010l00668" TargetMode="External"/><Relationship Id="rId208" Type="http://schemas.openxmlformats.org/officeDocument/2006/relationships/hyperlink" Target="https://www.dss.gov.au/sites/default/files/documents/05_2012/national_disability_strategy_2010_2020.pdf" TargetMode="External"/><Relationship Id="rId229" Type="http://schemas.openxmlformats.org/officeDocument/2006/relationships/hyperlink" Target="http://www.moch.gov.il/English/new_construction/Pages/the_israel_building_code.aspx" TargetMode="External"/><Relationship Id="rId19" Type="http://schemas.openxmlformats.org/officeDocument/2006/relationships/hyperlink" Target="http://dredf.org/wp-content/uploads/2012/10/it-takes-more-than-ramps.pdf" TargetMode="External"/><Relationship Id="rId224" Type="http://schemas.openxmlformats.org/officeDocument/2006/relationships/hyperlink" Target="http://www.al-monitor.com/pulse/originals/2014/10/egypt-disabled-rights-state-marginalize.html" TargetMode="External"/><Relationship Id="rId240" Type="http://schemas.openxmlformats.org/officeDocument/2006/relationships/hyperlink" Target="http://www.disability-europe.net/content/aned/media/Germany%20-%20ANED%20country%20profile.pdf" TargetMode="External"/><Relationship Id="rId245" Type="http://schemas.openxmlformats.org/officeDocument/2006/relationships/hyperlink" Target="http://digitalcommons.ilr.cornell.edu/cgi/viewcontent.cgi?article=1454&amp;context=gladnetcollect" TargetMode="External"/><Relationship Id="rId14" Type="http://schemas.openxmlformats.org/officeDocument/2006/relationships/hyperlink" Target="http://www.ohrc.on.ca/en/policy-preventing-discrimination-based-mental-health-disabilities-and-addictions/16-consent-and-capacity" TargetMode="External"/><Relationship Id="rId30" Type="http://schemas.openxmlformats.org/officeDocument/2006/relationships/hyperlink" Target="http://www.safetyauthority.ca/sites/default/files/elevating_devices_safety_regulation_-_notification_of_amendment_ib-ed_2013-02_.pdf" TargetMode="External"/><Relationship Id="rId35" Type="http://schemas.openxmlformats.org/officeDocument/2006/relationships/hyperlink" Target="http://www.hc-sc.gc.ca/hcs-sss/finance/hcpcp-pcpss/index-eng.php" TargetMode="External"/><Relationship Id="rId56" Type="http://schemas.openxmlformats.org/officeDocument/2006/relationships/hyperlink" Target="http://www.gov.bc.ca/meia/online_resource/health_supplements_and_programs/memobility/index.html" TargetMode="External"/><Relationship Id="rId77" Type="http://schemas.openxmlformats.org/officeDocument/2006/relationships/hyperlink" Target="http://humanservices.alberta.ca/disability-services/service-dogs-faq.html" TargetMode="External"/><Relationship Id="rId100" Type="http://schemas.openxmlformats.org/officeDocument/2006/relationships/hyperlink" Target="http://www1.gnb.ca/cnb/publicreview/pdf/10-106E.pdf" TargetMode="External"/><Relationship Id="rId105" Type="http://schemas.openxmlformats.org/officeDocument/2006/relationships/hyperlink" Target="http://www.gnb.ca/0055/pdf/2013/Action-Plan_Progress-Report.pdf" TargetMode="External"/><Relationship Id="rId126" Type="http://schemas.openxmlformats.org/officeDocument/2006/relationships/hyperlink" Target="http://www.gov.pe.ca/law/statutes/pdf/c-13.pdf" TargetMode="External"/><Relationship Id="rId147" Type="http://schemas.openxmlformats.org/officeDocument/2006/relationships/hyperlink" Target="http://www.ada.gov/" TargetMode="External"/><Relationship Id="rId168" Type="http://schemas.openxmlformats.org/officeDocument/2006/relationships/hyperlink" Target="http://www.ag.ca.gov/consumers/pdf/disabled.pdf" TargetMode="External"/><Relationship Id="rId8" Type="http://schemas.openxmlformats.org/officeDocument/2006/relationships/hyperlink" Target="http://www.cilt.ca/transportation_resources.aspx" TargetMode="External"/><Relationship Id="rId51" Type="http://schemas.openxmlformats.org/officeDocument/2006/relationships/hyperlink" Target="http://www.personalsupports.bc.ca/psp/organization/provincial_programs.page?keyword=Provincial+Programs~" TargetMode="External"/><Relationship Id="rId72" Type="http://schemas.openxmlformats.org/officeDocument/2006/relationships/hyperlink" Target="http://www.ramq.gouv.qc.ca/en/citizens/aid-programs/visual-aids/Pages/visual-aids.aspx" TargetMode="External"/><Relationship Id="rId93" Type="http://schemas.openxmlformats.org/officeDocument/2006/relationships/hyperlink" Target="http://residents.gov.mb.ca/reference.html?d=details&amp;program_id=6741" TargetMode="External"/><Relationship Id="rId98" Type="http://schemas.openxmlformats.org/officeDocument/2006/relationships/hyperlink" Target="http://www.gov.mb.ca/health/mhsip/contact_lens.html" TargetMode="External"/><Relationship Id="rId121" Type="http://schemas.openxmlformats.org/officeDocument/2006/relationships/hyperlink" Target="http://www.health.gov.nl.ca/health/personsdisabilities/fundingprograms_hcs.html" TargetMode="External"/><Relationship Id="rId142" Type="http://schemas.openxmlformats.org/officeDocument/2006/relationships/hyperlink" Target="http://www.nrc-cnrc.gc.ca/ci-ic/article/v6n2-2" TargetMode="External"/><Relationship Id="rId163" Type="http://schemas.openxmlformats.org/officeDocument/2006/relationships/hyperlink" Target="http://www.ncd.gov/publications/2009/Sept302009" TargetMode="External"/><Relationship Id="rId184" Type="http://schemas.openxmlformats.org/officeDocument/2006/relationships/hyperlink" Target="http://www.ncd.gov/publications/2009/Sept302009" TargetMode="External"/><Relationship Id="rId189" Type="http://schemas.openxmlformats.org/officeDocument/2006/relationships/hyperlink" Target="http://www.disabledaccess.co.uk/Access_Requirements/" TargetMode="External"/><Relationship Id="rId219" Type="http://schemas.openxmlformats.org/officeDocument/2006/relationships/hyperlink" Target="http://www.health.nsw.gov.au/disability/Publications/disability-action-plan-PDF.pdf" TargetMode="External"/><Relationship Id="rId3" Type="http://schemas.openxmlformats.org/officeDocument/2006/relationships/hyperlink" Target="http://www.ohrc.on.ca/en" TargetMode="External"/><Relationship Id="rId214" Type="http://schemas.openxmlformats.org/officeDocument/2006/relationships/hyperlink" Target="http://www0.health.nsw.gov.au/pubs/2012/pdf/service_framework_2012.pdf" TargetMode="External"/><Relationship Id="rId230" Type="http://schemas.openxmlformats.org/officeDocument/2006/relationships/hyperlink" Target="http://www.kolzchut.org.il/en/Disability_Pension_and_Related_Benefits" TargetMode="External"/><Relationship Id="rId235" Type="http://schemas.openxmlformats.org/officeDocument/2006/relationships/hyperlink" Target="http://www.health.gov.il/English/MinistryUnits/HealthDivision/MedicalAdministration/Rehabilitation/Pages/default.aspx" TargetMode="External"/><Relationship Id="rId251" Type="http://schemas.openxmlformats.org/officeDocument/2006/relationships/hyperlink" Target="http://www.legislation.govt.nz/act/public/2000/0091/latest/whole.html" TargetMode="External"/><Relationship Id="rId256" Type="http://schemas.openxmlformats.org/officeDocument/2006/relationships/hyperlink" Target="http://www.health.govt.nz/our-work/disability-services/disability-projects-and-programmes/choice-community-living" TargetMode="External"/><Relationship Id="rId25" Type="http://schemas.openxmlformats.org/officeDocument/2006/relationships/hyperlink" Target="http://www.ccdonline.ca/en/international/un/canada/crpd-first-report" TargetMode="External"/><Relationship Id="rId46" Type="http://schemas.openxmlformats.org/officeDocument/2006/relationships/hyperlink" Target="http://www.disabilityalliancebc.org/programs/wdi/default.htm" TargetMode="External"/><Relationship Id="rId67" Type="http://schemas.openxmlformats.org/officeDocument/2006/relationships/hyperlink" Target="https://www.rbq.gouv.qc.ca/en/citizen/disabled-person/the-rbq-and-the-disabled-persons.html" TargetMode="External"/><Relationship Id="rId116" Type="http://schemas.openxmlformats.org/officeDocument/2006/relationships/hyperlink" Target="http://novascotia.ca/coms/accessibility/what/" TargetMode="External"/><Relationship Id="rId137" Type="http://schemas.openxmlformats.org/officeDocument/2006/relationships/hyperlink" Target="http://www.hss.gov.nt.ca/health/nwt-health-care-plan/extended-health-benefits-specified-disease-conditions" TargetMode="External"/><Relationship Id="rId158" Type="http://schemas.openxmlformats.org/officeDocument/2006/relationships/hyperlink" Target="http://www.access-board.gov/guidelines-and-standards/health-care/about-this-rulemaking/advisory-committee-final-report/executive-summary" TargetMode="External"/><Relationship Id="rId20" Type="http://schemas.openxmlformats.org/officeDocument/2006/relationships/hyperlink" Target="http://www.transportforall.org.uk/files/sickofwaitingreportaccessibleversion.doc" TargetMode="External"/><Relationship Id="rId41" Type="http://schemas.openxmlformats.org/officeDocument/2006/relationships/hyperlink" Target="http://www.housing.gov.bc.ca/pub/building_access_handbook_2007.pdf" TargetMode="External"/><Relationship Id="rId62" Type="http://schemas.openxmlformats.org/officeDocument/2006/relationships/hyperlink" Target="http://www.ccdonline.ca/en/international/un/canada/crpd-first-report" TargetMode="External"/><Relationship Id="rId83" Type="http://schemas.openxmlformats.org/officeDocument/2006/relationships/hyperlink" Target="http://www.qp.gov.sk.ca/documents/English/Statutes/Statutes/U1-2.pdf" TargetMode="External"/><Relationship Id="rId88" Type="http://schemas.openxmlformats.org/officeDocument/2006/relationships/hyperlink" Target="http://www.socialservices.gov.sk.ca/live/health-and-healthy-living/manage-your-health-needs/support-programs-and-services/sail%23program-objectives" TargetMode="External"/><Relationship Id="rId111" Type="http://schemas.openxmlformats.org/officeDocument/2006/relationships/hyperlink" Target="http://www2.gnb.ca/content/gnb/en/services/services_renderer.8896.html" TargetMode="External"/><Relationship Id="rId132" Type="http://schemas.openxmlformats.org/officeDocument/2006/relationships/hyperlink" Target="http://www.healthpei.ca/index.php3?number=1020503&amp;lang=E" TargetMode="External"/><Relationship Id="rId153" Type="http://schemas.openxmlformats.org/officeDocument/2006/relationships/hyperlink" Target="http://www.access-board.gov/guidelines-and-standards/buildings-and-sites/about-the-aba-standards" TargetMode="External"/><Relationship Id="rId174" Type="http://schemas.openxmlformats.org/officeDocument/2006/relationships/hyperlink" Target="http://www.ag.ca.gov/consumers/pdf/disabled.pdf" TargetMode="External"/><Relationship Id="rId179" Type="http://schemas.openxmlformats.org/officeDocument/2006/relationships/hyperlink" Target="https://www.health.ny.gov/publications/0548/children_special_health_care_needs_including_phys_handi_children.htm" TargetMode="External"/><Relationship Id="rId195" Type="http://schemas.openxmlformats.org/officeDocument/2006/relationships/hyperlink" Target="https://www.gov.uk/government/uploads/system/uploads/attachment_data/file/213883/dh_116385.pdf" TargetMode="External"/><Relationship Id="rId209" Type="http://schemas.openxmlformats.org/officeDocument/2006/relationships/hyperlink" Target="https://www.dss.gov.au/sites/default/files/documents/05_2012/dig_report_19oct09.pdf" TargetMode="External"/><Relationship Id="rId190" Type="http://schemas.openxmlformats.org/officeDocument/2006/relationships/hyperlink" Target="http://www.planningportal.gov.uk/buildingregulations/buildingpolicyandlegislation/currentlegislation/buildingregulations/%20buildingregs" TargetMode="External"/><Relationship Id="rId204" Type="http://schemas.openxmlformats.org/officeDocument/2006/relationships/hyperlink" Target="http://www.abcb.gov.au/en/about-the-national-construction-code/the-regulatory-process.aspx" TargetMode="External"/><Relationship Id="rId220" Type="http://schemas.openxmlformats.org/officeDocument/2006/relationships/hyperlink" Target="http://www.mdac.info/en/news/new-mental-health-law-egypt" TargetMode="External"/><Relationship Id="rId225" Type="http://schemas.openxmlformats.org/officeDocument/2006/relationships/hyperlink" Target="http://www.gittc-alexu.org/uploads/document/legistaltion.pdf" TargetMode="External"/><Relationship Id="rId241" Type="http://schemas.openxmlformats.org/officeDocument/2006/relationships/hyperlink" Target="http://www.bmas.de/SharedDocs/Downloads/EN/PDF-Publikationen/a990-rehabilitation-und-teilhabe-behinderter-menschen-englisch.pdf?__blob=publicationFile" TargetMode="External"/><Relationship Id="rId246" Type="http://schemas.openxmlformats.org/officeDocument/2006/relationships/hyperlink" Target="http://app.msf.gov.sg/Portals/0/Topic/Issues/EDGD/Enabling%20Masterplan%2020122016%20Report%20%288%20%20Mar%29.pdf" TargetMode="External"/><Relationship Id="rId15" Type="http://schemas.openxmlformats.org/officeDocument/2006/relationships/hyperlink" Target="http://www.dsa.org.au/Documents/CP15%20Standard%204%28NSW%20Cwlth%29%20Privacy,%20Dignity%20and%20Confidentiality.pdf" TargetMode="External"/><Relationship Id="rId36" Type="http://schemas.openxmlformats.org/officeDocument/2006/relationships/hyperlink" Target="http://www.veterans.gc.ca/eng/services/after-injury/disability-benefits" TargetMode="External"/><Relationship Id="rId57" Type="http://schemas.openxmlformats.org/officeDocument/2006/relationships/hyperlink" Target="http://www.gov.bc.ca/meia/online_resource/health_supplements_and_programs/memobility/index.html" TargetMode="External"/><Relationship Id="rId106" Type="http://schemas.openxmlformats.org/officeDocument/2006/relationships/hyperlink" Target="http://www2.gnb.ca/content/gnb/en/services/services_renderer.8015.html" TargetMode="External"/><Relationship Id="rId127" Type="http://schemas.openxmlformats.org/officeDocument/2006/relationships/hyperlink" Target="http://www.gov.pe.ca/sss/index.php3?number=20667" TargetMode="External"/><Relationship Id="rId10" Type="http://schemas.openxmlformats.org/officeDocument/2006/relationships/hyperlink" Target="http://healthconsumer.org/cs026MedicaidTransport.pdf" TargetMode="External"/><Relationship Id="rId31" Type="http://schemas.openxmlformats.org/officeDocument/2006/relationships/hyperlink" Target="http://blog.disabilityalliancebc.org/?p=1585" TargetMode="External"/><Relationship Id="rId52" Type="http://schemas.openxmlformats.org/officeDocument/2006/relationships/hyperlink" Target="http://www.personalsupports.bc.ca/psp/organization/provincial_programs.page?keyword=Provincial+Programs~" TargetMode="External"/><Relationship Id="rId73" Type="http://schemas.openxmlformats.org/officeDocument/2006/relationships/hyperlink" Target="http://www.ramq.gouv.qc.ca/en/citizens/aid-programs/ocular-prostheses/Pages/ocular-prostheses.aspx" TargetMode="External"/><Relationship Id="rId78" Type="http://schemas.openxmlformats.org/officeDocument/2006/relationships/hyperlink" Target="http://humanservices.alberta.ca/department/premiers-council-ads-recommendations.html" TargetMode="External"/><Relationship Id="rId94" Type="http://schemas.openxmlformats.org/officeDocument/2006/relationships/hyperlink" Target="http://residents.gov.mb.ca/reference.html?d=details&amp;program_id=82" TargetMode="External"/><Relationship Id="rId99" Type="http://schemas.openxmlformats.org/officeDocument/2006/relationships/hyperlink" Target="http://www.gov.mb.ca/health/mhsip/telecommunications.html" TargetMode="External"/><Relationship Id="rId101" Type="http://schemas.openxmlformats.org/officeDocument/2006/relationships/hyperlink" Target="http://www2.gnb.ca/content/dam/gnb/Departments/sd-ds/pdf/NursingHomes/NursingHomeDesignStandards-e.pdf" TargetMode="External"/><Relationship Id="rId122" Type="http://schemas.openxmlformats.org/officeDocument/2006/relationships/hyperlink" Target="http://www.health.gov.nl.ca/health/personsdisabilities/fundingprograms_hcs.html" TargetMode="External"/><Relationship Id="rId143" Type="http://schemas.openxmlformats.org/officeDocument/2006/relationships/hyperlink" Target="http://www.hss.gov.yk.ca/chronic_disease.php" TargetMode="External"/><Relationship Id="rId148" Type="http://schemas.openxmlformats.org/officeDocument/2006/relationships/hyperlink" Target="http://www.guidedog.org/content.aspx?id=1410" TargetMode="External"/><Relationship Id="rId164" Type="http://schemas.openxmlformats.org/officeDocument/2006/relationships/hyperlink" Target="http://www.ncd.gov/publications/2009/Sept302009" TargetMode="External"/><Relationship Id="rId169" Type="http://schemas.openxmlformats.org/officeDocument/2006/relationships/hyperlink" Target="http://www.gamutonline.net/district/emery/displayPolicy/146527/6" TargetMode="External"/><Relationship Id="rId185" Type="http://schemas.openxmlformats.org/officeDocument/2006/relationships/hyperlink" Target="http://www.newport.gov.uk/stellent/groups/public/documents/plans_and_strategies/n_055270.pdf" TargetMode="External"/><Relationship Id="rId4" Type="http://schemas.openxmlformats.org/officeDocument/2006/relationships/hyperlink" Target="http://www.health.gov.on.ca/en/common/ministry/publications/reports/mental_health2011/mentalhealth_rep2011.pdf" TargetMode="External"/><Relationship Id="rId9" Type="http://schemas.openxmlformats.org/officeDocument/2006/relationships/hyperlink" Target="http://www.ncbi.nlm.nih.gov/books/NBK11420/" TargetMode="External"/><Relationship Id="rId180" Type="http://schemas.openxmlformats.org/officeDocument/2006/relationships/hyperlink" Target="http://www.health.ny.gov/community/infants_children/early_intervention/" TargetMode="External"/><Relationship Id="rId210" Type="http://schemas.openxmlformats.org/officeDocument/2006/relationships/hyperlink" Target="https://www.dss.gov.au/our-responsibilities/disability-and-carers/program-services/for-people-with-disability/disability-investment-group" TargetMode="External"/><Relationship Id="rId215" Type="http://schemas.openxmlformats.org/officeDocument/2006/relationships/hyperlink" Target="http://www.humanservices.gov.au/customer/subjects/caring-for-someone-with-an-illness-or-disability" TargetMode="External"/><Relationship Id="rId236" Type="http://schemas.openxmlformats.org/officeDocument/2006/relationships/hyperlink" Target="http://www.forbes.com/sites/zackmiller/2015/01/20/12-israeli-technologies-changing-the-lives-of-the-disabled-in-2015/" TargetMode="External"/><Relationship Id="rId257" Type="http://schemas.openxmlformats.org/officeDocument/2006/relationships/hyperlink" Target="http://www.health.govt.nz/our-work/disability-services/disability-projects-and-programmes/child-and-youth-disability-projects" TargetMode="External"/><Relationship Id="rId26" Type="http://schemas.openxmlformats.org/officeDocument/2006/relationships/hyperlink" Target="http://www.ccdonline.ca/en/international/un/canada/crpd-first-report" TargetMode="External"/><Relationship Id="rId231" Type="http://schemas.openxmlformats.org/officeDocument/2006/relationships/hyperlink" Target="http://www.kolzchut.org.il/en/Personal_Nursing_Care_Benefit_for_Children_and_Adults_Ventilated_with_a_Tracheostomy" TargetMode="External"/><Relationship Id="rId252" Type="http://schemas.openxmlformats.org/officeDocument/2006/relationships/hyperlink" Target="http://www.health.govt.nz/our-work/regulation-health-and-disability-system/certification-health-care-services/health-and-disability-services-safety-act" TargetMode="External"/><Relationship Id="rId47" Type="http://schemas.openxmlformats.org/officeDocument/2006/relationships/hyperlink" Target="http://www2.gov.bc.ca/gov/DownloadAsset?assetId=FD9A1A889D21419EAD1F819534CDC4A2&amp;filename=palliative-patientinfo.pdf" TargetMode="External"/><Relationship Id="rId68" Type="http://schemas.openxmlformats.org/officeDocument/2006/relationships/hyperlink" Target="https://www.rbq.gouv.qc.ca/en/owner-or-operator/quality-and-safety-requirements/access-to-buildings-by-persons-with-disabilities.html" TargetMode="External"/><Relationship Id="rId89" Type="http://schemas.openxmlformats.org/officeDocument/2006/relationships/hyperlink" Target="http://www.ccdonline.ca/en/international/un/canada/crpd-first-report" TargetMode="External"/><Relationship Id="rId112" Type="http://schemas.openxmlformats.org/officeDocument/2006/relationships/hyperlink" Target="http://novascotia.ca/coms/employment/income_assistance/Pharmacare.html" TargetMode="External"/><Relationship Id="rId133" Type="http://schemas.openxmlformats.org/officeDocument/2006/relationships/hyperlink" Target="http://www.healthpei.ca/index.php3?number=1020508&amp;lang=E" TargetMode="External"/><Relationship Id="rId154" Type="http://schemas.openxmlformats.org/officeDocument/2006/relationships/hyperlink" Target="http://www.access-board.gov/guidelines-and-standards/buildings-and-sites/about-the-aba-standards/aba-standards" TargetMode="External"/><Relationship Id="rId175" Type="http://schemas.openxmlformats.org/officeDocument/2006/relationships/hyperlink" Target="http://www.ncd.gov/publications/2009/Sept302009" TargetMode="External"/><Relationship Id="rId196" Type="http://schemas.openxmlformats.org/officeDocument/2006/relationships/hyperlink" Target="https://www.gov.uk/government/uploads/system/uploads/attachment_data/file/308846/HTM_05-02_2014.pdf" TargetMode="External"/><Relationship Id="rId200" Type="http://schemas.openxmlformats.org/officeDocument/2006/relationships/hyperlink" Target="https://www.gov.uk/mobility-scooters-and-powered-wheelchairs-rules/overview" TargetMode="External"/><Relationship Id="rId16" Type="http://schemas.openxmlformats.org/officeDocument/2006/relationships/hyperlink" Target="http://www.ncd.gov/publications/2009/Sept302009" TargetMode="External"/><Relationship Id="rId221" Type="http://schemas.openxmlformats.org/officeDocument/2006/relationships/hyperlink" Target="http://www.gittc-alexu.org/uploads/document/legistaltion.pdf" TargetMode="External"/><Relationship Id="rId242" Type="http://schemas.openxmlformats.org/officeDocument/2006/relationships/hyperlink" Target="http://dsq-sds.org/article/view/692/869" TargetMode="External"/><Relationship Id="rId37" Type="http://schemas.openxmlformats.org/officeDocument/2006/relationships/hyperlink" Target="http://www.cmhc-schl.gc.ca/odpub/pdf/60967.pdf?fr=1421178129190" TargetMode="External"/><Relationship Id="rId58" Type="http://schemas.openxmlformats.org/officeDocument/2006/relationships/hyperlink" Target="http://www.gov.bc.ca/meia/online_resource/health_supplements_and_programs/memobility/index.html" TargetMode="External"/><Relationship Id="rId79" Type="http://schemas.openxmlformats.org/officeDocument/2006/relationships/hyperlink" Target="http://healthcouncilcanada.ca/n3w11n3/progress2013/JurisdictionalProfiles2013_EN.pdf" TargetMode="External"/><Relationship Id="rId102" Type="http://schemas.openxmlformats.org/officeDocument/2006/relationships/hyperlink" Target="http://www2.gnb.ca/content/dam/gnb/Departments/pcsdp-cpmcph/pdf/docs/UniversalDesignFinalVersionNov07ENG.pdf" TargetMode="External"/><Relationship Id="rId123" Type="http://schemas.openxmlformats.org/officeDocument/2006/relationships/hyperlink" Target="http://www.health.gov.nl.ca/health/personsdisabilities/fundingprograms_hcs.html" TargetMode="External"/><Relationship Id="rId144" Type="http://schemas.openxmlformats.org/officeDocument/2006/relationships/hyperlink" Target="http://www.hss.gov.yk.ca/homecare.php" TargetMode="External"/><Relationship Id="rId90" Type="http://schemas.openxmlformats.org/officeDocument/2006/relationships/hyperlink" Target="http://www.gov.mb.ca/dio/pdf/introducing_accessibility_for_manitobans_act.pdf" TargetMode="External"/><Relationship Id="rId165" Type="http://schemas.openxmlformats.org/officeDocument/2006/relationships/hyperlink" Target="http://www.ag.ca.gov/consumers/pdf/disabled.pdf" TargetMode="External"/><Relationship Id="rId186" Type="http://schemas.openxmlformats.org/officeDocument/2006/relationships/hyperlink" Target="http://www.disabledaccess.co.uk/Access_Requirements/" TargetMode="External"/><Relationship Id="rId211" Type="http://schemas.openxmlformats.org/officeDocument/2006/relationships/hyperlink" Target="https://www.dss.gov.au/our-responsibilities/disability-and-carers/program-services/for-people-with-disability/disability-investment-group/the-way-forward-a-new-disability-policy-framework-for-australia" TargetMode="External"/><Relationship Id="rId232" Type="http://schemas.openxmlformats.org/officeDocument/2006/relationships/hyperlink" Target="http://www.health.gov.il/English/Services/Citizen_Services/mobility/Pages/default.aspx" TargetMode="External"/><Relationship Id="rId253" Type="http://schemas.openxmlformats.org/officeDocument/2006/relationships/hyperlink" Target="http://www.health.govt.nz/our-work/regulation-health-and-disability-system/certification-health-care-services/health-and-disability-services-standards" TargetMode="External"/><Relationship Id="rId27" Type="http://schemas.openxmlformats.org/officeDocument/2006/relationships/hyperlink" Target="http://www.google.co.in/url?sa=t&amp;rct=j&amp;q=&amp;esrc=s&amp;source=web&amp;cd=2&amp;ved=0CCUQFjAB&amp;url=http%3A%2F%2Ftb%20internet.ohchr.org%2FTreaties%2FCRPD%2FShared%2520Documents%2FCAN%2FCRPD_C_CAN_1_6941_E.doc&amp;ei=LWceVZzEKdeLuASS9oHoBg&amp;usg=AFQjCNFJEAVIGyOMQ741H54NsbP2dB-mxA&amp;bvm=bv.89947451,d.c2E&amp;cad=rja" TargetMode="External"/><Relationship Id="rId48" Type="http://schemas.openxmlformats.org/officeDocument/2006/relationships/hyperlink" Target="http://www.bchousing.org/Initiatives/Creating/ILBC" TargetMode="External"/><Relationship Id="rId69" Type="http://schemas.openxmlformats.org/officeDocument/2006/relationships/hyperlink" Target="http://www.societelogique.org/contenu?page=infotech/reglementation&amp;langue=en" TargetMode="External"/><Relationship Id="rId113" Type="http://schemas.openxmlformats.org/officeDocument/2006/relationships/hyperlink" Target="http://novascotia.ca/dhw/mental-health/documents/Mental-Health-Community-Supports-Standards.pdf" TargetMode="External"/><Relationship Id="rId134" Type="http://schemas.openxmlformats.org/officeDocument/2006/relationships/hyperlink" Target="http://www.nrc-cnrc.gc.ca/ci-ic/article/v6n2-2" TargetMode="External"/><Relationship Id="rId80" Type="http://schemas.openxmlformats.org/officeDocument/2006/relationships/hyperlink" Target="http://www.albertahealthservices.ca/5767.asp" TargetMode="External"/><Relationship Id="rId155" Type="http://schemas.openxmlformats.org/officeDocument/2006/relationships/hyperlink" Target="http://www.access-board.gov/guidelines-and-standards/buildings-and-sites/about-the-aba-standards/ufas" TargetMode="External"/><Relationship Id="rId176" Type="http://schemas.openxmlformats.org/officeDocument/2006/relationships/hyperlink" Target="http://www.nyc.gov/html/mopd/html/laws/state.shtml" TargetMode="External"/><Relationship Id="rId197" Type="http://schemas.openxmlformats.org/officeDocument/2006/relationships/hyperlink" Target="http://www.disabledaccess.co.uk/Access_Requirements/other.htm" TargetMode="External"/><Relationship Id="rId201" Type="http://schemas.openxmlformats.org/officeDocument/2006/relationships/hyperlink" Target="https://www.mencap.org.uk/about-learning-disability/transition-and-further-education/transition/funding-money-and-benefits" TargetMode="External"/><Relationship Id="rId222" Type="http://schemas.openxmlformats.org/officeDocument/2006/relationships/hyperlink" Target="http://www.gittc-alexu.org/uploads/document/legistaltion.pdf" TargetMode="External"/><Relationship Id="rId243" Type="http://schemas.openxmlformats.org/officeDocument/2006/relationships/hyperlink" Target="http://www.ssoar.info/ssoar/bitstream/handle/document/35003/ssoar-2007-peucker-Equality_and_anti-discrimination_approaches_in.pdf?sequence=1" TargetMode="External"/><Relationship Id="rId17" Type="http://schemas.openxmlformats.org/officeDocument/2006/relationships/hyperlink" Target="http://www.ncd.gov/publications/2009/Sept302009" TargetMode="External"/><Relationship Id="rId38" Type="http://schemas.openxmlformats.org/officeDocument/2006/relationships/hyperlink" Target="https://secure.cambrianc.on.ca/acadnet/User_content%5CAccessibility%5CAccessibility%20Planning%20Working%20%20Group%255%20CCSA%20Barrier%20Free%20Design.pdf" TargetMode="External"/><Relationship Id="rId59" Type="http://schemas.openxmlformats.org/officeDocument/2006/relationships/hyperlink" Target="http://www.mcf.gov.bc.ca/foster/pdf/health_supports_cic.pdf" TargetMode="External"/><Relationship Id="rId103" Type="http://schemas.openxmlformats.org/officeDocument/2006/relationships/hyperlink" Target="http://www2.gnb.ca/content/dam/gnb/Departments/pcsdp-cpmcph/pdf/publications/2013DAPReport.pdf" TargetMode="External"/><Relationship Id="rId124" Type="http://schemas.openxmlformats.org/officeDocument/2006/relationships/hyperlink" Target="http://www.gov.pe.ca/law/regulations/pdf/P&amp;24-1.pdf" TargetMode="External"/></Relationships>
</file>

<file path=word/theme/theme1.xml><?xml version="1.0" encoding="utf-8"?>
<a:theme xmlns:a="http://schemas.openxmlformats.org/drawingml/2006/main" name="Office Theme">
  <a:themeElements>
    <a:clrScheme name="Flow 2">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27D9717-54E8-40FF-AEC1-4E2FA65F0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226</Pages>
  <Words>64818</Words>
  <Characters>369467</Characters>
  <Application>Microsoft Office Word</Application>
  <DocSecurity>4</DocSecurity>
  <Lines>3078</Lines>
  <Paragraphs>866</Paragraphs>
  <ScaleCrop>false</ScaleCrop>
  <HeadingPairs>
    <vt:vector size="2" baseType="variant">
      <vt:variant>
        <vt:lpstr>Title</vt:lpstr>
      </vt:variant>
      <vt:variant>
        <vt:i4>1</vt:i4>
      </vt:variant>
    </vt:vector>
  </HeadingPairs>
  <TitlesOfParts>
    <vt:vector size="1" baseType="lpstr">
      <vt:lpstr/>
    </vt:vector>
  </TitlesOfParts>
  <Company>MGS</Company>
  <LinksUpToDate>false</LinksUpToDate>
  <CharactersWithSpaces>433419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Michael J (MCSS)</dc:creator>
  <cp:lastModifiedBy>Hageman, Margaret (MEDEI/MRI)</cp:lastModifiedBy>
  <cp:revision>2</cp:revision>
  <dcterms:created xsi:type="dcterms:W3CDTF">2016-08-15T18:35:00Z</dcterms:created>
  <dcterms:modified xsi:type="dcterms:W3CDTF">2016-08-15T18:35:00Z</dcterms:modified>
</cp:coreProperties>
</file>